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0E3F0" w14:textId="722DC7A0" w:rsidR="00C51B1C" w:rsidRPr="00256E7C" w:rsidRDefault="00C51B1C" w:rsidP="00BE6A62">
      <w:pPr>
        <w:pStyle w:val="DJCSbody"/>
        <w:sectPr w:rsidR="00C51B1C" w:rsidRPr="00256E7C" w:rsidSect="00C5670C">
          <w:headerReference w:type="default" r:id="rId12"/>
          <w:footerReference w:type="default" r:id="rId13"/>
          <w:headerReference w:type="first" r:id="rId14"/>
          <w:footerReference w:type="first" r:id="rId15"/>
          <w:type w:val="continuous"/>
          <w:pgSz w:w="11906" w:h="16838" w:code="9"/>
          <w:pgMar w:top="1985" w:right="851" w:bottom="1134" w:left="851" w:header="283" w:footer="680" w:gutter="0"/>
          <w:cols w:space="720"/>
          <w:titlePg/>
          <w:docGrid w:linePitch="360"/>
        </w:sectPr>
      </w:pPr>
    </w:p>
    <w:p w14:paraId="0B4515D4" w14:textId="76B447D8" w:rsidR="001D2A2D" w:rsidRDefault="001D2A2D" w:rsidP="00BE6A62">
      <w:pPr>
        <w:pStyle w:val="DJCSbody"/>
      </w:pPr>
    </w:p>
    <w:p w14:paraId="74631CDC" w14:textId="3A4928A4" w:rsidR="0084768A" w:rsidRDefault="0084768A" w:rsidP="00BE6A62">
      <w:pPr>
        <w:pStyle w:val="DJCSbody"/>
      </w:pPr>
    </w:p>
    <w:tbl>
      <w:tblPr>
        <w:tblW w:w="10093" w:type="dxa"/>
        <w:tblCellMar>
          <w:left w:w="0" w:type="dxa"/>
          <w:right w:w="0" w:type="dxa"/>
        </w:tblCellMar>
        <w:tblLook w:val="04A0" w:firstRow="1" w:lastRow="0" w:firstColumn="1" w:lastColumn="0" w:noHBand="0" w:noVBand="1"/>
      </w:tblPr>
      <w:tblGrid>
        <w:gridCol w:w="10093"/>
      </w:tblGrid>
      <w:tr w:rsidR="00B461C5" w:rsidRPr="003072C6" w14:paraId="76D907FE" w14:textId="77777777">
        <w:trPr>
          <w:trHeight w:val="2552"/>
        </w:trPr>
        <w:tc>
          <w:tcPr>
            <w:tcW w:w="10093" w:type="dxa"/>
          </w:tcPr>
          <w:p w14:paraId="5E653362" w14:textId="61502B53" w:rsidR="00B461C5" w:rsidRPr="00B461C5" w:rsidRDefault="002A4B85">
            <w:pPr>
              <w:pStyle w:val="DJCSreportmaintitlecover"/>
              <w:rPr>
                <w:color w:val="FFFFFF" w:themeColor="background1"/>
              </w:rPr>
            </w:pPr>
            <w:bookmarkStart w:id="0" w:name="_Hlk201840957"/>
            <w:r>
              <w:rPr>
                <w:noProof/>
                <w:lang w:eastAsia="en-AU"/>
              </w:rPr>
              <w:drawing>
                <wp:anchor distT="0" distB="0" distL="114300" distR="114300" simplePos="0" relativeHeight="251658240" behindDoc="1" locked="0" layoutInCell="1" allowOverlap="1" wp14:anchorId="5BEC19E0" wp14:editId="1DABFBDC">
                  <wp:simplePos x="0" y="0"/>
                  <wp:positionH relativeFrom="page">
                    <wp:posOffset>-543530</wp:posOffset>
                  </wp:positionH>
                  <wp:positionV relativeFrom="paragraph">
                    <wp:posOffset>-1963656</wp:posOffset>
                  </wp:positionV>
                  <wp:extent cx="7549200" cy="10670400"/>
                  <wp:effectExtent l="0" t="0" r="0" b="0"/>
                  <wp:wrapNone/>
                  <wp:docPr id="48874409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noChangeArrowheads="1"/>
                          </pic:cNvPicPr>
                        </pic:nvPicPr>
                        <pic:blipFill>
                          <a:blip r:embed="rId16"/>
                          <a:stretch>
                            <a:fillRect/>
                          </a:stretch>
                        </pic:blipFill>
                        <pic:spPr bwMode="auto">
                          <a:xfrm>
                            <a:off x="0" y="0"/>
                            <a:ext cx="7549200" cy="1067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CC0">
              <w:rPr>
                <w:color w:val="FFFFFF" w:themeColor="background1"/>
              </w:rPr>
              <w:t>Victorian Civil and Administrative</w:t>
            </w:r>
            <w:r w:rsidR="006F3CC0" w:rsidRPr="006F3CC0">
              <w:rPr>
                <w:color w:val="FFFFFF" w:themeColor="background1"/>
              </w:rPr>
              <w:t xml:space="preserve"> (Fees) Regulations 202</w:t>
            </w:r>
            <w:r w:rsidR="006F3CC0">
              <w:rPr>
                <w:color w:val="FFFFFF" w:themeColor="background1"/>
              </w:rPr>
              <w:t>6</w:t>
            </w:r>
            <w:bookmarkEnd w:id="0"/>
          </w:p>
          <w:p w14:paraId="6B710CD7" w14:textId="04F67575" w:rsidR="00B461C5" w:rsidRPr="00B461C5" w:rsidRDefault="006F3CC0">
            <w:pPr>
              <w:pStyle w:val="DJCSreportsubtitlecover"/>
              <w:rPr>
                <w:color w:val="FFFFFF" w:themeColor="background1"/>
              </w:rPr>
            </w:pPr>
            <w:r>
              <w:rPr>
                <w:color w:val="FFFFFF" w:themeColor="background1"/>
              </w:rPr>
              <w:t>Regulatory Impact Statement (RIS)</w:t>
            </w:r>
          </w:p>
          <w:p w14:paraId="6B0696EE" w14:textId="7163439F" w:rsidR="00B461C5" w:rsidRPr="003072C6" w:rsidRDefault="00336E88">
            <w:pPr>
              <w:pStyle w:val="DJCSreportsubtitlecover"/>
            </w:pPr>
            <w:r>
              <w:rPr>
                <w:color w:val="FFFFFF" w:themeColor="background1"/>
              </w:rPr>
              <w:t>November</w:t>
            </w:r>
            <w:r w:rsidR="006F3CC0" w:rsidRPr="00F75541">
              <w:rPr>
                <w:color w:val="FFFFFF" w:themeColor="background1"/>
              </w:rPr>
              <w:t xml:space="preserve"> 2026</w:t>
            </w:r>
          </w:p>
        </w:tc>
      </w:tr>
    </w:tbl>
    <w:p w14:paraId="7F148BE3" w14:textId="1A4DA569" w:rsidR="00B461C5" w:rsidRPr="00256E7C" w:rsidRDefault="00B461C5" w:rsidP="00B461C5">
      <w:pPr>
        <w:pStyle w:val="DJCSbody"/>
        <w:sectPr w:rsidR="00B461C5" w:rsidRPr="00256E7C" w:rsidSect="006E5DBA">
          <w:headerReference w:type="even" r:id="rId17"/>
          <w:headerReference w:type="default" r:id="rId18"/>
          <w:footerReference w:type="default" r:id="rId19"/>
          <w:headerReference w:type="first" r:id="rId20"/>
          <w:footerReference w:type="first" r:id="rId21"/>
          <w:type w:val="continuous"/>
          <w:pgSz w:w="11906" w:h="16838" w:code="9"/>
          <w:pgMar w:top="1985" w:right="851" w:bottom="1134" w:left="851" w:header="454" w:footer="567" w:gutter="0"/>
          <w:cols w:space="720"/>
          <w:titlePg/>
          <w:docGrid w:linePitch="360"/>
        </w:sectPr>
      </w:pPr>
    </w:p>
    <w:p w14:paraId="524783F7" w14:textId="77777777" w:rsidR="00B461C5" w:rsidRDefault="00B461C5" w:rsidP="00B461C5">
      <w:pPr>
        <w:pStyle w:val="DJCSbody"/>
      </w:pPr>
    </w:p>
    <w:p w14:paraId="1C9E885A" w14:textId="77777777" w:rsidR="00B461C5" w:rsidRDefault="00B461C5" w:rsidP="00B461C5">
      <w:pPr>
        <w:pStyle w:val="DJCSbody"/>
      </w:pPr>
    </w:p>
    <w:p w14:paraId="195722A1" w14:textId="77777777" w:rsidR="002430EB" w:rsidRDefault="002430EB" w:rsidP="000B1380">
      <w:pPr>
        <w:pStyle w:val="DJCSTOCheadingreport"/>
        <w:sectPr w:rsidR="002430EB" w:rsidSect="006E5DBA">
          <w:headerReference w:type="even" r:id="rId22"/>
          <w:headerReference w:type="default" r:id="rId23"/>
          <w:footerReference w:type="default" r:id="rId24"/>
          <w:headerReference w:type="first" r:id="rId25"/>
          <w:footerReference w:type="first" r:id="rId26"/>
          <w:type w:val="continuous"/>
          <w:pgSz w:w="11906" w:h="16838" w:code="9"/>
          <w:pgMar w:top="1871" w:right="851" w:bottom="1588" w:left="851" w:header="1106" w:footer="567" w:gutter="0"/>
          <w:cols w:space="720"/>
          <w:docGrid w:linePitch="360"/>
        </w:sectPr>
      </w:pPr>
    </w:p>
    <w:p w14:paraId="74C5FB2D" w14:textId="483C8355" w:rsidR="006F3CC0" w:rsidRDefault="006F3CC0" w:rsidP="006F3CC0">
      <w:pPr>
        <w:pStyle w:val="Heading2"/>
        <w:numPr>
          <w:ilvl w:val="0"/>
          <w:numId w:val="0"/>
        </w:numPr>
        <w:ind w:left="851" w:hanging="822"/>
      </w:pPr>
      <w:bookmarkStart w:id="1" w:name="_Toc168051746"/>
      <w:bookmarkStart w:id="2" w:name="_Toc216179660"/>
      <w:r>
        <w:lastRenderedPageBreak/>
        <w:t>Glossary</w:t>
      </w:r>
      <w:bookmarkEnd w:id="1"/>
      <w:bookmarkEnd w:id="2"/>
    </w:p>
    <w:tbl>
      <w:tblPr>
        <w:tblStyle w:val="TableGrid"/>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258"/>
        <w:gridCol w:w="7080"/>
      </w:tblGrid>
      <w:tr w:rsidR="00EC703E" w14:paraId="4146EF4B" w14:textId="77777777" w:rsidTr="00C81B0F">
        <w:tc>
          <w:tcPr>
            <w:tcW w:w="3258" w:type="dxa"/>
          </w:tcPr>
          <w:p w14:paraId="511A40CD" w14:textId="2952FD8C" w:rsidR="00EC703E" w:rsidRDefault="00EC703E" w:rsidP="00EC703E">
            <w:pPr>
              <w:pStyle w:val="DJCSbody-landscape"/>
            </w:pPr>
            <w:r>
              <w:t>Automatic Waiver</w:t>
            </w:r>
          </w:p>
        </w:tc>
        <w:tc>
          <w:tcPr>
            <w:tcW w:w="7080" w:type="dxa"/>
          </w:tcPr>
          <w:p w14:paraId="7734D7C7" w14:textId="6FD5B3CE" w:rsidR="00EC703E" w:rsidRDefault="00EC703E" w:rsidP="00EC703E">
            <w:pPr>
              <w:pStyle w:val="DJCSbody-landscape"/>
            </w:pPr>
            <w:r>
              <w:t xml:space="preserve">The Regulations provide for </w:t>
            </w:r>
            <w:r w:rsidRPr="00703834">
              <w:t xml:space="preserve">a range of proceedings that do not attract a fee. This includes some commencement fees in </w:t>
            </w:r>
            <w:r>
              <w:t>S</w:t>
            </w:r>
            <w:r w:rsidRPr="00703834">
              <w:t xml:space="preserve">chedule 1 and the list of other categories (prescribed grounds) listed in the VCAT </w:t>
            </w:r>
            <w:r>
              <w:t>(Fees) R</w:t>
            </w:r>
            <w:r w:rsidRPr="00703834">
              <w:t>egulations</w:t>
            </w:r>
            <w:r>
              <w:t xml:space="preserve"> 2016</w:t>
            </w:r>
            <w:r w:rsidRPr="00703834">
              <w:t>. There are additional circumstances where fees do not need to be paid as outlined on VCAT</w:t>
            </w:r>
            <w:r>
              <w:t>’</w:t>
            </w:r>
            <w:r w:rsidRPr="00703834">
              <w:t xml:space="preserve">s </w:t>
            </w:r>
            <w:hyperlink r:id="rId27" w:history="1">
              <w:r w:rsidRPr="00703834">
                <w:rPr>
                  <w:rStyle w:val="Hyperlink"/>
                </w:rPr>
                <w:t>website</w:t>
              </w:r>
            </w:hyperlink>
            <w:r w:rsidRPr="00703834">
              <w:t>. VCAT users do not need to apply for these waivers but are required to provide evidence of eligibility.</w:t>
            </w:r>
          </w:p>
        </w:tc>
      </w:tr>
      <w:tr w:rsidR="00EC703E" w14:paraId="40C86C04" w14:textId="77777777" w:rsidTr="00C81B0F">
        <w:tc>
          <w:tcPr>
            <w:tcW w:w="3258" w:type="dxa"/>
          </w:tcPr>
          <w:p w14:paraId="2F663378" w14:textId="2976BC5E" w:rsidR="00EC703E" w:rsidRDefault="00EC703E" w:rsidP="00EC703E">
            <w:pPr>
              <w:pStyle w:val="DJCSbody-landscape"/>
            </w:pPr>
            <w:r>
              <w:t>Compulsory Conference</w:t>
            </w:r>
          </w:p>
        </w:tc>
        <w:tc>
          <w:tcPr>
            <w:tcW w:w="7080" w:type="dxa"/>
          </w:tcPr>
          <w:p w14:paraId="7ED15C21" w14:textId="5A43A7FC" w:rsidR="00EC703E" w:rsidRPr="00703834" w:rsidRDefault="00EC703E" w:rsidP="00EC703E">
            <w:pPr>
              <w:pStyle w:val="DJCSbody-landscape"/>
            </w:pPr>
            <w:r>
              <w:t xml:space="preserve">Before a proceeding is heard by VCAT, VCAT may require parties to attend a conference to clarify issues, identify the key parts of the dispute and promote the settlement of the proceeding. This is established under s83 of the </w:t>
            </w:r>
            <w:r w:rsidRPr="00FA0CF5">
              <w:rPr>
                <w:i/>
                <w:iCs/>
              </w:rPr>
              <w:t>Victorian Civil and Administrative Tribunal Act 1998</w:t>
            </w:r>
            <w:r>
              <w:t>.</w:t>
            </w:r>
          </w:p>
        </w:tc>
      </w:tr>
      <w:tr w:rsidR="00EC703E" w14:paraId="7D9782FE" w14:textId="77777777" w:rsidTr="00C81B0F">
        <w:tc>
          <w:tcPr>
            <w:tcW w:w="3258" w:type="dxa"/>
          </w:tcPr>
          <w:p w14:paraId="706B2EF1" w14:textId="78A80AB5" w:rsidR="00EC703E" w:rsidRDefault="00EC703E" w:rsidP="00EC703E">
            <w:pPr>
              <w:pStyle w:val="DJCSbody-landscape"/>
            </w:pPr>
            <w:r>
              <w:t>Cost Recovery</w:t>
            </w:r>
          </w:p>
        </w:tc>
        <w:tc>
          <w:tcPr>
            <w:tcW w:w="7080" w:type="dxa"/>
          </w:tcPr>
          <w:p w14:paraId="5AF4D4E0" w14:textId="7A7ED62B" w:rsidR="00EC703E" w:rsidRDefault="00EC703E" w:rsidP="00EC703E">
            <w:pPr>
              <w:pStyle w:val="DJCSbody-landscape"/>
            </w:pPr>
            <w:r w:rsidRPr="00703834">
              <w:t>The proportion of VCAT’s total expenditure which is met through the fee revenue collected for VCAT services</w:t>
            </w:r>
            <w:r w:rsidR="00142E9F">
              <w:t>.</w:t>
            </w:r>
          </w:p>
        </w:tc>
      </w:tr>
      <w:tr w:rsidR="00EC703E" w14:paraId="31E072D6" w14:textId="77777777" w:rsidTr="00C81B0F">
        <w:tc>
          <w:tcPr>
            <w:tcW w:w="3258" w:type="dxa"/>
          </w:tcPr>
          <w:p w14:paraId="0EC513FA" w14:textId="77A405F2" w:rsidR="00EC703E" w:rsidRDefault="00EC703E" w:rsidP="00EC703E">
            <w:pPr>
              <w:pStyle w:val="DJCSbody-landscape"/>
            </w:pPr>
            <w:r>
              <w:t>Directions Hearings</w:t>
            </w:r>
          </w:p>
        </w:tc>
        <w:tc>
          <w:tcPr>
            <w:tcW w:w="7080" w:type="dxa"/>
          </w:tcPr>
          <w:p w14:paraId="399C07B5" w14:textId="1A8460FB" w:rsidR="00EC703E" w:rsidRPr="00703834" w:rsidRDefault="00EC703E" w:rsidP="00EC703E">
            <w:pPr>
              <w:pStyle w:val="DJCSbody-landscape"/>
            </w:pPr>
            <w:r>
              <w:t>VCAT send</w:t>
            </w:r>
            <w:r w:rsidR="00C95951">
              <w:t>s</w:t>
            </w:r>
            <w:r>
              <w:t xml:space="preserve"> notice when parties must attend a directions hearing. This is at VCAT’s discretion, or anyone involved in the case can ask for one. Directions hearings are to raise a particular issue that needs to be resolved prior to mediation, compulsory conference or final hearing.</w:t>
            </w:r>
          </w:p>
        </w:tc>
      </w:tr>
      <w:tr w:rsidR="00EC703E" w14:paraId="7C6A893F" w14:textId="77777777" w:rsidTr="00C81B0F">
        <w:tc>
          <w:tcPr>
            <w:tcW w:w="3258" w:type="dxa"/>
          </w:tcPr>
          <w:p w14:paraId="7F4D5D4A" w14:textId="1E96CE0E" w:rsidR="00EC703E" w:rsidRDefault="00EC703E" w:rsidP="00EC703E">
            <w:pPr>
              <w:pStyle w:val="DJCSbody-landscape"/>
            </w:pPr>
            <w:r>
              <w:t>DJCS</w:t>
            </w:r>
          </w:p>
        </w:tc>
        <w:tc>
          <w:tcPr>
            <w:tcW w:w="7080" w:type="dxa"/>
          </w:tcPr>
          <w:p w14:paraId="5600EBFF" w14:textId="1A6BC422" w:rsidR="00EC703E" w:rsidRDefault="00EC703E" w:rsidP="00EC703E">
            <w:pPr>
              <w:pStyle w:val="DJCSbody-landscape"/>
            </w:pPr>
            <w:r>
              <w:t>Department of Justice and Community Safety</w:t>
            </w:r>
          </w:p>
        </w:tc>
      </w:tr>
      <w:tr w:rsidR="00EC703E" w14:paraId="054D6710" w14:textId="77777777" w:rsidTr="00C81B0F">
        <w:tc>
          <w:tcPr>
            <w:tcW w:w="3258" w:type="dxa"/>
          </w:tcPr>
          <w:p w14:paraId="764F7272" w14:textId="0C926761" w:rsidR="00EC703E" w:rsidRDefault="00EC703E" w:rsidP="00EC703E">
            <w:pPr>
              <w:pStyle w:val="DJCSbody-landscape"/>
            </w:pPr>
            <w:r>
              <w:t>Fee Revenue</w:t>
            </w:r>
          </w:p>
        </w:tc>
        <w:tc>
          <w:tcPr>
            <w:tcW w:w="7080" w:type="dxa"/>
          </w:tcPr>
          <w:p w14:paraId="60E67CC4" w14:textId="50C735B1" w:rsidR="00EC703E" w:rsidRDefault="00EC703E" w:rsidP="00EC703E">
            <w:pPr>
              <w:pStyle w:val="DJCSbody-landscape"/>
            </w:pPr>
            <w:r w:rsidRPr="00703834">
              <w:t xml:space="preserve">The revenue raised through fees </w:t>
            </w:r>
            <w:r w:rsidR="0035244C">
              <w:t xml:space="preserve">paid </w:t>
            </w:r>
            <w:r w:rsidRPr="00703834">
              <w:t xml:space="preserve">for services </w:t>
            </w:r>
            <w:r>
              <w:t>at</w:t>
            </w:r>
            <w:r w:rsidRPr="00703834">
              <w:t xml:space="preserve"> VCAT. </w:t>
            </w:r>
          </w:p>
        </w:tc>
      </w:tr>
      <w:tr w:rsidR="00440836" w14:paraId="0DD3A008" w14:textId="77777777" w:rsidTr="00C81B0F">
        <w:tc>
          <w:tcPr>
            <w:tcW w:w="3258" w:type="dxa"/>
          </w:tcPr>
          <w:p w14:paraId="3D02D02F" w14:textId="28ABBCB6" w:rsidR="00440836" w:rsidRDefault="00440836" w:rsidP="00440836">
            <w:pPr>
              <w:pStyle w:val="DJCSbody-landscape"/>
            </w:pPr>
            <w:r>
              <w:t>Injunction</w:t>
            </w:r>
          </w:p>
        </w:tc>
        <w:tc>
          <w:tcPr>
            <w:tcW w:w="7080" w:type="dxa"/>
          </w:tcPr>
          <w:p w14:paraId="2FF9663B" w14:textId="6D8E6918" w:rsidR="00440836" w:rsidRPr="00703834" w:rsidRDefault="00120E02" w:rsidP="00440836">
            <w:pPr>
              <w:pStyle w:val="DJCSbody-landscape"/>
            </w:pPr>
            <w:r>
              <w:t>A</w:t>
            </w:r>
            <w:r w:rsidR="00440836">
              <w:t>n order made by VCAT for a party to do or stop doing something that may cause damage to another party. There are two main types of injunction</w:t>
            </w:r>
            <w:r w:rsidR="001F5EAF">
              <w:t>s</w:t>
            </w:r>
            <w:r w:rsidR="00440836">
              <w:t>: interim injunctions which are temporary until the case is heard at VCAT</w:t>
            </w:r>
            <w:r w:rsidR="00C342C2">
              <w:t>,</w:t>
            </w:r>
            <w:r w:rsidR="00440836">
              <w:t xml:space="preserve"> and permanent injunctions</w:t>
            </w:r>
            <w:r w:rsidR="00E12EEB">
              <w:t xml:space="preserve"> </w:t>
            </w:r>
            <w:r w:rsidR="00C342C2">
              <w:t>which</w:t>
            </w:r>
            <w:r w:rsidR="00E12EEB">
              <w:t xml:space="preserve"> are final orders usually made at the conclusion of a case</w:t>
            </w:r>
            <w:r w:rsidR="00440836">
              <w:t>.</w:t>
            </w:r>
          </w:p>
        </w:tc>
      </w:tr>
      <w:tr w:rsidR="00440836" w14:paraId="2C1DDE57" w14:textId="77777777" w:rsidTr="00C81B0F">
        <w:tc>
          <w:tcPr>
            <w:tcW w:w="3258" w:type="dxa"/>
          </w:tcPr>
          <w:p w14:paraId="7565AF86" w14:textId="593596E9" w:rsidR="00440836" w:rsidRDefault="00440836" w:rsidP="00440836">
            <w:pPr>
              <w:pStyle w:val="DJCSbody-landscape"/>
            </w:pPr>
            <w:r>
              <w:t>Members</w:t>
            </w:r>
          </w:p>
        </w:tc>
        <w:tc>
          <w:tcPr>
            <w:tcW w:w="7080" w:type="dxa"/>
          </w:tcPr>
          <w:p w14:paraId="590B9347" w14:textId="77EB50A4" w:rsidR="00440836" w:rsidRDefault="00440836" w:rsidP="00440836">
            <w:pPr>
              <w:pStyle w:val="DJCSbody-landscape"/>
            </w:pPr>
            <w:r w:rsidRPr="00703834">
              <w:t xml:space="preserve">Lawyers or other specialists appointed by the Governor in Council to apply the law and make impartial, independent decisions on cases </w:t>
            </w:r>
            <w:r>
              <w:t>at</w:t>
            </w:r>
            <w:r w:rsidRPr="00703834">
              <w:t xml:space="preserve"> VCAT.</w:t>
            </w:r>
          </w:p>
        </w:tc>
      </w:tr>
      <w:tr w:rsidR="00440836" w14:paraId="6745C334" w14:textId="77777777" w:rsidTr="00C81B0F">
        <w:tc>
          <w:tcPr>
            <w:tcW w:w="3258" w:type="dxa"/>
          </w:tcPr>
          <w:p w14:paraId="22E5599A" w14:textId="731BA287" w:rsidR="00440836" w:rsidRDefault="00440836" w:rsidP="00440836">
            <w:pPr>
              <w:pStyle w:val="DJCSbody-landscape"/>
            </w:pPr>
            <w:r>
              <w:t>Multi-Criteria Analysis (MCA)</w:t>
            </w:r>
          </w:p>
        </w:tc>
        <w:tc>
          <w:tcPr>
            <w:tcW w:w="7080" w:type="dxa"/>
          </w:tcPr>
          <w:p w14:paraId="53AB220A" w14:textId="0B62BD07" w:rsidR="00440836" w:rsidRDefault="00440836" w:rsidP="00440836">
            <w:pPr>
              <w:pStyle w:val="DJCSbody-landscape"/>
            </w:pPr>
            <w:r>
              <w:t xml:space="preserve">MCA is a decision tool that is used when it is not possible to quantify and value the main costs and benefits of an option. MCA involves specifying </w:t>
            </w:r>
            <w:r w:rsidR="007E445F">
              <w:t>several</w:t>
            </w:r>
            <w:r>
              <w:t xml:space="preserve"> assessment criteria, assigning a weighting to each criterion, assigning scores for each option in relation to each criterion and calculating a weighted score for each option.</w:t>
            </w:r>
          </w:p>
        </w:tc>
      </w:tr>
      <w:tr w:rsidR="00F21E52" w14:paraId="7C8EF3B3" w14:textId="77777777" w:rsidTr="00C81B0F">
        <w:tc>
          <w:tcPr>
            <w:tcW w:w="3258" w:type="dxa"/>
          </w:tcPr>
          <w:p w14:paraId="120AEA3C" w14:textId="255C1F07" w:rsidR="00F21E52" w:rsidRDefault="00F21E52" w:rsidP="00F21E52">
            <w:pPr>
              <w:pStyle w:val="DJCSbody-landscape"/>
            </w:pPr>
            <w:r>
              <w:t>Practice Day Hearings</w:t>
            </w:r>
          </w:p>
        </w:tc>
        <w:tc>
          <w:tcPr>
            <w:tcW w:w="7080" w:type="dxa"/>
          </w:tcPr>
          <w:p w14:paraId="47C8C734" w14:textId="65FA5A08" w:rsidR="00F21E52" w:rsidRDefault="000937A0" w:rsidP="00F21E52">
            <w:pPr>
              <w:pStyle w:val="DJCSbody-landscape"/>
            </w:pPr>
            <w:r>
              <w:t>A</w:t>
            </w:r>
            <w:r w:rsidR="00F21E52">
              <w:t xml:space="preserve"> party or proposed party can ask for a </w:t>
            </w:r>
            <w:r>
              <w:t xml:space="preserve">practice day </w:t>
            </w:r>
            <w:r w:rsidR="00F21E52">
              <w:t xml:space="preserve">hearing or VCAT can decide to hold a </w:t>
            </w:r>
            <w:r>
              <w:t xml:space="preserve">practice day </w:t>
            </w:r>
            <w:r w:rsidR="00F21E52">
              <w:t xml:space="preserve">hearing. These </w:t>
            </w:r>
            <w:r>
              <w:t>hearings</w:t>
            </w:r>
            <w:r w:rsidR="00F21E52">
              <w:t xml:space="preserve"> are held only for some planning and environment cases. Practice day hearings are for raising particular issues before the scheduled hearing day at VCAT. This may result in an order, the matter being directed to a compulsory conference</w:t>
            </w:r>
            <w:r w:rsidR="00AE337C">
              <w:t>,</w:t>
            </w:r>
            <w:r w:rsidR="00F21E52">
              <w:t xml:space="preserve"> or a further hearing.</w:t>
            </w:r>
          </w:p>
        </w:tc>
      </w:tr>
      <w:tr w:rsidR="006F3CC0" w14:paraId="7AC34FF2" w14:textId="77777777" w:rsidTr="00C81B0F">
        <w:tc>
          <w:tcPr>
            <w:tcW w:w="3258" w:type="dxa"/>
          </w:tcPr>
          <w:p w14:paraId="58397898" w14:textId="77777777" w:rsidR="006F3CC0" w:rsidRDefault="006F3CC0">
            <w:pPr>
              <w:pStyle w:val="DJCSbody-landscape"/>
            </w:pPr>
            <w:r>
              <w:t>RIS</w:t>
            </w:r>
          </w:p>
        </w:tc>
        <w:tc>
          <w:tcPr>
            <w:tcW w:w="7080" w:type="dxa"/>
          </w:tcPr>
          <w:p w14:paraId="2FD4335D" w14:textId="77777777" w:rsidR="006F3CC0" w:rsidRPr="00B453B0" w:rsidRDefault="006F3CC0">
            <w:pPr>
              <w:pStyle w:val="DJCSbody-landscape"/>
            </w:pPr>
            <w:r>
              <w:t>Regulatory Impact Statement</w:t>
            </w:r>
          </w:p>
        </w:tc>
      </w:tr>
      <w:tr w:rsidR="00F21E52" w14:paraId="661926E8" w14:textId="77777777" w:rsidTr="00C81B0F">
        <w:tc>
          <w:tcPr>
            <w:tcW w:w="3258" w:type="dxa"/>
          </w:tcPr>
          <w:p w14:paraId="5A2CED0B" w14:textId="7139BE81" w:rsidR="00F21E52" w:rsidRDefault="00F21E52" w:rsidP="00F21E52">
            <w:pPr>
              <w:pStyle w:val="DJCSbody-landscape"/>
            </w:pPr>
            <w:r>
              <w:t>Stay</w:t>
            </w:r>
          </w:p>
        </w:tc>
        <w:tc>
          <w:tcPr>
            <w:tcW w:w="7080" w:type="dxa"/>
          </w:tcPr>
          <w:p w14:paraId="088EB742" w14:textId="505CD05A" w:rsidR="00F21E52" w:rsidRDefault="00F21E52" w:rsidP="00F21E52">
            <w:pPr>
              <w:pStyle w:val="DJCSbody-landscape"/>
            </w:pPr>
            <w:r>
              <w:t xml:space="preserve">A type of order that places the original decision on hold. </w:t>
            </w:r>
            <w:r w:rsidR="00A80B58">
              <w:t xml:space="preserve">To seek a stay, </w:t>
            </w:r>
            <w:r>
              <w:t xml:space="preserve">VCAT users need to fill in an application form and outline why a stay is </w:t>
            </w:r>
            <w:r w:rsidR="00A80B58">
              <w:t>necessary</w:t>
            </w:r>
            <w:r>
              <w:t>.</w:t>
            </w:r>
          </w:p>
        </w:tc>
      </w:tr>
      <w:tr w:rsidR="00024CCE" w14:paraId="20783ACE" w14:textId="77777777" w:rsidTr="00C81B0F">
        <w:tc>
          <w:tcPr>
            <w:tcW w:w="3258" w:type="dxa"/>
          </w:tcPr>
          <w:p w14:paraId="5E17725B" w14:textId="7E733727" w:rsidR="00024CCE" w:rsidRDefault="00024CCE" w:rsidP="00F21E52">
            <w:pPr>
              <w:pStyle w:val="DJCSbody-landscape"/>
            </w:pPr>
            <w:r>
              <w:lastRenderedPageBreak/>
              <w:t>Sunsetting</w:t>
            </w:r>
            <w:r w:rsidR="00D1613F">
              <w:t xml:space="preserve"> </w:t>
            </w:r>
            <w:r>
              <w:t>/ Sunset</w:t>
            </w:r>
          </w:p>
        </w:tc>
        <w:tc>
          <w:tcPr>
            <w:tcW w:w="7080" w:type="dxa"/>
          </w:tcPr>
          <w:p w14:paraId="4425A651" w14:textId="21DE4C27" w:rsidR="00126130" w:rsidRDefault="003614F1" w:rsidP="00126130">
            <w:pPr>
              <w:pStyle w:val="DJCSbody-landscape"/>
            </w:pPr>
            <w:r>
              <w:t xml:space="preserve">The term ‘sunset’ refers to </w:t>
            </w:r>
            <w:r w:rsidR="004569AD">
              <w:t>the</w:t>
            </w:r>
            <w:r>
              <w:t xml:space="preserve"> automatic expiration date for laws, government programs, or agencies.</w:t>
            </w:r>
          </w:p>
          <w:p w14:paraId="448AEB78" w14:textId="14060C2E" w:rsidR="00024CCE" w:rsidRDefault="003614F1" w:rsidP="00F21E52">
            <w:pPr>
              <w:pStyle w:val="DJCSbody-landscape"/>
            </w:pPr>
            <w:r>
              <w:t xml:space="preserve">A sunset law </w:t>
            </w:r>
            <w:r w:rsidR="0045528C">
              <w:t xml:space="preserve">or clause </w:t>
            </w:r>
            <w:r>
              <w:t xml:space="preserve">automatically terminates a government program or law on a certain date unless the </w:t>
            </w:r>
            <w:r w:rsidR="00F712A5">
              <w:t xml:space="preserve">relevant enabling regulations or legislation is </w:t>
            </w:r>
            <w:r>
              <w:t>renew</w:t>
            </w:r>
            <w:r w:rsidR="00F712A5">
              <w:t>ed.</w:t>
            </w:r>
            <w:r>
              <w:t xml:space="preserve"> </w:t>
            </w:r>
            <w:r w:rsidR="00707EB0">
              <w:t>This is</w:t>
            </w:r>
            <w:r>
              <w:t xml:space="preserve"> designed to ensure that laws and programs are periodically reviewed for their effectiveness and relevance</w:t>
            </w:r>
            <w:r w:rsidR="00745C38">
              <w:t>.</w:t>
            </w:r>
          </w:p>
        </w:tc>
      </w:tr>
      <w:tr w:rsidR="006F3CC0" w:rsidRPr="009E37EA" w14:paraId="2E912F72" w14:textId="77777777" w:rsidTr="00C81B0F">
        <w:tc>
          <w:tcPr>
            <w:tcW w:w="3258" w:type="dxa"/>
          </w:tcPr>
          <w:p w14:paraId="46B05921" w14:textId="77777777" w:rsidR="006F3CC0" w:rsidRPr="009E37EA" w:rsidRDefault="006F3CC0">
            <w:pPr>
              <w:pStyle w:val="DJCSbody-landscape"/>
            </w:pPr>
            <w:r w:rsidRPr="009E37EA">
              <w:t>The Regulations</w:t>
            </w:r>
          </w:p>
        </w:tc>
        <w:tc>
          <w:tcPr>
            <w:tcW w:w="7080" w:type="dxa"/>
          </w:tcPr>
          <w:p w14:paraId="76582505" w14:textId="1D6E8082" w:rsidR="006F3CC0" w:rsidRPr="009E37EA" w:rsidRDefault="006F3CC0">
            <w:pPr>
              <w:pStyle w:val="DJCSbody-landscape"/>
            </w:pPr>
            <w:r w:rsidRPr="006F3CC0">
              <w:t>Victorian Civil and Administrative Tribunal (Fees) Regulations 2016</w:t>
            </w:r>
          </w:p>
        </w:tc>
      </w:tr>
      <w:tr w:rsidR="006F3CC0" w:rsidRPr="009E37EA" w14:paraId="67B85838" w14:textId="77777777" w:rsidTr="00C81B0F">
        <w:tc>
          <w:tcPr>
            <w:tcW w:w="3258" w:type="dxa"/>
          </w:tcPr>
          <w:p w14:paraId="12D6015B" w14:textId="52C7ABA5" w:rsidR="006F3CC0" w:rsidRPr="009E37EA" w:rsidRDefault="006F3CC0">
            <w:pPr>
              <w:pStyle w:val="DJCSbody-landscape"/>
            </w:pPr>
            <w:r w:rsidRPr="009E37EA">
              <w:t xml:space="preserve">The </w:t>
            </w:r>
            <w:r w:rsidR="00EF0E42">
              <w:t>P</w:t>
            </w:r>
            <w:r w:rsidR="00EF0E42" w:rsidRPr="009E37EA">
              <w:t xml:space="preserve">roposed </w:t>
            </w:r>
            <w:r w:rsidRPr="009E37EA">
              <w:t>Regulations</w:t>
            </w:r>
          </w:p>
        </w:tc>
        <w:tc>
          <w:tcPr>
            <w:tcW w:w="7080" w:type="dxa"/>
          </w:tcPr>
          <w:p w14:paraId="36FECAD7" w14:textId="5110B5C7" w:rsidR="006F3CC0" w:rsidRPr="009E37EA" w:rsidRDefault="006F3CC0">
            <w:pPr>
              <w:pStyle w:val="DJCSbody-landscape"/>
            </w:pPr>
            <w:r w:rsidRPr="006F3CC0">
              <w:t xml:space="preserve">Victorian Civil and Administrative </w:t>
            </w:r>
            <w:r w:rsidR="00E83D1A">
              <w:t xml:space="preserve">Tribunal </w:t>
            </w:r>
            <w:r w:rsidRPr="006F3CC0">
              <w:t>(Fees) Regulations 2026</w:t>
            </w:r>
          </w:p>
        </w:tc>
      </w:tr>
      <w:tr w:rsidR="006F3CC0" w:rsidRPr="009E37EA" w14:paraId="5BC741BA" w14:textId="77777777" w:rsidTr="00C81B0F">
        <w:tc>
          <w:tcPr>
            <w:tcW w:w="3258" w:type="dxa"/>
          </w:tcPr>
          <w:p w14:paraId="175A0EBE" w14:textId="77777777" w:rsidR="006F3CC0" w:rsidRPr="009E37EA" w:rsidRDefault="006F3CC0">
            <w:pPr>
              <w:pStyle w:val="DJCSbody-landscape"/>
            </w:pPr>
            <w:r w:rsidRPr="009E37EA">
              <w:t>VCAT</w:t>
            </w:r>
          </w:p>
        </w:tc>
        <w:tc>
          <w:tcPr>
            <w:tcW w:w="7080" w:type="dxa"/>
          </w:tcPr>
          <w:p w14:paraId="74F450A8" w14:textId="77777777" w:rsidR="006F3CC0" w:rsidRPr="009E37EA" w:rsidRDefault="006F3CC0">
            <w:pPr>
              <w:pStyle w:val="DJCSbody-landscape"/>
            </w:pPr>
            <w:r w:rsidRPr="009E37EA">
              <w:t>The Victorian Civil and Administrative Tribunal</w:t>
            </w:r>
          </w:p>
        </w:tc>
      </w:tr>
    </w:tbl>
    <w:p w14:paraId="5D830B14" w14:textId="77777777" w:rsidR="006F3CC0" w:rsidRPr="006F3CC0" w:rsidRDefault="006F3CC0" w:rsidP="000B1380">
      <w:pPr>
        <w:pStyle w:val="DJCSTOCheadingreport"/>
        <w:rPr>
          <w:b w:val="0"/>
          <w:bCs w:val="0"/>
        </w:rPr>
      </w:pPr>
    </w:p>
    <w:p w14:paraId="2D0DB2D3" w14:textId="77777777" w:rsidR="006F3CC0" w:rsidRDefault="006F3CC0" w:rsidP="000B1380">
      <w:pPr>
        <w:pStyle w:val="DJCSTOCheadingreport"/>
      </w:pPr>
    </w:p>
    <w:p w14:paraId="079854F3" w14:textId="77777777" w:rsidR="006F3CC0" w:rsidRDefault="006F3CC0" w:rsidP="000B1380">
      <w:pPr>
        <w:pStyle w:val="DJCSTOCheadingreport"/>
        <w:sectPr w:rsidR="006F3CC0" w:rsidSect="00C329DD">
          <w:headerReference w:type="even" r:id="rId28"/>
          <w:headerReference w:type="default" r:id="rId29"/>
          <w:footerReference w:type="default" r:id="rId30"/>
          <w:headerReference w:type="first" r:id="rId31"/>
          <w:footerReference w:type="first" r:id="rId32"/>
          <w:pgSz w:w="11906" w:h="16838" w:code="9"/>
          <w:pgMar w:top="1418" w:right="707" w:bottom="1588" w:left="851" w:header="283" w:footer="680" w:gutter="0"/>
          <w:cols w:space="720"/>
          <w:docGrid w:linePitch="360"/>
        </w:sectPr>
      </w:pPr>
    </w:p>
    <w:p w14:paraId="3ED833F5" w14:textId="7E04B15D" w:rsidR="00AC0C3B" w:rsidRPr="00F61E9E" w:rsidRDefault="002B124B" w:rsidP="000B1380">
      <w:pPr>
        <w:pStyle w:val="DJCSTOCheadingreport"/>
      </w:pPr>
      <w:r w:rsidRPr="00F61E9E">
        <w:lastRenderedPageBreak/>
        <w:t>Table of c</w:t>
      </w:r>
      <w:r w:rsidR="00AC0C3B" w:rsidRPr="00F61E9E">
        <w:t>ontents</w:t>
      </w:r>
    </w:p>
    <w:p w14:paraId="4CEDA868" w14:textId="07DC7C98" w:rsidR="00534658" w:rsidRDefault="00BE6A62">
      <w:pPr>
        <w:pStyle w:val="TOC2"/>
        <w:rPr>
          <w:rFonts w:asciiTheme="minorHAnsi" w:eastAsiaTheme="minorEastAsia" w:hAnsiTheme="minorHAnsi" w:cstheme="minorBidi"/>
          <w:kern w:val="2"/>
          <w:sz w:val="24"/>
          <w:szCs w:val="24"/>
          <w:lang w:eastAsia="en-AU"/>
          <w14:ligatures w14:val="standardContextual"/>
        </w:rPr>
      </w:pPr>
      <w:r w:rsidRPr="00F61E9E">
        <w:rPr>
          <w:noProof w:val="0"/>
        </w:rPr>
        <w:fldChar w:fldCharType="begin"/>
      </w:r>
      <w:r w:rsidRPr="00F61E9E">
        <w:rPr>
          <w:noProof w:val="0"/>
        </w:rPr>
        <w:instrText xml:space="preserve"> TOC \o "1-3" \h \z \u </w:instrText>
      </w:r>
      <w:r w:rsidRPr="00F61E9E">
        <w:rPr>
          <w:noProof w:val="0"/>
        </w:rPr>
        <w:fldChar w:fldCharType="separate"/>
      </w:r>
      <w:hyperlink w:anchor="_Toc216179660" w:history="1">
        <w:r w:rsidR="00534658" w:rsidRPr="002166B6">
          <w:rPr>
            <w:rStyle w:val="Hyperlink"/>
          </w:rPr>
          <w:t>Glossary</w:t>
        </w:r>
        <w:r w:rsidR="00534658">
          <w:rPr>
            <w:webHidden/>
          </w:rPr>
          <w:tab/>
        </w:r>
        <w:r w:rsidR="00534658">
          <w:rPr>
            <w:webHidden/>
          </w:rPr>
          <w:fldChar w:fldCharType="begin"/>
        </w:r>
        <w:r w:rsidR="00534658">
          <w:rPr>
            <w:webHidden/>
          </w:rPr>
          <w:instrText xml:space="preserve"> PAGEREF _Toc216179660 \h </w:instrText>
        </w:r>
        <w:r w:rsidR="00534658">
          <w:rPr>
            <w:webHidden/>
          </w:rPr>
        </w:r>
        <w:r w:rsidR="00534658">
          <w:rPr>
            <w:webHidden/>
          </w:rPr>
          <w:fldChar w:fldCharType="separate"/>
        </w:r>
        <w:r w:rsidR="00534658">
          <w:rPr>
            <w:webHidden/>
          </w:rPr>
          <w:t>2</w:t>
        </w:r>
        <w:r w:rsidR="00534658">
          <w:rPr>
            <w:webHidden/>
          </w:rPr>
          <w:fldChar w:fldCharType="end"/>
        </w:r>
      </w:hyperlink>
    </w:p>
    <w:p w14:paraId="54628748" w14:textId="3265D11F"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661" w:history="1">
        <w:r w:rsidRPr="002166B6">
          <w:rPr>
            <w:rStyle w:val="Hyperlink"/>
          </w:rPr>
          <w:t>1.</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Executive Summary</w:t>
        </w:r>
        <w:r>
          <w:rPr>
            <w:webHidden/>
          </w:rPr>
          <w:tab/>
        </w:r>
        <w:r>
          <w:rPr>
            <w:webHidden/>
          </w:rPr>
          <w:fldChar w:fldCharType="begin"/>
        </w:r>
        <w:r>
          <w:rPr>
            <w:webHidden/>
          </w:rPr>
          <w:instrText xml:space="preserve"> PAGEREF _Toc216179661 \h </w:instrText>
        </w:r>
        <w:r>
          <w:rPr>
            <w:webHidden/>
          </w:rPr>
        </w:r>
        <w:r>
          <w:rPr>
            <w:webHidden/>
          </w:rPr>
          <w:fldChar w:fldCharType="separate"/>
        </w:r>
        <w:r>
          <w:rPr>
            <w:webHidden/>
          </w:rPr>
          <w:t>7</w:t>
        </w:r>
        <w:r>
          <w:rPr>
            <w:webHidden/>
          </w:rPr>
          <w:fldChar w:fldCharType="end"/>
        </w:r>
      </w:hyperlink>
    </w:p>
    <w:p w14:paraId="62ECA567" w14:textId="354D5593"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662" w:history="1">
        <w:r w:rsidRPr="002166B6">
          <w:rPr>
            <w:rStyle w:val="Hyperlink"/>
          </w:rPr>
          <w:t>1.1</w:t>
        </w:r>
        <w:r>
          <w:rPr>
            <w:rFonts w:asciiTheme="minorHAnsi" w:eastAsiaTheme="minorEastAsia" w:hAnsiTheme="minorHAnsi" w:cstheme="minorBidi"/>
            <w:kern w:val="2"/>
            <w:sz w:val="24"/>
            <w:szCs w:val="24"/>
            <w:lang w:eastAsia="en-AU"/>
            <w14:ligatures w14:val="standardContextual"/>
          </w:rPr>
          <w:tab/>
        </w:r>
        <w:r w:rsidRPr="002166B6">
          <w:rPr>
            <w:rStyle w:val="Hyperlink"/>
          </w:rPr>
          <w:t>Purpose of this document</w:t>
        </w:r>
        <w:r>
          <w:rPr>
            <w:webHidden/>
          </w:rPr>
          <w:tab/>
        </w:r>
        <w:r>
          <w:rPr>
            <w:webHidden/>
          </w:rPr>
          <w:fldChar w:fldCharType="begin"/>
        </w:r>
        <w:r>
          <w:rPr>
            <w:webHidden/>
          </w:rPr>
          <w:instrText xml:space="preserve"> PAGEREF _Toc216179662 \h </w:instrText>
        </w:r>
        <w:r>
          <w:rPr>
            <w:webHidden/>
          </w:rPr>
        </w:r>
        <w:r>
          <w:rPr>
            <w:webHidden/>
          </w:rPr>
          <w:fldChar w:fldCharType="separate"/>
        </w:r>
        <w:r>
          <w:rPr>
            <w:webHidden/>
          </w:rPr>
          <w:t>7</w:t>
        </w:r>
        <w:r>
          <w:rPr>
            <w:webHidden/>
          </w:rPr>
          <w:fldChar w:fldCharType="end"/>
        </w:r>
      </w:hyperlink>
    </w:p>
    <w:p w14:paraId="2B924EDD" w14:textId="00CBB442"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663" w:history="1">
        <w:r w:rsidRPr="002166B6">
          <w:rPr>
            <w:rStyle w:val="Hyperlink"/>
          </w:rPr>
          <w:t>1.2</w:t>
        </w:r>
        <w:r>
          <w:rPr>
            <w:rFonts w:asciiTheme="minorHAnsi" w:eastAsiaTheme="minorEastAsia" w:hAnsiTheme="minorHAnsi" w:cstheme="minorBidi"/>
            <w:kern w:val="2"/>
            <w:sz w:val="24"/>
            <w:szCs w:val="24"/>
            <w:lang w:eastAsia="en-AU"/>
            <w14:ligatures w14:val="standardContextual"/>
          </w:rPr>
          <w:tab/>
        </w:r>
        <w:r w:rsidRPr="002166B6">
          <w:rPr>
            <w:rStyle w:val="Hyperlink"/>
          </w:rPr>
          <w:t>Victorian Civil and Administrative Tribunal (Fees) Regulations</w:t>
        </w:r>
        <w:r>
          <w:rPr>
            <w:webHidden/>
          </w:rPr>
          <w:tab/>
        </w:r>
        <w:r>
          <w:rPr>
            <w:webHidden/>
          </w:rPr>
          <w:fldChar w:fldCharType="begin"/>
        </w:r>
        <w:r>
          <w:rPr>
            <w:webHidden/>
          </w:rPr>
          <w:instrText xml:space="preserve"> PAGEREF _Toc216179663 \h </w:instrText>
        </w:r>
        <w:r>
          <w:rPr>
            <w:webHidden/>
          </w:rPr>
        </w:r>
        <w:r>
          <w:rPr>
            <w:webHidden/>
          </w:rPr>
          <w:fldChar w:fldCharType="separate"/>
        </w:r>
        <w:r>
          <w:rPr>
            <w:webHidden/>
          </w:rPr>
          <w:t>7</w:t>
        </w:r>
        <w:r>
          <w:rPr>
            <w:webHidden/>
          </w:rPr>
          <w:fldChar w:fldCharType="end"/>
        </w:r>
      </w:hyperlink>
    </w:p>
    <w:p w14:paraId="26E84416" w14:textId="1EBF09BA"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64" w:history="1">
        <w:r w:rsidRPr="002166B6">
          <w:rPr>
            <w:rStyle w:val="Hyperlink"/>
          </w:rPr>
          <w:t>1.2.1</w:t>
        </w:r>
        <w:r>
          <w:rPr>
            <w:rFonts w:asciiTheme="minorHAnsi" w:eastAsiaTheme="minorEastAsia" w:hAnsiTheme="minorHAnsi" w:cstheme="minorBidi"/>
            <w:kern w:val="2"/>
            <w:sz w:val="24"/>
            <w:szCs w:val="24"/>
            <w:lang w:eastAsia="en-AU"/>
            <w14:ligatures w14:val="standardContextual"/>
          </w:rPr>
          <w:tab/>
        </w:r>
        <w:r w:rsidRPr="002166B6">
          <w:rPr>
            <w:rStyle w:val="Hyperlink"/>
          </w:rPr>
          <w:t>Background</w:t>
        </w:r>
        <w:r>
          <w:rPr>
            <w:webHidden/>
          </w:rPr>
          <w:tab/>
        </w:r>
        <w:r>
          <w:rPr>
            <w:webHidden/>
          </w:rPr>
          <w:fldChar w:fldCharType="begin"/>
        </w:r>
        <w:r>
          <w:rPr>
            <w:webHidden/>
          </w:rPr>
          <w:instrText xml:space="preserve"> PAGEREF _Toc216179664 \h </w:instrText>
        </w:r>
        <w:r>
          <w:rPr>
            <w:webHidden/>
          </w:rPr>
        </w:r>
        <w:r>
          <w:rPr>
            <w:webHidden/>
          </w:rPr>
          <w:fldChar w:fldCharType="separate"/>
        </w:r>
        <w:r>
          <w:rPr>
            <w:webHidden/>
          </w:rPr>
          <w:t>7</w:t>
        </w:r>
        <w:r>
          <w:rPr>
            <w:webHidden/>
          </w:rPr>
          <w:fldChar w:fldCharType="end"/>
        </w:r>
      </w:hyperlink>
    </w:p>
    <w:p w14:paraId="3788C4A1" w14:textId="65D4C859"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65" w:history="1">
        <w:r w:rsidRPr="002166B6">
          <w:rPr>
            <w:rStyle w:val="Hyperlink"/>
          </w:rPr>
          <w:t>1.2.2</w:t>
        </w:r>
        <w:r>
          <w:rPr>
            <w:rFonts w:asciiTheme="minorHAnsi" w:eastAsiaTheme="minorEastAsia" w:hAnsiTheme="minorHAnsi" w:cstheme="minorBidi"/>
            <w:kern w:val="2"/>
            <w:sz w:val="24"/>
            <w:szCs w:val="24"/>
            <w:lang w:eastAsia="en-AU"/>
            <w14:ligatures w14:val="standardContextual"/>
          </w:rPr>
          <w:tab/>
        </w:r>
        <w:r w:rsidRPr="002166B6">
          <w:rPr>
            <w:rStyle w:val="Hyperlink"/>
          </w:rPr>
          <w:t>Problem analysis</w:t>
        </w:r>
        <w:r>
          <w:rPr>
            <w:webHidden/>
          </w:rPr>
          <w:tab/>
        </w:r>
        <w:r>
          <w:rPr>
            <w:webHidden/>
          </w:rPr>
          <w:fldChar w:fldCharType="begin"/>
        </w:r>
        <w:r>
          <w:rPr>
            <w:webHidden/>
          </w:rPr>
          <w:instrText xml:space="preserve"> PAGEREF _Toc216179665 \h </w:instrText>
        </w:r>
        <w:r>
          <w:rPr>
            <w:webHidden/>
          </w:rPr>
        </w:r>
        <w:r>
          <w:rPr>
            <w:webHidden/>
          </w:rPr>
          <w:fldChar w:fldCharType="separate"/>
        </w:r>
        <w:r>
          <w:rPr>
            <w:webHidden/>
          </w:rPr>
          <w:t>8</w:t>
        </w:r>
        <w:r>
          <w:rPr>
            <w:webHidden/>
          </w:rPr>
          <w:fldChar w:fldCharType="end"/>
        </w:r>
      </w:hyperlink>
    </w:p>
    <w:p w14:paraId="14EC16A7" w14:textId="1F3CBA69"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66" w:history="1">
        <w:r w:rsidRPr="002166B6">
          <w:rPr>
            <w:rStyle w:val="Hyperlink"/>
          </w:rPr>
          <w:t>1.2.3</w:t>
        </w:r>
        <w:r>
          <w:rPr>
            <w:rFonts w:asciiTheme="minorHAnsi" w:eastAsiaTheme="minorEastAsia" w:hAnsiTheme="minorHAnsi" w:cstheme="minorBidi"/>
            <w:kern w:val="2"/>
            <w:sz w:val="24"/>
            <w:szCs w:val="24"/>
            <w:lang w:eastAsia="en-AU"/>
            <w14:ligatures w14:val="standardContextual"/>
          </w:rPr>
          <w:tab/>
        </w:r>
        <w:r w:rsidRPr="002166B6">
          <w:rPr>
            <w:rStyle w:val="Hyperlink"/>
          </w:rPr>
          <w:t>Objectives</w:t>
        </w:r>
        <w:r>
          <w:rPr>
            <w:webHidden/>
          </w:rPr>
          <w:tab/>
        </w:r>
        <w:r>
          <w:rPr>
            <w:webHidden/>
          </w:rPr>
          <w:fldChar w:fldCharType="begin"/>
        </w:r>
        <w:r>
          <w:rPr>
            <w:webHidden/>
          </w:rPr>
          <w:instrText xml:space="preserve"> PAGEREF _Toc216179666 \h </w:instrText>
        </w:r>
        <w:r>
          <w:rPr>
            <w:webHidden/>
          </w:rPr>
        </w:r>
        <w:r>
          <w:rPr>
            <w:webHidden/>
          </w:rPr>
          <w:fldChar w:fldCharType="separate"/>
        </w:r>
        <w:r>
          <w:rPr>
            <w:webHidden/>
          </w:rPr>
          <w:t>8</w:t>
        </w:r>
        <w:r>
          <w:rPr>
            <w:webHidden/>
          </w:rPr>
          <w:fldChar w:fldCharType="end"/>
        </w:r>
      </w:hyperlink>
    </w:p>
    <w:p w14:paraId="402DC70E" w14:textId="4FD8F816"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67" w:history="1">
        <w:r w:rsidRPr="002166B6">
          <w:rPr>
            <w:rStyle w:val="Hyperlink"/>
          </w:rPr>
          <w:t>1.2.4</w:t>
        </w:r>
        <w:r>
          <w:rPr>
            <w:rFonts w:asciiTheme="minorHAnsi" w:eastAsiaTheme="minorEastAsia" w:hAnsiTheme="minorHAnsi" w:cstheme="minorBidi"/>
            <w:kern w:val="2"/>
            <w:sz w:val="24"/>
            <w:szCs w:val="24"/>
            <w:lang w:eastAsia="en-AU"/>
            <w14:ligatures w14:val="standardContextual"/>
          </w:rPr>
          <w:tab/>
        </w:r>
        <w:r w:rsidRPr="002166B6">
          <w:rPr>
            <w:rStyle w:val="Hyperlink"/>
          </w:rPr>
          <w:t>Options and analysis</w:t>
        </w:r>
        <w:r>
          <w:rPr>
            <w:webHidden/>
          </w:rPr>
          <w:tab/>
        </w:r>
        <w:r>
          <w:rPr>
            <w:webHidden/>
          </w:rPr>
          <w:fldChar w:fldCharType="begin"/>
        </w:r>
        <w:r>
          <w:rPr>
            <w:webHidden/>
          </w:rPr>
          <w:instrText xml:space="preserve"> PAGEREF _Toc216179667 \h </w:instrText>
        </w:r>
        <w:r>
          <w:rPr>
            <w:webHidden/>
          </w:rPr>
        </w:r>
        <w:r>
          <w:rPr>
            <w:webHidden/>
          </w:rPr>
          <w:fldChar w:fldCharType="separate"/>
        </w:r>
        <w:r>
          <w:rPr>
            <w:webHidden/>
          </w:rPr>
          <w:t>9</w:t>
        </w:r>
        <w:r>
          <w:rPr>
            <w:webHidden/>
          </w:rPr>
          <w:fldChar w:fldCharType="end"/>
        </w:r>
      </w:hyperlink>
    </w:p>
    <w:p w14:paraId="373A3B61" w14:textId="40454BAB"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68" w:history="1">
        <w:r w:rsidRPr="002166B6">
          <w:rPr>
            <w:rStyle w:val="Hyperlink"/>
          </w:rPr>
          <w:t>1.2.5</w:t>
        </w:r>
        <w:r>
          <w:rPr>
            <w:rFonts w:asciiTheme="minorHAnsi" w:eastAsiaTheme="minorEastAsia" w:hAnsiTheme="minorHAnsi" w:cstheme="minorBidi"/>
            <w:kern w:val="2"/>
            <w:sz w:val="24"/>
            <w:szCs w:val="24"/>
            <w:lang w:eastAsia="en-AU"/>
            <w14:ligatures w14:val="standardContextual"/>
          </w:rPr>
          <w:tab/>
        </w:r>
        <w:r w:rsidRPr="002166B6">
          <w:rPr>
            <w:rStyle w:val="Hyperlink"/>
          </w:rPr>
          <w:t>Preferred option</w:t>
        </w:r>
        <w:r>
          <w:rPr>
            <w:webHidden/>
          </w:rPr>
          <w:tab/>
        </w:r>
        <w:r>
          <w:rPr>
            <w:webHidden/>
          </w:rPr>
          <w:fldChar w:fldCharType="begin"/>
        </w:r>
        <w:r>
          <w:rPr>
            <w:webHidden/>
          </w:rPr>
          <w:instrText xml:space="preserve"> PAGEREF _Toc216179668 \h </w:instrText>
        </w:r>
        <w:r>
          <w:rPr>
            <w:webHidden/>
          </w:rPr>
        </w:r>
        <w:r>
          <w:rPr>
            <w:webHidden/>
          </w:rPr>
          <w:fldChar w:fldCharType="separate"/>
        </w:r>
        <w:r>
          <w:rPr>
            <w:webHidden/>
          </w:rPr>
          <w:t>12</w:t>
        </w:r>
        <w:r>
          <w:rPr>
            <w:webHidden/>
          </w:rPr>
          <w:fldChar w:fldCharType="end"/>
        </w:r>
      </w:hyperlink>
    </w:p>
    <w:p w14:paraId="5004C32A" w14:textId="4255C220"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69" w:history="1">
        <w:r w:rsidRPr="002166B6">
          <w:rPr>
            <w:rStyle w:val="Hyperlink"/>
          </w:rPr>
          <w:t>1.2.6</w:t>
        </w:r>
        <w:r>
          <w:rPr>
            <w:rFonts w:asciiTheme="minorHAnsi" w:eastAsiaTheme="minorEastAsia" w:hAnsiTheme="minorHAnsi" w:cstheme="minorBidi"/>
            <w:kern w:val="2"/>
            <w:sz w:val="24"/>
            <w:szCs w:val="24"/>
            <w:lang w:eastAsia="en-AU"/>
            <w14:ligatures w14:val="standardContextual"/>
          </w:rPr>
          <w:tab/>
        </w:r>
        <w:r w:rsidRPr="002166B6">
          <w:rPr>
            <w:rStyle w:val="Hyperlink"/>
          </w:rPr>
          <w:t>Implementation and evaluation</w:t>
        </w:r>
        <w:r>
          <w:rPr>
            <w:webHidden/>
          </w:rPr>
          <w:tab/>
        </w:r>
        <w:r>
          <w:rPr>
            <w:webHidden/>
          </w:rPr>
          <w:fldChar w:fldCharType="begin"/>
        </w:r>
        <w:r>
          <w:rPr>
            <w:webHidden/>
          </w:rPr>
          <w:instrText xml:space="preserve"> PAGEREF _Toc216179669 \h </w:instrText>
        </w:r>
        <w:r>
          <w:rPr>
            <w:webHidden/>
          </w:rPr>
        </w:r>
        <w:r>
          <w:rPr>
            <w:webHidden/>
          </w:rPr>
          <w:fldChar w:fldCharType="separate"/>
        </w:r>
        <w:r>
          <w:rPr>
            <w:webHidden/>
          </w:rPr>
          <w:t>12</w:t>
        </w:r>
        <w:r>
          <w:rPr>
            <w:webHidden/>
          </w:rPr>
          <w:fldChar w:fldCharType="end"/>
        </w:r>
      </w:hyperlink>
    </w:p>
    <w:p w14:paraId="61C014AC" w14:textId="320AF01C"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670" w:history="1">
        <w:r w:rsidRPr="002166B6">
          <w:rPr>
            <w:rStyle w:val="Hyperlink"/>
          </w:rPr>
          <w:t>2.</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Background</w:t>
        </w:r>
        <w:r>
          <w:rPr>
            <w:webHidden/>
          </w:rPr>
          <w:tab/>
        </w:r>
        <w:r>
          <w:rPr>
            <w:webHidden/>
          </w:rPr>
          <w:fldChar w:fldCharType="begin"/>
        </w:r>
        <w:r>
          <w:rPr>
            <w:webHidden/>
          </w:rPr>
          <w:instrText xml:space="preserve"> PAGEREF _Toc216179670 \h </w:instrText>
        </w:r>
        <w:r>
          <w:rPr>
            <w:webHidden/>
          </w:rPr>
        </w:r>
        <w:r>
          <w:rPr>
            <w:webHidden/>
          </w:rPr>
          <w:fldChar w:fldCharType="separate"/>
        </w:r>
        <w:r>
          <w:rPr>
            <w:webHidden/>
          </w:rPr>
          <w:t>13</w:t>
        </w:r>
        <w:r>
          <w:rPr>
            <w:webHidden/>
          </w:rPr>
          <w:fldChar w:fldCharType="end"/>
        </w:r>
      </w:hyperlink>
    </w:p>
    <w:p w14:paraId="20E5F256" w14:textId="66A786EE"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671" w:history="1">
        <w:r w:rsidRPr="002166B6">
          <w:rPr>
            <w:rStyle w:val="Hyperlink"/>
          </w:rPr>
          <w:t>2.1</w:t>
        </w:r>
        <w:r>
          <w:rPr>
            <w:rFonts w:asciiTheme="minorHAnsi" w:eastAsiaTheme="minorEastAsia" w:hAnsiTheme="minorHAnsi" w:cstheme="minorBidi"/>
            <w:kern w:val="2"/>
            <w:sz w:val="24"/>
            <w:szCs w:val="24"/>
            <w:lang w:eastAsia="en-AU"/>
            <w14:ligatures w14:val="standardContextual"/>
          </w:rPr>
          <w:tab/>
        </w:r>
        <w:r w:rsidRPr="002166B6">
          <w:rPr>
            <w:rStyle w:val="Hyperlink"/>
          </w:rPr>
          <w:t>Court system and hierarchy in Victoria</w:t>
        </w:r>
        <w:r>
          <w:rPr>
            <w:webHidden/>
          </w:rPr>
          <w:tab/>
        </w:r>
        <w:r>
          <w:rPr>
            <w:webHidden/>
          </w:rPr>
          <w:fldChar w:fldCharType="begin"/>
        </w:r>
        <w:r>
          <w:rPr>
            <w:webHidden/>
          </w:rPr>
          <w:instrText xml:space="preserve"> PAGEREF _Toc216179671 \h </w:instrText>
        </w:r>
        <w:r>
          <w:rPr>
            <w:webHidden/>
          </w:rPr>
        </w:r>
        <w:r>
          <w:rPr>
            <w:webHidden/>
          </w:rPr>
          <w:fldChar w:fldCharType="separate"/>
        </w:r>
        <w:r>
          <w:rPr>
            <w:webHidden/>
          </w:rPr>
          <w:t>13</w:t>
        </w:r>
        <w:r>
          <w:rPr>
            <w:webHidden/>
          </w:rPr>
          <w:fldChar w:fldCharType="end"/>
        </w:r>
      </w:hyperlink>
    </w:p>
    <w:p w14:paraId="308E9DA4" w14:textId="75838F11"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672" w:history="1">
        <w:r w:rsidRPr="002166B6">
          <w:rPr>
            <w:rStyle w:val="Hyperlink"/>
          </w:rPr>
          <w:t>2.2</w:t>
        </w:r>
        <w:r>
          <w:rPr>
            <w:rFonts w:asciiTheme="minorHAnsi" w:eastAsiaTheme="minorEastAsia" w:hAnsiTheme="minorHAnsi" w:cstheme="minorBidi"/>
            <w:kern w:val="2"/>
            <w:sz w:val="24"/>
            <w:szCs w:val="24"/>
            <w:lang w:eastAsia="en-AU"/>
            <w14:ligatures w14:val="standardContextual"/>
          </w:rPr>
          <w:tab/>
        </w:r>
        <w:r w:rsidRPr="002166B6">
          <w:rPr>
            <w:rStyle w:val="Hyperlink"/>
          </w:rPr>
          <w:t>The Victorian Civil and Administrative Tribunal (VCAT)</w:t>
        </w:r>
        <w:r>
          <w:rPr>
            <w:webHidden/>
          </w:rPr>
          <w:tab/>
        </w:r>
        <w:r>
          <w:rPr>
            <w:webHidden/>
          </w:rPr>
          <w:fldChar w:fldCharType="begin"/>
        </w:r>
        <w:r>
          <w:rPr>
            <w:webHidden/>
          </w:rPr>
          <w:instrText xml:space="preserve"> PAGEREF _Toc216179672 \h </w:instrText>
        </w:r>
        <w:r>
          <w:rPr>
            <w:webHidden/>
          </w:rPr>
        </w:r>
        <w:r>
          <w:rPr>
            <w:webHidden/>
          </w:rPr>
          <w:fldChar w:fldCharType="separate"/>
        </w:r>
        <w:r>
          <w:rPr>
            <w:webHidden/>
          </w:rPr>
          <w:t>14</w:t>
        </w:r>
        <w:r>
          <w:rPr>
            <w:webHidden/>
          </w:rPr>
          <w:fldChar w:fldCharType="end"/>
        </w:r>
      </w:hyperlink>
    </w:p>
    <w:p w14:paraId="6A427298" w14:textId="526D94BF"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73" w:history="1">
        <w:r w:rsidRPr="002166B6">
          <w:rPr>
            <w:rStyle w:val="Hyperlink"/>
          </w:rPr>
          <w:t>2.2.1</w:t>
        </w:r>
        <w:r>
          <w:rPr>
            <w:rFonts w:asciiTheme="minorHAnsi" w:eastAsiaTheme="minorEastAsia" w:hAnsiTheme="minorHAnsi" w:cstheme="minorBidi"/>
            <w:kern w:val="2"/>
            <w:sz w:val="24"/>
            <w:szCs w:val="24"/>
            <w:lang w:eastAsia="en-AU"/>
            <w14:ligatures w14:val="standardContextual"/>
          </w:rPr>
          <w:tab/>
        </w:r>
        <w:r w:rsidRPr="002166B6">
          <w:rPr>
            <w:rStyle w:val="Hyperlink"/>
          </w:rPr>
          <w:t>VCAT’s role in civil justice</w:t>
        </w:r>
        <w:r>
          <w:rPr>
            <w:webHidden/>
          </w:rPr>
          <w:tab/>
        </w:r>
        <w:r>
          <w:rPr>
            <w:webHidden/>
          </w:rPr>
          <w:fldChar w:fldCharType="begin"/>
        </w:r>
        <w:r>
          <w:rPr>
            <w:webHidden/>
          </w:rPr>
          <w:instrText xml:space="preserve"> PAGEREF _Toc216179673 \h </w:instrText>
        </w:r>
        <w:r>
          <w:rPr>
            <w:webHidden/>
          </w:rPr>
        </w:r>
        <w:r>
          <w:rPr>
            <w:webHidden/>
          </w:rPr>
          <w:fldChar w:fldCharType="separate"/>
        </w:r>
        <w:r>
          <w:rPr>
            <w:webHidden/>
          </w:rPr>
          <w:t>14</w:t>
        </w:r>
        <w:r>
          <w:rPr>
            <w:webHidden/>
          </w:rPr>
          <w:fldChar w:fldCharType="end"/>
        </w:r>
      </w:hyperlink>
    </w:p>
    <w:p w14:paraId="12331F24" w14:textId="2BD9C6B3"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74" w:history="1">
        <w:r w:rsidRPr="002166B6">
          <w:rPr>
            <w:rStyle w:val="Hyperlink"/>
          </w:rPr>
          <w:t>2.2.2</w:t>
        </w:r>
        <w:r>
          <w:rPr>
            <w:rFonts w:asciiTheme="minorHAnsi" w:eastAsiaTheme="minorEastAsia" w:hAnsiTheme="minorHAnsi" w:cstheme="minorBidi"/>
            <w:kern w:val="2"/>
            <w:sz w:val="24"/>
            <w:szCs w:val="24"/>
            <w:lang w:eastAsia="en-AU"/>
            <w14:ligatures w14:val="standardContextual"/>
          </w:rPr>
          <w:tab/>
        </w:r>
        <w:r w:rsidRPr="002166B6">
          <w:rPr>
            <w:rStyle w:val="Hyperlink"/>
          </w:rPr>
          <w:t>Fee payer categories</w:t>
        </w:r>
        <w:r>
          <w:rPr>
            <w:webHidden/>
          </w:rPr>
          <w:tab/>
        </w:r>
        <w:r>
          <w:rPr>
            <w:webHidden/>
          </w:rPr>
          <w:fldChar w:fldCharType="begin"/>
        </w:r>
        <w:r>
          <w:rPr>
            <w:webHidden/>
          </w:rPr>
          <w:instrText xml:space="preserve"> PAGEREF _Toc216179674 \h </w:instrText>
        </w:r>
        <w:r>
          <w:rPr>
            <w:webHidden/>
          </w:rPr>
        </w:r>
        <w:r>
          <w:rPr>
            <w:webHidden/>
          </w:rPr>
          <w:fldChar w:fldCharType="separate"/>
        </w:r>
        <w:r>
          <w:rPr>
            <w:webHidden/>
          </w:rPr>
          <w:t>15</w:t>
        </w:r>
        <w:r>
          <w:rPr>
            <w:webHidden/>
          </w:rPr>
          <w:fldChar w:fldCharType="end"/>
        </w:r>
      </w:hyperlink>
    </w:p>
    <w:p w14:paraId="4E3E6D76" w14:textId="4A21F5A4"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75" w:history="1">
        <w:r w:rsidRPr="002166B6">
          <w:rPr>
            <w:rStyle w:val="Hyperlink"/>
          </w:rPr>
          <w:t>2.2.3</w:t>
        </w:r>
        <w:r>
          <w:rPr>
            <w:rFonts w:asciiTheme="minorHAnsi" w:eastAsiaTheme="minorEastAsia" w:hAnsiTheme="minorHAnsi" w:cstheme="minorBidi"/>
            <w:kern w:val="2"/>
            <w:sz w:val="24"/>
            <w:szCs w:val="24"/>
            <w:lang w:eastAsia="en-AU"/>
            <w14:ligatures w14:val="standardContextual"/>
          </w:rPr>
          <w:tab/>
        </w:r>
        <w:r w:rsidRPr="002166B6">
          <w:rPr>
            <w:rStyle w:val="Hyperlink"/>
          </w:rPr>
          <w:t>VCAT lists</w:t>
        </w:r>
        <w:r>
          <w:rPr>
            <w:webHidden/>
          </w:rPr>
          <w:tab/>
        </w:r>
        <w:r>
          <w:rPr>
            <w:webHidden/>
          </w:rPr>
          <w:fldChar w:fldCharType="begin"/>
        </w:r>
        <w:r>
          <w:rPr>
            <w:webHidden/>
          </w:rPr>
          <w:instrText xml:space="preserve"> PAGEREF _Toc216179675 \h </w:instrText>
        </w:r>
        <w:r>
          <w:rPr>
            <w:webHidden/>
          </w:rPr>
        </w:r>
        <w:r>
          <w:rPr>
            <w:webHidden/>
          </w:rPr>
          <w:fldChar w:fldCharType="separate"/>
        </w:r>
        <w:r>
          <w:rPr>
            <w:webHidden/>
          </w:rPr>
          <w:t>16</w:t>
        </w:r>
        <w:r>
          <w:rPr>
            <w:webHidden/>
          </w:rPr>
          <w:fldChar w:fldCharType="end"/>
        </w:r>
      </w:hyperlink>
    </w:p>
    <w:p w14:paraId="4BFA2959" w14:textId="17BB6D0E"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76" w:history="1">
        <w:r w:rsidRPr="002166B6">
          <w:rPr>
            <w:rStyle w:val="Hyperlink"/>
          </w:rPr>
          <w:t>2.2.4</w:t>
        </w:r>
        <w:r>
          <w:rPr>
            <w:rFonts w:asciiTheme="minorHAnsi" w:eastAsiaTheme="minorEastAsia" w:hAnsiTheme="minorHAnsi" w:cstheme="minorBidi"/>
            <w:kern w:val="2"/>
            <w:sz w:val="24"/>
            <w:szCs w:val="24"/>
            <w:lang w:eastAsia="en-AU"/>
            <w14:ligatures w14:val="standardContextual"/>
          </w:rPr>
          <w:tab/>
        </w:r>
        <w:r w:rsidRPr="002166B6">
          <w:rPr>
            <w:rStyle w:val="Hyperlink"/>
          </w:rPr>
          <w:t>VCAT caseload</w:t>
        </w:r>
        <w:r>
          <w:rPr>
            <w:webHidden/>
          </w:rPr>
          <w:tab/>
        </w:r>
        <w:r>
          <w:rPr>
            <w:webHidden/>
          </w:rPr>
          <w:fldChar w:fldCharType="begin"/>
        </w:r>
        <w:r>
          <w:rPr>
            <w:webHidden/>
          </w:rPr>
          <w:instrText xml:space="preserve"> PAGEREF _Toc216179676 \h </w:instrText>
        </w:r>
        <w:r>
          <w:rPr>
            <w:webHidden/>
          </w:rPr>
        </w:r>
        <w:r>
          <w:rPr>
            <w:webHidden/>
          </w:rPr>
          <w:fldChar w:fldCharType="separate"/>
        </w:r>
        <w:r>
          <w:rPr>
            <w:webHidden/>
          </w:rPr>
          <w:t>17</w:t>
        </w:r>
        <w:r>
          <w:rPr>
            <w:webHidden/>
          </w:rPr>
          <w:fldChar w:fldCharType="end"/>
        </w:r>
      </w:hyperlink>
    </w:p>
    <w:p w14:paraId="5711213C" w14:textId="76ED7129"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77" w:history="1">
        <w:r w:rsidRPr="002166B6">
          <w:rPr>
            <w:rStyle w:val="Hyperlink"/>
          </w:rPr>
          <w:t>2.2.5</w:t>
        </w:r>
        <w:r>
          <w:rPr>
            <w:rFonts w:asciiTheme="minorHAnsi" w:eastAsiaTheme="minorEastAsia" w:hAnsiTheme="minorHAnsi" w:cstheme="minorBidi"/>
            <w:kern w:val="2"/>
            <w:sz w:val="24"/>
            <w:szCs w:val="24"/>
            <w:lang w:eastAsia="en-AU"/>
            <w14:ligatures w14:val="standardContextual"/>
          </w:rPr>
          <w:tab/>
        </w:r>
        <w:r w:rsidRPr="002166B6">
          <w:rPr>
            <w:rStyle w:val="Hyperlink"/>
          </w:rPr>
          <w:t>Regulatory framework and existing fee structure</w:t>
        </w:r>
        <w:r>
          <w:rPr>
            <w:webHidden/>
          </w:rPr>
          <w:tab/>
        </w:r>
        <w:r>
          <w:rPr>
            <w:webHidden/>
          </w:rPr>
          <w:fldChar w:fldCharType="begin"/>
        </w:r>
        <w:r>
          <w:rPr>
            <w:webHidden/>
          </w:rPr>
          <w:instrText xml:space="preserve"> PAGEREF _Toc216179677 \h </w:instrText>
        </w:r>
        <w:r>
          <w:rPr>
            <w:webHidden/>
          </w:rPr>
        </w:r>
        <w:r>
          <w:rPr>
            <w:webHidden/>
          </w:rPr>
          <w:fldChar w:fldCharType="separate"/>
        </w:r>
        <w:r>
          <w:rPr>
            <w:webHidden/>
          </w:rPr>
          <w:t>18</w:t>
        </w:r>
        <w:r>
          <w:rPr>
            <w:webHidden/>
          </w:rPr>
          <w:fldChar w:fldCharType="end"/>
        </w:r>
      </w:hyperlink>
    </w:p>
    <w:p w14:paraId="4734D5D6" w14:textId="4540D0B0"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78" w:history="1">
        <w:r w:rsidRPr="002166B6">
          <w:rPr>
            <w:rStyle w:val="Hyperlink"/>
          </w:rPr>
          <w:t>2.2.6</w:t>
        </w:r>
        <w:r>
          <w:rPr>
            <w:rFonts w:asciiTheme="minorHAnsi" w:eastAsiaTheme="minorEastAsia" w:hAnsiTheme="minorHAnsi" w:cstheme="minorBidi"/>
            <w:kern w:val="2"/>
            <w:sz w:val="24"/>
            <w:szCs w:val="24"/>
            <w:lang w:eastAsia="en-AU"/>
            <w14:ligatures w14:val="standardContextual"/>
          </w:rPr>
          <w:tab/>
        </w:r>
        <w:r w:rsidRPr="002166B6">
          <w:rPr>
            <w:rStyle w:val="Hyperlink"/>
          </w:rPr>
          <w:t>VCAT funding arrangements</w:t>
        </w:r>
        <w:r>
          <w:rPr>
            <w:webHidden/>
          </w:rPr>
          <w:tab/>
        </w:r>
        <w:r>
          <w:rPr>
            <w:webHidden/>
          </w:rPr>
          <w:fldChar w:fldCharType="begin"/>
        </w:r>
        <w:r>
          <w:rPr>
            <w:webHidden/>
          </w:rPr>
          <w:instrText xml:space="preserve"> PAGEREF _Toc216179678 \h </w:instrText>
        </w:r>
        <w:r>
          <w:rPr>
            <w:webHidden/>
          </w:rPr>
        </w:r>
        <w:r>
          <w:rPr>
            <w:webHidden/>
          </w:rPr>
          <w:fldChar w:fldCharType="separate"/>
        </w:r>
        <w:r>
          <w:rPr>
            <w:webHidden/>
          </w:rPr>
          <w:t>18</w:t>
        </w:r>
        <w:r>
          <w:rPr>
            <w:webHidden/>
          </w:rPr>
          <w:fldChar w:fldCharType="end"/>
        </w:r>
      </w:hyperlink>
    </w:p>
    <w:p w14:paraId="50FC40D1" w14:textId="338D51E4"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679" w:history="1">
        <w:r w:rsidRPr="002166B6">
          <w:rPr>
            <w:rStyle w:val="Hyperlink"/>
          </w:rPr>
          <w:t>3.</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Problem Analysis</w:t>
        </w:r>
        <w:r>
          <w:rPr>
            <w:webHidden/>
          </w:rPr>
          <w:tab/>
        </w:r>
        <w:r>
          <w:rPr>
            <w:webHidden/>
          </w:rPr>
          <w:fldChar w:fldCharType="begin"/>
        </w:r>
        <w:r>
          <w:rPr>
            <w:webHidden/>
          </w:rPr>
          <w:instrText xml:space="preserve"> PAGEREF _Toc216179679 \h </w:instrText>
        </w:r>
        <w:r>
          <w:rPr>
            <w:webHidden/>
          </w:rPr>
        </w:r>
        <w:r>
          <w:rPr>
            <w:webHidden/>
          </w:rPr>
          <w:fldChar w:fldCharType="separate"/>
        </w:r>
        <w:r>
          <w:rPr>
            <w:webHidden/>
          </w:rPr>
          <w:t>20</w:t>
        </w:r>
        <w:r>
          <w:rPr>
            <w:webHidden/>
          </w:rPr>
          <w:fldChar w:fldCharType="end"/>
        </w:r>
      </w:hyperlink>
    </w:p>
    <w:p w14:paraId="784F761A" w14:textId="3022067F"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680" w:history="1">
        <w:r w:rsidRPr="002166B6">
          <w:rPr>
            <w:rStyle w:val="Hyperlink"/>
          </w:rPr>
          <w:t>3.1</w:t>
        </w:r>
        <w:r>
          <w:rPr>
            <w:rFonts w:asciiTheme="minorHAnsi" w:eastAsiaTheme="minorEastAsia" w:hAnsiTheme="minorHAnsi" w:cstheme="minorBidi"/>
            <w:kern w:val="2"/>
            <w:sz w:val="24"/>
            <w:szCs w:val="24"/>
            <w:lang w:eastAsia="en-AU"/>
            <w14:ligatures w14:val="standardContextual"/>
          </w:rPr>
          <w:tab/>
        </w:r>
        <w:r w:rsidRPr="002166B6">
          <w:rPr>
            <w:rStyle w:val="Hyperlink"/>
          </w:rPr>
          <w:t>Rationale for continuing to charge fees</w:t>
        </w:r>
        <w:r>
          <w:rPr>
            <w:webHidden/>
          </w:rPr>
          <w:tab/>
        </w:r>
        <w:r>
          <w:rPr>
            <w:webHidden/>
          </w:rPr>
          <w:fldChar w:fldCharType="begin"/>
        </w:r>
        <w:r>
          <w:rPr>
            <w:webHidden/>
          </w:rPr>
          <w:instrText xml:space="preserve"> PAGEREF _Toc216179680 \h </w:instrText>
        </w:r>
        <w:r>
          <w:rPr>
            <w:webHidden/>
          </w:rPr>
        </w:r>
        <w:r>
          <w:rPr>
            <w:webHidden/>
          </w:rPr>
          <w:fldChar w:fldCharType="separate"/>
        </w:r>
        <w:r>
          <w:rPr>
            <w:webHidden/>
          </w:rPr>
          <w:t>20</w:t>
        </w:r>
        <w:r>
          <w:rPr>
            <w:webHidden/>
          </w:rPr>
          <w:fldChar w:fldCharType="end"/>
        </w:r>
      </w:hyperlink>
    </w:p>
    <w:p w14:paraId="1B72BE08" w14:textId="1420DDB2"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81" w:history="1">
        <w:r w:rsidRPr="002166B6">
          <w:rPr>
            <w:rStyle w:val="Hyperlink"/>
          </w:rPr>
          <w:t>3.1.1</w:t>
        </w:r>
        <w:r>
          <w:rPr>
            <w:rFonts w:asciiTheme="minorHAnsi" w:eastAsiaTheme="minorEastAsia" w:hAnsiTheme="minorHAnsi" w:cstheme="minorBidi"/>
            <w:kern w:val="2"/>
            <w:sz w:val="24"/>
            <w:szCs w:val="24"/>
            <w:lang w:eastAsia="en-AU"/>
            <w14:ligatures w14:val="standardContextual"/>
          </w:rPr>
          <w:tab/>
        </w:r>
        <w:r w:rsidRPr="002166B6">
          <w:rPr>
            <w:rStyle w:val="Hyperlink"/>
          </w:rPr>
          <w:t>Charging fees in VCAT</w:t>
        </w:r>
        <w:r>
          <w:rPr>
            <w:webHidden/>
          </w:rPr>
          <w:tab/>
        </w:r>
        <w:r>
          <w:rPr>
            <w:webHidden/>
          </w:rPr>
          <w:fldChar w:fldCharType="begin"/>
        </w:r>
        <w:r>
          <w:rPr>
            <w:webHidden/>
          </w:rPr>
          <w:instrText xml:space="preserve"> PAGEREF _Toc216179681 \h </w:instrText>
        </w:r>
        <w:r>
          <w:rPr>
            <w:webHidden/>
          </w:rPr>
        </w:r>
        <w:r>
          <w:rPr>
            <w:webHidden/>
          </w:rPr>
          <w:fldChar w:fldCharType="separate"/>
        </w:r>
        <w:r>
          <w:rPr>
            <w:webHidden/>
          </w:rPr>
          <w:t>20</w:t>
        </w:r>
        <w:r>
          <w:rPr>
            <w:webHidden/>
          </w:rPr>
          <w:fldChar w:fldCharType="end"/>
        </w:r>
      </w:hyperlink>
    </w:p>
    <w:p w14:paraId="1BF0F2AE" w14:textId="43858809"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82" w:history="1">
        <w:r w:rsidRPr="002166B6">
          <w:rPr>
            <w:rStyle w:val="Hyperlink"/>
          </w:rPr>
          <w:t>3.1.2</w:t>
        </w:r>
        <w:r>
          <w:rPr>
            <w:rFonts w:asciiTheme="minorHAnsi" w:eastAsiaTheme="minorEastAsia" w:hAnsiTheme="minorHAnsi" w:cstheme="minorBidi"/>
            <w:kern w:val="2"/>
            <w:sz w:val="24"/>
            <w:szCs w:val="24"/>
            <w:lang w:eastAsia="en-AU"/>
            <w14:ligatures w14:val="standardContextual"/>
          </w:rPr>
          <w:tab/>
        </w:r>
        <w:r w:rsidRPr="002166B6">
          <w:rPr>
            <w:rStyle w:val="Hyperlink"/>
          </w:rPr>
          <w:t>New fee setting principles – Pricing for Value Guide</w:t>
        </w:r>
        <w:r>
          <w:rPr>
            <w:webHidden/>
          </w:rPr>
          <w:tab/>
        </w:r>
        <w:r>
          <w:rPr>
            <w:webHidden/>
          </w:rPr>
          <w:fldChar w:fldCharType="begin"/>
        </w:r>
        <w:r>
          <w:rPr>
            <w:webHidden/>
          </w:rPr>
          <w:instrText xml:space="preserve"> PAGEREF _Toc216179682 \h </w:instrText>
        </w:r>
        <w:r>
          <w:rPr>
            <w:webHidden/>
          </w:rPr>
        </w:r>
        <w:r>
          <w:rPr>
            <w:webHidden/>
          </w:rPr>
          <w:fldChar w:fldCharType="separate"/>
        </w:r>
        <w:r>
          <w:rPr>
            <w:webHidden/>
          </w:rPr>
          <w:t>20</w:t>
        </w:r>
        <w:r>
          <w:rPr>
            <w:webHidden/>
          </w:rPr>
          <w:fldChar w:fldCharType="end"/>
        </w:r>
      </w:hyperlink>
    </w:p>
    <w:p w14:paraId="059AB26A" w14:textId="1D27E60B"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683" w:history="1">
        <w:r w:rsidRPr="002166B6">
          <w:rPr>
            <w:rStyle w:val="Hyperlink"/>
          </w:rPr>
          <w:t>3.2</w:t>
        </w:r>
        <w:r>
          <w:rPr>
            <w:rFonts w:asciiTheme="minorHAnsi" w:eastAsiaTheme="minorEastAsia" w:hAnsiTheme="minorHAnsi" w:cstheme="minorBidi"/>
            <w:kern w:val="2"/>
            <w:sz w:val="24"/>
            <w:szCs w:val="24"/>
            <w:lang w:eastAsia="en-AU"/>
            <w14:ligatures w14:val="standardContextual"/>
          </w:rPr>
          <w:tab/>
        </w:r>
        <w:r w:rsidRPr="002166B6">
          <w:rPr>
            <w:rStyle w:val="Hyperlink"/>
          </w:rPr>
          <w:t>Financial sustainability</w:t>
        </w:r>
        <w:r>
          <w:rPr>
            <w:webHidden/>
          </w:rPr>
          <w:tab/>
        </w:r>
        <w:r>
          <w:rPr>
            <w:webHidden/>
          </w:rPr>
          <w:fldChar w:fldCharType="begin"/>
        </w:r>
        <w:r>
          <w:rPr>
            <w:webHidden/>
          </w:rPr>
          <w:instrText xml:space="preserve"> PAGEREF _Toc216179683 \h </w:instrText>
        </w:r>
        <w:r>
          <w:rPr>
            <w:webHidden/>
          </w:rPr>
        </w:r>
        <w:r>
          <w:rPr>
            <w:webHidden/>
          </w:rPr>
          <w:fldChar w:fldCharType="separate"/>
        </w:r>
        <w:r>
          <w:rPr>
            <w:webHidden/>
          </w:rPr>
          <w:t>21</w:t>
        </w:r>
        <w:r>
          <w:rPr>
            <w:webHidden/>
          </w:rPr>
          <w:fldChar w:fldCharType="end"/>
        </w:r>
      </w:hyperlink>
    </w:p>
    <w:p w14:paraId="1ABB3EA3" w14:textId="05B80718"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84" w:history="1">
        <w:r w:rsidRPr="002166B6">
          <w:rPr>
            <w:rStyle w:val="Hyperlink"/>
          </w:rPr>
          <w:t>3.2.1</w:t>
        </w:r>
        <w:r>
          <w:rPr>
            <w:rFonts w:asciiTheme="minorHAnsi" w:eastAsiaTheme="minorEastAsia" w:hAnsiTheme="minorHAnsi" w:cstheme="minorBidi"/>
            <w:kern w:val="2"/>
            <w:sz w:val="24"/>
            <w:szCs w:val="24"/>
            <w:lang w:eastAsia="en-AU"/>
            <w14:ligatures w14:val="standardContextual"/>
          </w:rPr>
          <w:tab/>
        </w:r>
        <w:r w:rsidRPr="002166B6">
          <w:rPr>
            <w:rStyle w:val="Hyperlink"/>
          </w:rPr>
          <w:t>Cost recovery from fee revenue</w:t>
        </w:r>
        <w:r>
          <w:rPr>
            <w:webHidden/>
          </w:rPr>
          <w:tab/>
        </w:r>
        <w:r>
          <w:rPr>
            <w:webHidden/>
          </w:rPr>
          <w:fldChar w:fldCharType="begin"/>
        </w:r>
        <w:r>
          <w:rPr>
            <w:webHidden/>
          </w:rPr>
          <w:instrText xml:space="preserve"> PAGEREF _Toc216179684 \h </w:instrText>
        </w:r>
        <w:r>
          <w:rPr>
            <w:webHidden/>
          </w:rPr>
        </w:r>
        <w:r>
          <w:rPr>
            <w:webHidden/>
          </w:rPr>
          <w:fldChar w:fldCharType="separate"/>
        </w:r>
        <w:r>
          <w:rPr>
            <w:webHidden/>
          </w:rPr>
          <w:t>21</w:t>
        </w:r>
        <w:r>
          <w:rPr>
            <w:webHidden/>
          </w:rPr>
          <w:fldChar w:fldCharType="end"/>
        </w:r>
      </w:hyperlink>
    </w:p>
    <w:p w14:paraId="1C5EBA8D" w14:textId="71744DDD"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85" w:history="1">
        <w:r w:rsidRPr="002166B6">
          <w:rPr>
            <w:rStyle w:val="Hyperlink"/>
          </w:rPr>
          <w:t>3.2.2</w:t>
        </w:r>
        <w:r>
          <w:rPr>
            <w:rFonts w:asciiTheme="minorHAnsi" w:eastAsiaTheme="minorEastAsia" w:hAnsiTheme="minorHAnsi" w:cstheme="minorBidi"/>
            <w:kern w:val="2"/>
            <w:sz w:val="24"/>
            <w:szCs w:val="24"/>
            <w:lang w:eastAsia="en-AU"/>
            <w14:ligatures w14:val="standardContextual"/>
          </w:rPr>
          <w:tab/>
        </w:r>
        <w:r w:rsidRPr="002166B6">
          <w:rPr>
            <w:rStyle w:val="Hyperlink"/>
          </w:rPr>
          <w:t>Analysis of VCAT costs</w:t>
        </w:r>
        <w:r>
          <w:rPr>
            <w:webHidden/>
          </w:rPr>
          <w:tab/>
        </w:r>
        <w:r>
          <w:rPr>
            <w:webHidden/>
          </w:rPr>
          <w:fldChar w:fldCharType="begin"/>
        </w:r>
        <w:r>
          <w:rPr>
            <w:webHidden/>
          </w:rPr>
          <w:instrText xml:space="preserve"> PAGEREF _Toc216179685 \h </w:instrText>
        </w:r>
        <w:r>
          <w:rPr>
            <w:webHidden/>
          </w:rPr>
        </w:r>
        <w:r>
          <w:rPr>
            <w:webHidden/>
          </w:rPr>
          <w:fldChar w:fldCharType="separate"/>
        </w:r>
        <w:r>
          <w:rPr>
            <w:webHidden/>
          </w:rPr>
          <w:t>21</w:t>
        </w:r>
        <w:r>
          <w:rPr>
            <w:webHidden/>
          </w:rPr>
          <w:fldChar w:fldCharType="end"/>
        </w:r>
      </w:hyperlink>
    </w:p>
    <w:p w14:paraId="792763B3" w14:textId="37166CD0"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686" w:history="1">
        <w:r w:rsidRPr="002166B6">
          <w:rPr>
            <w:rStyle w:val="Hyperlink"/>
          </w:rPr>
          <w:t>3.3</w:t>
        </w:r>
        <w:r>
          <w:rPr>
            <w:rFonts w:asciiTheme="minorHAnsi" w:eastAsiaTheme="minorEastAsia" w:hAnsiTheme="minorHAnsi" w:cstheme="minorBidi"/>
            <w:kern w:val="2"/>
            <w:sz w:val="24"/>
            <w:szCs w:val="24"/>
            <w:lang w:eastAsia="en-AU"/>
            <w14:ligatures w14:val="standardContextual"/>
          </w:rPr>
          <w:tab/>
        </w:r>
        <w:r w:rsidRPr="002166B6">
          <w:rPr>
            <w:rStyle w:val="Hyperlink"/>
          </w:rPr>
          <w:t>Relevant contextual changes since the Regulations were last made</w:t>
        </w:r>
        <w:r>
          <w:rPr>
            <w:webHidden/>
          </w:rPr>
          <w:tab/>
        </w:r>
        <w:r>
          <w:rPr>
            <w:webHidden/>
          </w:rPr>
          <w:fldChar w:fldCharType="begin"/>
        </w:r>
        <w:r>
          <w:rPr>
            <w:webHidden/>
          </w:rPr>
          <w:instrText xml:space="preserve"> PAGEREF _Toc216179686 \h </w:instrText>
        </w:r>
        <w:r>
          <w:rPr>
            <w:webHidden/>
          </w:rPr>
        </w:r>
        <w:r>
          <w:rPr>
            <w:webHidden/>
          </w:rPr>
          <w:fldChar w:fldCharType="separate"/>
        </w:r>
        <w:r>
          <w:rPr>
            <w:webHidden/>
          </w:rPr>
          <w:t>22</w:t>
        </w:r>
        <w:r>
          <w:rPr>
            <w:webHidden/>
          </w:rPr>
          <w:fldChar w:fldCharType="end"/>
        </w:r>
      </w:hyperlink>
    </w:p>
    <w:p w14:paraId="7728B7DF" w14:textId="65657BA1"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87" w:history="1">
        <w:r w:rsidRPr="002166B6">
          <w:rPr>
            <w:rStyle w:val="Hyperlink"/>
          </w:rPr>
          <w:t>3.3.1</w:t>
        </w:r>
        <w:r>
          <w:rPr>
            <w:rFonts w:asciiTheme="minorHAnsi" w:eastAsiaTheme="minorEastAsia" w:hAnsiTheme="minorHAnsi" w:cstheme="minorBidi"/>
            <w:kern w:val="2"/>
            <w:sz w:val="24"/>
            <w:szCs w:val="24"/>
            <w:lang w:eastAsia="en-AU"/>
            <w14:ligatures w14:val="standardContextual"/>
          </w:rPr>
          <w:tab/>
        </w:r>
        <w:r w:rsidRPr="002166B6">
          <w:rPr>
            <w:rStyle w:val="Hyperlink"/>
          </w:rPr>
          <w:t xml:space="preserve">Court of Appeal decision in </w:t>
        </w:r>
        <w:r w:rsidRPr="002166B6">
          <w:rPr>
            <w:rStyle w:val="Hyperlink"/>
            <w:i/>
            <w:iCs/>
          </w:rPr>
          <w:t xml:space="preserve">Meringnage </w:t>
        </w:r>
        <w:r w:rsidRPr="002166B6">
          <w:rPr>
            <w:rStyle w:val="Hyperlink"/>
          </w:rPr>
          <w:t xml:space="preserve">(2020) and </w:t>
        </w:r>
        <w:r w:rsidRPr="002166B6">
          <w:rPr>
            <w:rStyle w:val="Hyperlink"/>
            <w:i/>
            <w:iCs/>
          </w:rPr>
          <w:t xml:space="preserve">Thurin v Krongold </w:t>
        </w:r>
        <w:r w:rsidRPr="002166B6">
          <w:rPr>
            <w:rStyle w:val="Hyperlink"/>
          </w:rPr>
          <w:t>(2022)</w:t>
        </w:r>
        <w:r>
          <w:rPr>
            <w:webHidden/>
          </w:rPr>
          <w:tab/>
        </w:r>
        <w:r>
          <w:rPr>
            <w:webHidden/>
          </w:rPr>
          <w:fldChar w:fldCharType="begin"/>
        </w:r>
        <w:r>
          <w:rPr>
            <w:webHidden/>
          </w:rPr>
          <w:instrText xml:space="preserve"> PAGEREF _Toc216179687 \h </w:instrText>
        </w:r>
        <w:r>
          <w:rPr>
            <w:webHidden/>
          </w:rPr>
        </w:r>
        <w:r>
          <w:rPr>
            <w:webHidden/>
          </w:rPr>
          <w:fldChar w:fldCharType="separate"/>
        </w:r>
        <w:r>
          <w:rPr>
            <w:webHidden/>
          </w:rPr>
          <w:t>22</w:t>
        </w:r>
        <w:r>
          <w:rPr>
            <w:webHidden/>
          </w:rPr>
          <w:fldChar w:fldCharType="end"/>
        </w:r>
      </w:hyperlink>
    </w:p>
    <w:p w14:paraId="7022CAF0" w14:textId="4795CE56"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88" w:history="1">
        <w:r w:rsidRPr="002166B6">
          <w:rPr>
            <w:rStyle w:val="Hyperlink"/>
          </w:rPr>
          <w:t>3.3.2</w:t>
        </w:r>
        <w:r>
          <w:rPr>
            <w:rFonts w:asciiTheme="minorHAnsi" w:eastAsiaTheme="minorEastAsia" w:hAnsiTheme="minorHAnsi" w:cstheme="minorBidi"/>
            <w:kern w:val="2"/>
            <w:sz w:val="24"/>
            <w:szCs w:val="24"/>
            <w:lang w:eastAsia="en-AU"/>
            <w14:ligatures w14:val="standardContextual"/>
          </w:rPr>
          <w:tab/>
        </w:r>
        <w:r w:rsidRPr="002166B6">
          <w:rPr>
            <w:rStyle w:val="Hyperlink"/>
          </w:rPr>
          <w:t>Introduction of Rental Dispute Resolution Victoria (RDRV) (2025)</w:t>
        </w:r>
        <w:r>
          <w:rPr>
            <w:webHidden/>
          </w:rPr>
          <w:tab/>
        </w:r>
        <w:r>
          <w:rPr>
            <w:webHidden/>
          </w:rPr>
          <w:fldChar w:fldCharType="begin"/>
        </w:r>
        <w:r>
          <w:rPr>
            <w:webHidden/>
          </w:rPr>
          <w:instrText xml:space="preserve"> PAGEREF _Toc216179688 \h </w:instrText>
        </w:r>
        <w:r>
          <w:rPr>
            <w:webHidden/>
          </w:rPr>
        </w:r>
        <w:r>
          <w:rPr>
            <w:webHidden/>
          </w:rPr>
          <w:fldChar w:fldCharType="separate"/>
        </w:r>
        <w:r>
          <w:rPr>
            <w:webHidden/>
          </w:rPr>
          <w:t>23</w:t>
        </w:r>
        <w:r>
          <w:rPr>
            <w:webHidden/>
          </w:rPr>
          <w:fldChar w:fldCharType="end"/>
        </w:r>
      </w:hyperlink>
    </w:p>
    <w:p w14:paraId="01D04CCE" w14:textId="43EA7840"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89" w:history="1">
        <w:r w:rsidRPr="002166B6">
          <w:rPr>
            <w:rStyle w:val="Hyperlink"/>
          </w:rPr>
          <w:t>3.3.3</w:t>
        </w:r>
        <w:r>
          <w:rPr>
            <w:rFonts w:asciiTheme="minorHAnsi" w:eastAsiaTheme="minorEastAsia" w:hAnsiTheme="minorHAnsi" w:cstheme="minorBidi"/>
            <w:kern w:val="2"/>
            <w:sz w:val="24"/>
            <w:szCs w:val="24"/>
            <w:lang w:eastAsia="en-AU"/>
            <w14:ligatures w14:val="standardContextual"/>
          </w:rPr>
          <w:tab/>
        </w:r>
        <w:r w:rsidRPr="002166B6">
          <w:rPr>
            <w:rStyle w:val="Hyperlink"/>
          </w:rPr>
          <w:t>Introduction of Fast Track List</w:t>
        </w:r>
        <w:r>
          <w:rPr>
            <w:webHidden/>
          </w:rPr>
          <w:tab/>
        </w:r>
        <w:r>
          <w:rPr>
            <w:webHidden/>
          </w:rPr>
          <w:fldChar w:fldCharType="begin"/>
        </w:r>
        <w:r>
          <w:rPr>
            <w:webHidden/>
          </w:rPr>
          <w:instrText xml:space="preserve"> PAGEREF _Toc216179689 \h </w:instrText>
        </w:r>
        <w:r>
          <w:rPr>
            <w:webHidden/>
          </w:rPr>
        </w:r>
        <w:r>
          <w:rPr>
            <w:webHidden/>
          </w:rPr>
          <w:fldChar w:fldCharType="separate"/>
        </w:r>
        <w:r>
          <w:rPr>
            <w:webHidden/>
          </w:rPr>
          <w:t>23</w:t>
        </w:r>
        <w:r>
          <w:rPr>
            <w:webHidden/>
          </w:rPr>
          <w:fldChar w:fldCharType="end"/>
        </w:r>
      </w:hyperlink>
    </w:p>
    <w:p w14:paraId="2F1F38CE" w14:textId="3B96B593"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90" w:history="1">
        <w:r w:rsidRPr="002166B6">
          <w:rPr>
            <w:rStyle w:val="Hyperlink"/>
          </w:rPr>
          <w:t>3.3.4</w:t>
        </w:r>
        <w:r>
          <w:rPr>
            <w:rFonts w:asciiTheme="minorHAnsi" w:eastAsiaTheme="minorEastAsia" w:hAnsiTheme="minorHAnsi" w:cstheme="minorBidi"/>
            <w:kern w:val="2"/>
            <w:sz w:val="24"/>
            <w:szCs w:val="24"/>
            <w:lang w:eastAsia="en-AU"/>
            <w14:ligatures w14:val="standardContextual"/>
          </w:rPr>
          <w:tab/>
        </w:r>
        <w:r w:rsidRPr="002166B6">
          <w:rPr>
            <w:rStyle w:val="Hyperlink"/>
          </w:rPr>
          <w:t>Operating Model Improvement Program</w:t>
        </w:r>
        <w:r>
          <w:rPr>
            <w:webHidden/>
          </w:rPr>
          <w:tab/>
        </w:r>
        <w:r>
          <w:rPr>
            <w:webHidden/>
          </w:rPr>
          <w:fldChar w:fldCharType="begin"/>
        </w:r>
        <w:r>
          <w:rPr>
            <w:webHidden/>
          </w:rPr>
          <w:instrText xml:space="preserve"> PAGEREF _Toc216179690 \h </w:instrText>
        </w:r>
        <w:r>
          <w:rPr>
            <w:webHidden/>
          </w:rPr>
        </w:r>
        <w:r>
          <w:rPr>
            <w:webHidden/>
          </w:rPr>
          <w:fldChar w:fldCharType="separate"/>
        </w:r>
        <w:r>
          <w:rPr>
            <w:webHidden/>
          </w:rPr>
          <w:t>24</w:t>
        </w:r>
        <w:r>
          <w:rPr>
            <w:webHidden/>
          </w:rPr>
          <w:fldChar w:fldCharType="end"/>
        </w:r>
      </w:hyperlink>
    </w:p>
    <w:p w14:paraId="5BD2F2A1" w14:textId="38B5FD62"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691" w:history="1">
        <w:r w:rsidRPr="002166B6">
          <w:rPr>
            <w:rStyle w:val="Hyperlink"/>
          </w:rPr>
          <w:t>3.4</w:t>
        </w:r>
        <w:r>
          <w:rPr>
            <w:rFonts w:asciiTheme="minorHAnsi" w:eastAsiaTheme="minorEastAsia" w:hAnsiTheme="minorHAnsi" w:cstheme="minorBidi"/>
            <w:kern w:val="2"/>
            <w:sz w:val="24"/>
            <w:szCs w:val="24"/>
            <w:lang w:eastAsia="en-AU"/>
            <w14:ligatures w14:val="standardContextual"/>
          </w:rPr>
          <w:tab/>
        </w:r>
        <w:r w:rsidRPr="002166B6">
          <w:rPr>
            <w:rStyle w:val="Hyperlink"/>
          </w:rPr>
          <w:t>Access to justice</w:t>
        </w:r>
        <w:r>
          <w:rPr>
            <w:webHidden/>
          </w:rPr>
          <w:tab/>
        </w:r>
        <w:r>
          <w:rPr>
            <w:webHidden/>
          </w:rPr>
          <w:fldChar w:fldCharType="begin"/>
        </w:r>
        <w:r>
          <w:rPr>
            <w:webHidden/>
          </w:rPr>
          <w:instrText xml:space="preserve"> PAGEREF _Toc216179691 \h </w:instrText>
        </w:r>
        <w:r>
          <w:rPr>
            <w:webHidden/>
          </w:rPr>
        </w:r>
        <w:r>
          <w:rPr>
            <w:webHidden/>
          </w:rPr>
          <w:fldChar w:fldCharType="separate"/>
        </w:r>
        <w:r>
          <w:rPr>
            <w:webHidden/>
          </w:rPr>
          <w:t>24</w:t>
        </w:r>
        <w:r>
          <w:rPr>
            <w:webHidden/>
          </w:rPr>
          <w:fldChar w:fldCharType="end"/>
        </w:r>
      </w:hyperlink>
    </w:p>
    <w:p w14:paraId="46B2F962" w14:textId="2D77E960"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92" w:history="1">
        <w:r w:rsidRPr="002166B6">
          <w:rPr>
            <w:rStyle w:val="Hyperlink"/>
          </w:rPr>
          <w:t>3.4.1</w:t>
        </w:r>
        <w:r>
          <w:rPr>
            <w:rFonts w:asciiTheme="minorHAnsi" w:eastAsiaTheme="minorEastAsia" w:hAnsiTheme="minorHAnsi" w:cstheme="minorBidi"/>
            <w:kern w:val="2"/>
            <w:sz w:val="24"/>
            <w:szCs w:val="24"/>
            <w:lang w:eastAsia="en-AU"/>
            <w14:ligatures w14:val="standardContextual"/>
          </w:rPr>
          <w:tab/>
        </w:r>
        <w:r w:rsidRPr="002166B6">
          <w:rPr>
            <w:rStyle w:val="Hyperlink"/>
          </w:rPr>
          <w:t>Gaps in existing fee reliefs in VCAT</w:t>
        </w:r>
        <w:r>
          <w:rPr>
            <w:webHidden/>
          </w:rPr>
          <w:tab/>
        </w:r>
        <w:r>
          <w:rPr>
            <w:webHidden/>
          </w:rPr>
          <w:fldChar w:fldCharType="begin"/>
        </w:r>
        <w:r>
          <w:rPr>
            <w:webHidden/>
          </w:rPr>
          <w:instrText xml:space="preserve"> PAGEREF _Toc216179692 \h </w:instrText>
        </w:r>
        <w:r>
          <w:rPr>
            <w:webHidden/>
          </w:rPr>
        </w:r>
        <w:r>
          <w:rPr>
            <w:webHidden/>
          </w:rPr>
          <w:fldChar w:fldCharType="separate"/>
        </w:r>
        <w:r>
          <w:rPr>
            <w:webHidden/>
          </w:rPr>
          <w:t>24</w:t>
        </w:r>
        <w:r>
          <w:rPr>
            <w:webHidden/>
          </w:rPr>
          <w:fldChar w:fldCharType="end"/>
        </w:r>
      </w:hyperlink>
    </w:p>
    <w:p w14:paraId="5B15F7D8" w14:textId="0CF27FC1"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93" w:history="1">
        <w:r w:rsidRPr="002166B6">
          <w:rPr>
            <w:rStyle w:val="Hyperlink"/>
          </w:rPr>
          <w:t>3.4.2</w:t>
        </w:r>
        <w:r>
          <w:rPr>
            <w:rFonts w:asciiTheme="minorHAnsi" w:eastAsiaTheme="minorEastAsia" w:hAnsiTheme="minorHAnsi" w:cstheme="minorBidi"/>
            <w:kern w:val="2"/>
            <w:sz w:val="24"/>
            <w:szCs w:val="24"/>
            <w:lang w:eastAsia="en-AU"/>
            <w14:ligatures w14:val="standardContextual"/>
          </w:rPr>
          <w:tab/>
        </w:r>
        <w:r w:rsidRPr="002166B6">
          <w:rPr>
            <w:rStyle w:val="Hyperlink"/>
          </w:rPr>
          <w:t>Commonwealth concession card holders</w:t>
        </w:r>
        <w:r>
          <w:rPr>
            <w:webHidden/>
          </w:rPr>
          <w:tab/>
        </w:r>
        <w:r>
          <w:rPr>
            <w:webHidden/>
          </w:rPr>
          <w:fldChar w:fldCharType="begin"/>
        </w:r>
        <w:r>
          <w:rPr>
            <w:webHidden/>
          </w:rPr>
          <w:instrText xml:space="preserve"> PAGEREF _Toc216179693 \h </w:instrText>
        </w:r>
        <w:r>
          <w:rPr>
            <w:webHidden/>
          </w:rPr>
        </w:r>
        <w:r>
          <w:rPr>
            <w:webHidden/>
          </w:rPr>
          <w:fldChar w:fldCharType="separate"/>
        </w:r>
        <w:r>
          <w:rPr>
            <w:webHidden/>
          </w:rPr>
          <w:t>25</w:t>
        </w:r>
        <w:r>
          <w:rPr>
            <w:webHidden/>
          </w:rPr>
          <w:fldChar w:fldCharType="end"/>
        </w:r>
      </w:hyperlink>
    </w:p>
    <w:p w14:paraId="74D2121A" w14:textId="1C43D2AA"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94" w:history="1">
        <w:r w:rsidRPr="002166B6">
          <w:rPr>
            <w:rStyle w:val="Hyperlink"/>
          </w:rPr>
          <w:t>3.4.3</w:t>
        </w:r>
        <w:r>
          <w:rPr>
            <w:rFonts w:asciiTheme="minorHAnsi" w:eastAsiaTheme="minorEastAsia" w:hAnsiTheme="minorHAnsi" w:cstheme="minorBidi"/>
            <w:kern w:val="2"/>
            <w:sz w:val="24"/>
            <w:szCs w:val="24"/>
            <w:lang w:eastAsia="en-AU"/>
            <w14:ligatures w14:val="standardContextual"/>
          </w:rPr>
          <w:tab/>
        </w:r>
        <w:r w:rsidRPr="002166B6">
          <w:rPr>
            <w:rStyle w:val="Hyperlink"/>
          </w:rPr>
          <w:t>Older people</w:t>
        </w:r>
        <w:r>
          <w:rPr>
            <w:webHidden/>
          </w:rPr>
          <w:tab/>
        </w:r>
        <w:r>
          <w:rPr>
            <w:webHidden/>
          </w:rPr>
          <w:fldChar w:fldCharType="begin"/>
        </w:r>
        <w:r>
          <w:rPr>
            <w:webHidden/>
          </w:rPr>
          <w:instrText xml:space="preserve"> PAGEREF _Toc216179694 \h </w:instrText>
        </w:r>
        <w:r>
          <w:rPr>
            <w:webHidden/>
          </w:rPr>
        </w:r>
        <w:r>
          <w:rPr>
            <w:webHidden/>
          </w:rPr>
          <w:fldChar w:fldCharType="separate"/>
        </w:r>
        <w:r>
          <w:rPr>
            <w:webHidden/>
          </w:rPr>
          <w:t>26</w:t>
        </w:r>
        <w:r>
          <w:rPr>
            <w:webHidden/>
          </w:rPr>
          <w:fldChar w:fldCharType="end"/>
        </w:r>
      </w:hyperlink>
    </w:p>
    <w:p w14:paraId="3A0D5A38" w14:textId="16D1A91B"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95" w:history="1">
        <w:r w:rsidRPr="002166B6">
          <w:rPr>
            <w:rStyle w:val="Hyperlink"/>
          </w:rPr>
          <w:t>3.4.4</w:t>
        </w:r>
        <w:r>
          <w:rPr>
            <w:rFonts w:asciiTheme="minorHAnsi" w:eastAsiaTheme="minorEastAsia" w:hAnsiTheme="minorHAnsi" w:cstheme="minorBidi"/>
            <w:kern w:val="2"/>
            <w:sz w:val="24"/>
            <w:szCs w:val="24"/>
            <w:lang w:eastAsia="en-AU"/>
            <w14:ligatures w14:val="standardContextual"/>
          </w:rPr>
          <w:tab/>
        </w:r>
        <w:r w:rsidRPr="002166B6">
          <w:rPr>
            <w:rStyle w:val="Hyperlink"/>
          </w:rPr>
          <w:t>Small business owners</w:t>
        </w:r>
        <w:r>
          <w:rPr>
            <w:webHidden/>
          </w:rPr>
          <w:tab/>
        </w:r>
        <w:r>
          <w:rPr>
            <w:webHidden/>
          </w:rPr>
          <w:fldChar w:fldCharType="begin"/>
        </w:r>
        <w:r>
          <w:rPr>
            <w:webHidden/>
          </w:rPr>
          <w:instrText xml:space="preserve"> PAGEREF _Toc216179695 \h </w:instrText>
        </w:r>
        <w:r>
          <w:rPr>
            <w:webHidden/>
          </w:rPr>
        </w:r>
        <w:r>
          <w:rPr>
            <w:webHidden/>
          </w:rPr>
          <w:fldChar w:fldCharType="separate"/>
        </w:r>
        <w:r>
          <w:rPr>
            <w:webHidden/>
          </w:rPr>
          <w:t>26</w:t>
        </w:r>
        <w:r>
          <w:rPr>
            <w:webHidden/>
          </w:rPr>
          <w:fldChar w:fldCharType="end"/>
        </w:r>
      </w:hyperlink>
    </w:p>
    <w:p w14:paraId="2D4AEA0A" w14:textId="397C4416"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96" w:history="1">
        <w:r w:rsidRPr="002166B6">
          <w:rPr>
            <w:rStyle w:val="Hyperlink"/>
          </w:rPr>
          <w:t>3.4.5</w:t>
        </w:r>
        <w:r>
          <w:rPr>
            <w:rFonts w:asciiTheme="minorHAnsi" w:eastAsiaTheme="minorEastAsia" w:hAnsiTheme="minorHAnsi" w:cstheme="minorBidi"/>
            <w:kern w:val="2"/>
            <w:sz w:val="24"/>
            <w:szCs w:val="24"/>
            <w:lang w:eastAsia="en-AU"/>
            <w14:ligatures w14:val="standardContextual"/>
          </w:rPr>
          <w:tab/>
        </w:r>
        <w:r w:rsidRPr="002166B6">
          <w:rPr>
            <w:rStyle w:val="Hyperlink"/>
          </w:rPr>
          <w:t>Private and public benefits of civil litigation</w:t>
        </w:r>
        <w:r>
          <w:rPr>
            <w:webHidden/>
          </w:rPr>
          <w:tab/>
        </w:r>
        <w:r>
          <w:rPr>
            <w:webHidden/>
          </w:rPr>
          <w:fldChar w:fldCharType="begin"/>
        </w:r>
        <w:r>
          <w:rPr>
            <w:webHidden/>
          </w:rPr>
          <w:instrText xml:space="preserve"> PAGEREF _Toc216179696 \h </w:instrText>
        </w:r>
        <w:r>
          <w:rPr>
            <w:webHidden/>
          </w:rPr>
        </w:r>
        <w:r>
          <w:rPr>
            <w:webHidden/>
          </w:rPr>
          <w:fldChar w:fldCharType="separate"/>
        </w:r>
        <w:r>
          <w:rPr>
            <w:webHidden/>
          </w:rPr>
          <w:t>26</w:t>
        </w:r>
        <w:r>
          <w:rPr>
            <w:webHidden/>
          </w:rPr>
          <w:fldChar w:fldCharType="end"/>
        </w:r>
      </w:hyperlink>
    </w:p>
    <w:p w14:paraId="2E01575A" w14:textId="7202D569"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697" w:history="1">
        <w:r w:rsidRPr="002166B6">
          <w:rPr>
            <w:rStyle w:val="Hyperlink"/>
          </w:rPr>
          <w:t>3.4.6</w:t>
        </w:r>
        <w:r>
          <w:rPr>
            <w:rFonts w:asciiTheme="minorHAnsi" w:eastAsiaTheme="minorEastAsia" w:hAnsiTheme="minorHAnsi" w:cstheme="minorBidi"/>
            <w:kern w:val="2"/>
            <w:sz w:val="24"/>
            <w:szCs w:val="24"/>
            <w:lang w:eastAsia="en-AU"/>
            <w14:ligatures w14:val="standardContextual"/>
          </w:rPr>
          <w:tab/>
        </w:r>
        <w:r w:rsidRPr="002166B6">
          <w:rPr>
            <w:rStyle w:val="Hyperlink"/>
          </w:rPr>
          <w:t>Victims</w:t>
        </w:r>
        <w:r>
          <w:rPr>
            <w:webHidden/>
          </w:rPr>
          <w:tab/>
        </w:r>
        <w:r>
          <w:rPr>
            <w:webHidden/>
          </w:rPr>
          <w:fldChar w:fldCharType="begin"/>
        </w:r>
        <w:r>
          <w:rPr>
            <w:webHidden/>
          </w:rPr>
          <w:instrText xml:space="preserve"> PAGEREF _Toc216179697 \h </w:instrText>
        </w:r>
        <w:r>
          <w:rPr>
            <w:webHidden/>
          </w:rPr>
        </w:r>
        <w:r>
          <w:rPr>
            <w:webHidden/>
          </w:rPr>
          <w:fldChar w:fldCharType="separate"/>
        </w:r>
        <w:r>
          <w:rPr>
            <w:webHidden/>
          </w:rPr>
          <w:t>27</w:t>
        </w:r>
        <w:r>
          <w:rPr>
            <w:webHidden/>
          </w:rPr>
          <w:fldChar w:fldCharType="end"/>
        </w:r>
      </w:hyperlink>
    </w:p>
    <w:p w14:paraId="0480E9BF" w14:textId="3DAABF90"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698" w:history="1">
        <w:r w:rsidRPr="002166B6">
          <w:rPr>
            <w:rStyle w:val="Hyperlink"/>
          </w:rPr>
          <w:t>4.</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Objectives</w:t>
        </w:r>
        <w:r>
          <w:rPr>
            <w:webHidden/>
          </w:rPr>
          <w:tab/>
        </w:r>
        <w:r>
          <w:rPr>
            <w:webHidden/>
          </w:rPr>
          <w:fldChar w:fldCharType="begin"/>
        </w:r>
        <w:r>
          <w:rPr>
            <w:webHidden/>
          </w:rPr>
          <w:instrText xml:space="preserve"> PAGEREF _Toc216179698 \h </w:instrText>
        </w:r>
        <w:r>
          <w:rPr>
            <w:webHidden/>
          </w:rPr>
        </w:r>
        <w:r>
          <w:rPr>
            <w:webHidden/>
          </w:rPr>
          <w:fldChar w:fldCharType="separate"/>
        </w:r>
        <w:r>
          <w:rPr>
            <w:webHidden/>
          </w:rPr>
          <w:t>28</w:t>
        </w:r>
        <w:r>
          <w:rPr>
            <w:webHidden/>
          </w:rPr>
          <w:fldChar w:fldCharType="end"/>
        </w:r>
      </w:hyperlink>
    </w:p>
    <w:p w14:paraId="6093F3E4" w14:textId="0F268965"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699" w:history="1">
        <w:r w:rsidRPr="002166B6">
          <w:rPr>
            <w:rStyle w:val="Hyperlink"/>
          </w:rPr>
          <w:t>5.</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Identifying Options</w:t>
        </w:r>
        <w:r>
          <w:rPr>
            <w:webHidden/>
          </w:rPr>
          <w:tab/>
        </w:r>
        <w:r>
          <w:rPr>
            <w:webHidden/>
          </w:rPr>
          <w:fldChar w:fldCharType="begin"/>
        </w:r>
        <w:r>
          <w:rPr>
            <w:webHidden/>
          </w:rPr>
          <w:instrText xml:space="preserve"> PAGEREF _Toc216179699 \h </w:instrText>
        </w:r>
        <w:r>
          <w:rPr>
            <w:webHidden/>
          </w:rPr>
        </w:r>
        <w:r>
          <w:rPr>
            <w:webHidden/>
          </w:rPr>
          <w:fldChar w:fldCharType="separate"/>
        </w:r>
        <w:r>
          <w:rPr>
            <w:webHidden/>
          </w:rPr>
          <w:t>29</w:t>
        </w:r>
        <w:r>
          <w:rPr>
            <w:webHidden/>
          </w:rPr>
          <w:fldChar w:fldCharType="end"/>
        </w:r>
      </w:hyperlink>
    </w:p>
    <w:p w14:paraId="270051D0" w14:textId="244C5E74"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00" w:history="1">
        <w:r w:rsidRPr="002166B6">
          <w:rPr>
            <w:rStyle w:val="Hyperlink"/>
          </w:rPr>
          <w:t>5.1</w:t>
        </w:r>
        <w:r>
          <w:rPr>
            <w:rFonts w:asciiTheme="minorHAnsi" w:eastAsiaTheme="minorEastAsia" w:hAnsiTheme="minorHAnsi" w:cstheme="minorBidi"/>
            <w:kern w:val="2"/>
            <w:sz w:val="24"/>
            <w:szCs w:val="24"/>
            <w:lang w:eastAsia="en-AU"/>
            <w14:ligatures w14:val="standardContextual"/>
          </w:rPr>
          <w:tab/>
        </w:r>
        <w:r w:rsidRPr="002166B6">
          <w:rPr>
            <w:rStyle w:val="Hyperlink"/>
          </w:rPr>
          <w:t>Pricing a new fee structure</w:t>
        </w:r>
        <w:r>
          <w:rPr>
            <w:webHidden/>
          </w:rPr>
          <w:tab/>
        </w:r>
        <w:r>
          <w:rPr>
            <w:webHidden/>
          </w:rPr>
          <w:fldChar w:fldCharType="begin"/>
        </w:r>
        <w:r>
          <w:rPr>
            <w:webHidden/>
          </w:rPr>
          <w:instrText xml:space="preserve"> PAGEREF _Toc216179700 \h </w:instrText>
        </w:r>
        <w:r>
          <w:rPr>
            <w:webHidden/>
          </w:rPr>
        </w:r>
        <w:r>
          <w:rPr>
            <w:webHidden/>
          </w:rPr>
          <w:fldChar w:fldCharType="separate"/>
        </w:r>
        <w:r>
          <w:rPr>
            <w:webHidden/>
          </w:rPr>
          <w:t>30</w:t>
        </w:r>
        <w:r>
          <w:rPr>
            <w:webHidden/>
          </w:rPr>
          <w:fldChar w:fldCharType="end"/>
        </w:r>
      </w:hyperlink>
    </w:p>
    <w:p w14:paraId="524F6630" w14:textId="700A6861"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01" w:history="1">
        <w:r w:rsidRPr="002166B6">
          <w:rPr>
            <w:rStyle w:val="Hyperlink"/>
          </w:rPr>
          <w:t>5.2</w:t>
        </w:r>
        <w:r>
          <w:rPr>
            <w:rFonts w:asciiTheme="minorHAnsi" w:eastAsiaTheme="minorEastAsia" w:hAnsiTheme="minorHAnsi" w:cstheme="minorBidi"/>
            <w:kern w:val="2"/>
            <w:sz w:val="24"/>
            <w:szCs w:val="24"/>
            <w:lang w:eastAsia="en-AU"/>
            <w14:ligatures w14:val="standardContextual"/>
          </w:rPr>
          <w:tab/>
        </w:r>
        <w:r w:rsidRPr="002166B6">
          <w:rPr>
            <w:rStyle w:val="Hyperlink"/>
          </w:rPr>
          <w:t>Base case</w:t>
        </w:r>
        <w:r>
          <w:rPr>
            <w:webHidden/>
          </w:rPr>
          <w:tab/>
        </w:r>
        <w:r>
          <w:rPr>
            <w:webHidden/>
          </w:rPr>
          <w:fldChar w:fldCharType="begin"/>
        </w:r>
        <w:r>
          <w:rPr>
            <w:webHidden/>
          </w:rPr>
          <w:instrText xml:space="preserve"> PAGEREF _Toc216179701 \h </w:instrText>
        </w:r>
        <w:r>
          <w:rPr>
            <w:webHidden/>
          </w:rPr>
        </w:r>
        <w:r>
          <w:rPr>
            <w:webHidden/>
          </w:rPr>
          <w:fldChar w:fldCharType="separate"/>
        </w:r>
        <w:r>
          <w:rPr>
            <w:webHidden/>
          </w:rPr>
          <w:t>31</w:t>
        </w:r>
        <w:r>
          <w:rPr>
            <w:webHidden/>
          </w:rPr>
          <w:fldChar w:fldCharType="end"/>
        </w:r>
      </w:hyperlink>
    </w:p>
    <w:p w14:paraId="4B10202B" w14:textId="45299EAF"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02" w:history="1">
        <w:r w:rsidRPr="002166B6">
          <w:rPr>
            <w:rStyle w:val="Hyperlink"/>
          </w:rPr>
          <w:t>5.3</w:t>
        </w:r>
        <w:r>
          <w:rPr>
            <w:rFonts w:asciiTheme="minorHAnsi" w:eastAsiaTheme="minorEastAsia" w:hAnsiTheme="minorHAnsi" w:cstheme="minorBidi"/>
            <w:kern w:val="2"/>
            <w:sz w:val="24"/>
            <w:szCs w:val="24"/>
            <w:lang w:eastAsia="en-AU"/>
            <w14:ligatures w14:val="standardContextual"/>
          </w:rPr>
          <w:tab/>
        </w:r>
        <w:r w:rsidRPr="002166B6">
          <w:rPr>
            <w:rStyle w:val="Hyperlink"/>
          </w:rPr>
          <w:t>Option 1: Continue with current fees and structure</w:t>
        </w:r>
        <w:r>
          <w:rPr>
            <w:webHidden/>
          </w:rPr>
          <w:tab/>
        </w:r>
        <w:r>
          <w:rPr>
            <w:webHidden/>
          </w:rPr>
          <w:fldChar w:fldCharType="begin"/>
        </w:r>
        <w:r>
          <w:rPr>
            <w:webHidden/>
          </w:rPr>
          <w:instrText xml:space="preserve"> PAGEREF _Toc216179702 \h </w:instrText>
        </w:r>
        <w:r>
          <w:rPr>
            <w:webHidden/>
          </w:rPr>
        </w:r>
        <w:r>
          <w:rPr>
            <w:webHidden/>
          </w:rPr>
          <w:fldChar w:fldCharType="separate"/>
        </w:r>
        <w:r>
          <w:rPr>
            <w:webHidden/>
          </w:rPr>
          <w:t>31</w:t>
        </w:r>
        <w:r>
          <w:rPr>
            <w:webHidden/>
          </w:rPr>
          <w:fldChar w:fldCharType="end"/>
        </w:r>
      </w:hyperlink>
    </w:p>
    <w:p w14:paraId="44AEFE91" w14:textId="2D29180E"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03" w:history="1">
        <w:r w:rsidRPr="002166B6">
          <w:rPr>
            <w:rStyle w:val="Hyperlink"/>
          </w:rPr>
          <w:t>5.4</w:t>
        </w:r>
        <w:r>
          <w:rPr>
            <w:rFonts w:asciiTheme="minorHAnsi" w:eastAsiaTheme="minorEastAsia" w:hAnsiTheme="minorHAnsi" w:cstheme="minorBidi"/>
            <w:kern w:val="2"/>
            <w:sz w:val="24"/>
            <w:szCs w:val="24"/>
            <w:lang w:eastAsia="en-AU"/>
            <w14:ligatures w14:val="standardContextual"/>
          </w:rPr>
          <w:tab/>
        </w:r>
        <w:r w:rsidRPr="002166B6">
          <w:rPr>
            <w:rStyle w:val="Hyperlink"/>
          </w:rPr>
          <w:t>Option 2: Introduce new fee structure</w:t>
        </w:r>
        <w:r>
          <w:rPr>
            <w:webHidden/>
          </w:rPr>
          <w:tab/>
        </w:r>
        <w:r>
          <w:rPr>
            <w:webHidden/>
          </w:rPr>
          <w:fldChar w:fldCharType="begin"/>
        </w:r>
        <w:r>
          <w:rPr>
            <w:webHidden/>
          </w:rPr>
          <w:instrText xml:space="preserve"> PAGEREF _Toc216179703 \h </w:instrText>
        </w:r>
        <w:r>
          <w:rPr>
            <w:webHidden/>
          </w:rPr>
        </w:r>
        <w:r>
          <w:rPr>
            <w:webHidden/>
          </w:rPr>
          <w:fldChar w:fldCharType="separate"/>
        </w:r>
        <w:r>
          <w:rPr>
            <w:webHidden/>
          </w:rPr>
          <w:t>31</w:t>
        </w:r>
        <w:r>
          <w:rPr>
            <w:webHidden/>
          </w:rPr>
          <w:fldChar w:fldCharType="end"/>
        </w:r>
      </w:hyperlink>
    </w:p>
    <w:p w14:paraId="0868DE91" w14:textId="57BD635A"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04" w:history="1">
        <w:r w:rsidRPr="002166B6">
          <w:rPr>
            <w:rStyle w:val="Hyperlink"/>
          </w:rPr>
          <w:t>5.4.1</w:t>
        </w:r>
        <w:r>
          <w:rPr>
            <w:rFonts w:asciiTheme="minorHAnsi" w:eastAsiaTheme="minorEastAsia" w:hAnsiTheme="minorHAnsi" w:cstheme="minorBidi"/>
            <w:kern w:val="2"/>
            <w:sz w:val="24"/>
            <w:szCs w:val="24"/>
            <w:lang w:eastAsia="en-AU"/>
            <w14:ligatures w14:val="standardContextual"/>
          </w:rPr>
          <w:tab/>
        </w:r>
        <w:r w:rsidRPr="002166B6">
          <w:rPr>
            <w:rStyle w:val="Hyperlink"/>
          </w:rPr>
          <w:t>Fee schedule under Option 2</w:t>
        </w:r>
        <w:r>
          <w:rPr>
            <w:webHidden/>
          </w:rPr>
          <w:tab/>
        </w:r>
        <w:r>
          <w:rPr>
            <w:webHidden/>
          </w:rPr>
          <w:fldChar w:fldCharType="begin"/>
        </w:r>
        <w:r>
          <w:rPr>
            <w:webHidden/>
          </w:rPr>
          <w:instrText xml:space="preserve"> PAGEREF _Toc216179704 \h </w:instrText>
        </w:r>
        <w:r>
          <w:rPr>
            <w:webHidden/>
          </w:rPr>
        </w:r>
        <w:r>
          <w:rPr>
            <w:webHidden/>
          </w:rPr>
          <w:fldChar w:fldCharType="separate"/>
        </w:r>
        <w:r>
          <w:rPr>
            <w:webHidden/>
          </w:rPr>
          <w:t>31</w:t>
        </w:r>
        <w:r>
          <w:rPr>
            <w:webHidden/>
          </w:rPr>
          <w:fldChar w:fldCharType="end"/>
        </w:r>
      </w:hyperlink>
    </w:p>
    <w:p w14:paraId="3A2F04A4" w14:textId="705725E5"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05" w:history="1">
        <w:r w:rsidRPr="002166B6">
          <w:rPr>
            <w:rStyle w:val="Hyperlink"/>
          </w:rPr>
          <w:t>5.4.2</w:t>
        </w:r>
        <w:r>
          <w:rPr>
            <w:rFonts w:asciiTheme="minorHAnsi" w:eastAsiaTheme="minorEastAsia" w:hAnsiTheme="minorHAnsi" w:cstheme="minorBidi"/>
            <w:kern w:val="2"/>
            <w:sz w:val="24"/>
            <w:szCs w:val="24"/>
            <w:lang w:eastAsia="en-AU"/>
            <w14:ligatures w14:val="standardContextual"/>
          </w:rPr>
          <w:tab/>
        </w:r>
        <w:r w:rsidRPr="002166B6">
          <w:rPr>
            <w:rStyle w:val="Hyperlink"/>
          </w:rPr>
          <w:t>Changes to fee categories</w:t>
        </w:r>
        <w:r>
          <w:rPr>
            <w:webHidden/>
          </w:rPr>
          <w:tab/>
        </w:r>
        <w:r>
          <w:rPr>
            <w:webHidden/>
          </w:rPr>
          <w:fldChar w:fldCharType="begin"/>
        </w:r>
        <w:r>
          <w:rPr>
            <w:webHidden/>
          </w:rPr>
          <w:instrText xml:space="preserve"> PAGEREF _Toc216179705 \h </w:instrText>
        </w:r>
        <w:r>
          <w:rPr>
            <w:webHidden/>
          </w:rPr>
        </w:r>
        <w:r>
          <w:rPr>
            <w:webHidden/>
          </w:rPr>
          <w:fldChar w:fldCharType="separate"/>
        </w:r>
        <w:r>
          <w:rPr>
            <w:webHidden/>
          </w:rPr>
          <w:t>33</w:t>
        </w:r>
        <w:r>
          <w:rPr>
            <w:webHidden/>
          </w:rPr>
          <w:fldChar w:fldCharType="end"/>
        </w:r>
      </w:hyperlink>
    </w:p>
    <w:p w14:paraId="38D1E89C" w14:textId="24942B19"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06" w:history="1">
        <w:r w:rsidRPr="002166B6">
          <w:rPr>
            <w:rStyle w:val="Hyperlink"/>
          </w:rPr>
          <w:t>5.4.3</w:t>
        </w:r>
        <w:r>
          <w:rPr>
            <w:rFonts w:asciiTheme="minorHAnsi" w:eastAsiaTheme="minorEastAsia" w:hAnsiTheme="minorHAnsi" w:cstheme="minorBidi"/>
            <w:kern w:val="2"/>
            <w:sz w:val="24"/>
            <w:szCs w:val="24"/>
            <w:lang w:eastAsia="en-AU"/>
            <w14:ligatures w14:val="standardContextual"/>
          </w:rPr>
          <w:tab/>
        </w:r>
        <w:r w:rsidRPr="002166B6">
          <w:rPr>
            <w:rStyle w:val="Hyperlink"/>
          </w:rPr>
          <w:t>Fee rate relativities</w:t>
        </w:r>
        <w:r>
          <w:rPr>
            <w:webHidden/>
          </w:rPr>
          <w:tab/>
        </w:r>
        <w:r>
          <w:rPr>
            <w:webHidden/>
          </w:rPr>
          <w:fldChar w:fldCharType="begin"/>
        </w:r>
        <w:r>
          <w:rPr>
            <w:webHidden/>
          </w:rPr>
          <w:instrText xml:space="preserve"> PAGEREF _Toc216179706 \h </w:instrText>
        </w:r>
        <w:r>
          <w:rPr>
            <w:webHidden/>
          </w:rPr>
        </w:r>
        <w:r>
          <w:rPr>
            <w:webHidden/>
          </w:rPr>
          <w:fldChar w:fldCharType="separate"/>
        </w:r>
        <w:r>
          <w:rPr>
            <w:webHidden/>
          </w:rPr>
          <w:t>34</w:t>
        </w:r>
        <w:r>
          <w:rPr>
            <w:webHidden/>
          </w:rPr>
          <w:fldChar w:fldCharType="end"/>
        </w:r>
      </w:hyperlink>
    </w:p>
    <w:p w14:paraId="67D58B20" w14:textId="12A3868C"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07" w:history="1">
        <w:r w:rsidRPr="002166B6">
          <w:rPr>
            <w:rStyle w:val="Hyperlink"/>
          </w:rPr>
          <w:t>5.4.4</w:t>
        </w:r>
        <w:r>
          <w:rPr>
            <w:rFonts w:asciiTheme="minorHAnsi" w:eastAsiaTheme="minorEastAsia" w:hAnsiTheme="minorHAnsi" w:cstheme="minorBidi"/>
            <w:kern w:val="2"/>
            <w:sz w:val="24"/>
            <w:szCs w:val="24"/>
            <w:lang w:eastAsia="en-AU"/>
            <w14:ligatures w14:val="standardContextual"/>
          </w:rPr>
          <w:tab/>
        </w:r>
        <w:r w:rsidRPr="002166B6">
          <w:rPr>
            <w:rStyle w:val="Hyperlink"/>
          </w:rPr>
          <w:t>New fees</w:t>
        </w:r>
        <w:r>
          <w:rPr>
            <w:webHidden/>
          </w:rPr>
          <w:tab/>
        </w:r>
        <w:r>
          <w:rPr>
            <w:webHidden/>
          </w:rPr>
          <w:fldChar w:fldCharType="begin"/>
        </w:r>
        <w:r>
          <w:rPr>
            <w:webHidden/>
          </w:rPr>
          <w:instrText xml:space="preserve"> PAGEREF _Toc216179707 \h </w:instrText>
        </w:r>
        <w:r>
          <w:rPr>
            <w:webHidden/>
          </w:rPr>
        </w:r>
        <w:r>
          <w:rPr>
            <w:webHidden/>
          </w:rPr>
          <w:fldChar w:fldCharType="separate"/>
        </w:r>
        <w:r>
          <w:rPr>
            <w:webHidden/>
          </w:rPr>
          <w:t>34</w:t>
        </w:r>
        <w:r>
          <w:rPr>
            <w:webHidden/>
          </w:rPr>
          <w:fldChar w:fldCharType="end"/>
        </w:r>
      </w:hyperlink>
    </w:p>
    <w:p w14:paraId="06473E65" w14:textId="4C2304EC"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08" w:history="1">
        <w:r w:rsidRPr="002166B6">
          <w:rPr>
            <w:rStyle w:val="Hyperlink"/>
          </w:rPr>
          <w:t>5.4.5</w:t>
        </w:r>
        <w:r>
          <w:rPr>
            <w:rFonts w:asciiTheme="minorHAnsi" w:eastAsiaTheme="minorEastAsia" w:hAnsiTheme="minorHAnsi" w:cstheme="minorBidi"/>
            <w:kern w:val="2"/>
            <w:sz w:val="24"/>
            <w:szCs w:val="24"/>
            <w:lang w:eastAsia="en-AU"/>
            <w14:ligatures w14:val="standardContextual"/>
          </w:rPr>
          <w:tab/>
        </w:r>
        <w:r w:rsidRPr="002166B6">
          <w:rPr>
            <w:rStyle w:val="Hyperlink"/>
          </w:rPr>
          <w:t>Reorganising and streamlining fees</w:t>
        </w:r>
        <w:r>
          <w:rPr>
            <w:webHidden/>
          </w:rPr>
          <w:tab/>
        </w:r>
        <w:r>
          <w:rPr>
            <w:webHidden/>
          </w:rPr>
          <w:fldChar w:fldCharType="begin"/>
        </w:r>
        <w:r>
          <w:rPr>
            <w:webHidden/>
          </w:rPr>
          <w:instrText xml:space="preserve"> PAGEREF _Toc216179708 \h </w:instrText>
        </w:r>
        <w:r>
          <w:rPr>
            <w:webHidden/>
          </w:rPr>
        </w:r>
        <w:r>
          <w:rPr>
            <w:webHidden/>
          </w:rPr>
          <w:fldChar w:fldCharType="separate"/>
        </w:r>
        <w:r>
          <w:rPr>
            <w:webHidden/>
          </w:rPr>
          <w:t>36</w:t>
        </w:r>
        <w:r>
          <w:rPr>
            <w:webHidden/>
          </w:rPr>
          <w:fldChar w:fldCharType="end"/>
        </w:r>
      </w:hyperlink>
    </w:p>
    <w:p w14:paraId="76314E27" w14:textId="431782FF"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09" w:history="1">
        <w:r w:rsidRPr="002166B6">
          <w:rPr>
            <w:rStyle w:val="Hyperlink"/>
          </w:rPr>
          <w:t>5.5</w:t>
        </w:r>
        <w:r>
          <w:rPr>
            <w:rFonts w:asciiTheme="minorHAnsi" w:eastAsiaTheme="minorEastAsia" w:hAnsiTheme="minorHAnsi" w:cstheme="minorBidi"/>
            <w:kern w:val="2"/>
            <w:sz w:val="24"/>
            <w:szCs w:val="24"/>
            <w:lang w:eastAsia="en-AU"/>
            <w14:ligatures w14:val="standardContextual"/>
          </w:rPr>
          <w:tab/>
        </w:r>
        <w:r w:rsidRPr="002166B6">
          <w:rPr>
            <w:rStyle w:val="Hyperlink"/>
          </w:rPr>
          <w:t>Option 3: New fee structure and increased cost recovery</w:t>
        </w:r>
        <w:r>
          <w:rPr>
            <w:webHidden/>
          </w:rPr>
          <w:tab/>
        </w:r>
        <w:r>
          <w:rPr>
            <w:webHidden/>
          </w:rPr>
          <w:fldChar w:fldCharType="begin"/>
        </w:r>
        <w:r>
          <w:rPr>
            <w:webHidden/>
          </w:rPr>
          <w:instrText xml:space="preserve"> PAGEREF _Toc216179709 \h </w:instrText>
        </w:r>
        <w:r>
          <w:rPr>
            <w:webHidden/>
          </w:rPr>
        </w:r>
        <w:r>
          <w:rPr>
            <w:webHidden/>
          </w:rPr>
          <w:fldChar w:fldCharType="separate"/>
        </w:r>
        <w:r>
          <w:rPr>
            <w:webHidden/>
          </w:rPr>
          <w:t>37</w:t>
        </w:r>
        <w:r>
          <w:rPr>
            <w:webHidden/>
          </w:rPr>
          <w:fldChar w:fldCharType="end"/>
        </w:r>
      </w:hyperlink>
    </w:p>
    <w:p w14:paraId="5C90277A" w14:textId="147E5E65"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10" w:history="1">
        <w:r w:rsidRPr="002166B6">
          <w:rPr>
            <w:rStyle w:val="Hyperlink"/>
          </w:rPr>
          <w:t>5.5.1</w:t>
        </w:r>
        <w:r>
          <w:rPr>
            <w:rFonts w:asciiTheme="minorHAnsi" w:eastAsiaTheme="minorEastAsia" w:hAnsiTheme="minorHAnsi" w:cstheme="minorBidi"/>
            <w:kern w:val="2"/>
            <w:sz w:val="24"/>
            <w:szCs w:val="24"/>
            <w:lang w:eastAsia="en-AU"/>
            <w14:ligatures w14:val="standardContextual"/>
          </w:rPr>
          <w:tab/>
        </w:r>
        <w:r w:rsidRPr="002166B6">
          <w:rPr>
            <w:rStyle w:val="Hyperlink"/>
          </w:rPr>
          <w:t>Increase in cost recovery</w:t>
        </w:r>
        <w:r>
          <w:rPr>
            <w:webHidden/>
          </w:rPr>
          <w:tab/>
        </w:r>
        <w:r>
          <w:rPr>
            <w:webHidden/>
          </w:rPr>
          <w:fldChar w:fldCharType="begin"/>
        </w:r>
        <w:r>
          <w:rPr>
            <w:webHidden/>
          </w:rPr>
          <w:instrText xml:space="preserve"> PAGEREF _Toc216179710 \h </w:instrText>
        </w:r>
        <w:r>
          <w:rPr>
            <w:webHidden/>
          </w:rPr>
        </w:r>
        <w:r>
          <w:rPr>
            <w:webHidden/>
          </w:rPr>
          <w:fldChar w:fldCharType="separate"/>
        </w:r>
        <w:r>
          <w:rPr>
            <w:webHidden/>
          </w:rPr>
          <w:t>37</w:t>
        </w:r>
        <w:r>
          <w:rPr>
            <w:webHidden/>
          </w:rPr>
          <w:fldChar w:fldCharType="end"/>
        </w:r>
      </w:hyperlink>
    </w:p>
    <w:p w14:paraId="21475029" w14:textId="1DCDAA0D"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11" w:history="1">
        <w:r w:rsidRPr="002166B6">
          <w:rPr>
            <w:rStyle w:val="Hyperlink"/>
          </w:rPr>
          <w:t>5.5.2</w:t>
        </w:r>
        <w:r>
          <w:rPr>
            <w:rFonts w:asciiTheme="minorHAnsi" w:eastAsiaTheme="minorEastAsia" w:hAnsiTheme="minorHAnsi" w:cstheme="minorBidi"/>
            <w:kern w:val="2"/>
            <w:sz w:val="24"/>
            <w:szCs w:val="24"/>
            <w:lang w:eastAsia="en-AU"/>
            <w14:ligatures w14:val="standardContextual"/>
          </w:rPr>
          <w:tab/>
        </w:r>
        <w:r w:rsidRPr="002166B6">
          <w:rPr>
            <w:rStyle w:val="Hyperlink"/>
          </w:rPr>
          <w:t>Fee Structure under Option 3</w:t>
        </w:r>
        <w:r>
          <w:rPr>
            <w:webHidden/>
          </w:rPr>
          <w:tab/>
        </w:r>
        <w:r>
          <w:rPr>
            <w:webHidden/>
          </w:rPr>
          <w:fldChar w:fldCharType="begin"/>
        </w:r>
        <w:r>
          <w:rPr>
            <w:webHidden/>
          </w:rPr>
          <w:instrText xml:space="preserve"> PAGEREF _Toc216179711 \h </w:instrText>
        </w:r>
        <w:r>
          <w:rPr>
            <w:webHidden/>
          </w:rPr>
        </w:r>
        <w:r>
          <w:rPr>
            <w:webHidden/>
          </w:rPr>
          <w:fldChar w:fldCharType="separate"/>
        </w:r>
        <w:r>
          <w:rPr>
            <w:webHidden/>
          </w:rPr>
          <w:t>37</w:t>
        </w:r>
        <w:r>
          <w:rPr>
            <w:webHidden/>
          </w:rPr>
          <w:fldChar w:fldCharType="end"/>
        </w:r>
      </w:hyperlink>
    </w:p>
    <w:p w14:paraId="47DAEA65" w14:textId="2F51FAD7"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12" w:history="1">
        <w:r w:rsidRPr="002166B6">
          <w:rPr>
            <w:rStyle w:val="Hyperlink"/>
          </w:rPr>
          <w:t>6.</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Options impact analysis</w:t>
        </w:r>
        <w:r>
          <w:rPr>
            <w:webHidden/>
          </w:rPr>
          <w:tab/>
        </w:r>
        <w:r>
          <w:rPr>
            <w:webHidden/>
          </w:rPr>
          <w:fldChar w:fldCharType="begin"/>
        </w:r>
        <w:r>
          <w:rPr>
            <w:webHidden/>
          </w:rPr>
          <w:instrText xml:space="preserve"> PAGEREF _Toc216179712 \h </w:instrText>
        </w:r>
        <w:r>
          <w:rPr>
            <w:webHidden/>
          </w:rPr>
        </w:r>
        <w:r>
          <w:rPr>
            <w:webHidden/>
          </w:rPr>
          <w:fldChar w:fldCharType="separate"/>
        </w:r>
        <w:r>
          <w:rPr>
            <w:webHidden/>
          </w:rPr>
          <w:t>38</w:t>
        </w:r>
        <w:r>
          <w:rPr>
            <w:webHidden/>
          </w:rPr>
          <w:fldChar w:fldCharType="end"/>
        </w:r>
      </w:hyperlink>
    </w:p>
    <w:p w14:paraId="345EF2B1" w14:textId="596541DE"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13" w:history="1">
        <w:r w:rsidRPr="002166B6">
          <w:rPr>
            <w:rStyle w:val="Hyperlink"/>
          </w:rPr>
          <w:t>6.1</w:t>
        </w:r>
        <w:r>
          <w:rPr>
            <w:rFonts w:asciiTheme="minorHAnsi" w:eastAsiaTheme="minorEastAsia" w:hAnsiTheme="minorHAnsi" w:cstheme="minorBidi"/>
            <w:kern w:val="2"/>
            <w:sz w:val="24"/>
            <w:szCs w:val="24"/>
            <w:lang w:eastAsia="en-AU"/>
            <w14:ligatures w14:val="standardContextual"/>
          </w:rPr>
          <w:tab/>
        </w:r>
        <w:r w:rsidRPr="002166B6">
          <w:rPr>
            <w:rStyle w:val="Hyperlink"/>
          </w:rPr>
          <w:t>Multi-Criteria Analysis methodology</w:t>
        </w:r>
        <w:r>
          <w:rPr>
            <w:webHidden/>
          </w:rPr>
          <w:tab/>
        </w:r>
        <w:r>
          <w:rPr>
            <w:webHidden/>
          </w:rPr>
          <w:fldChar w:fldCharType="begin"/>
        </w:r>
        <w:r>
          <w:rPr>
            <w:webHidden/>
          </w:rPr>
          <w:instrText xml:space="preserve"> PAGEREF _Toc216179713 \h </w:instrText>
        </w:r>
        <w:r>
          <w:rPr>
            <w:webHidden/>
          </w:rPr>
        </w:r>
        <w:r>
          <w:rPr>
            <w:webHidden/>
          </w:rPr>
          <w:fldChar w:fldCharType="separate"/>
        </w:r>
        <w:r>
          <w:rPr>
            <w:webHidden/>
          </w:rPr>
          <w:t>38</w:t>
        </w:r>
        <w:r>
          <w:rPr>
            <w:webHidden/>
          </w:rPr>
          <w:fldChar w:fldCharType="end"/>
        </w:r>
      </w:hyperlink>
    </w:p>
    <w:p w14:paraId="39914D83" w14:textId="45416B87"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14" w:history="1">
        <w:r w:rsidRPr="002166B6">
          <w:rPr>
            <w:rStyle w:val="Hyperlink"/>
          </w:rPr>
          <w:t>6.1.1</w:t>
        </w:r>
        <w:r>
          <w:rPr>
            <w:rFonts w:asciiTheme="minorHAnsi" w:eastAsiaTheme="minorEastAsia" w:hAnsiTheme="minorHAnsi" w:cstheme="minorBidi"/>
            <w:kern w:val="2"/>
            <w:sz w:val="24"/>
            <w:szCs w:val="24"/>
            <w:lang w:eastAsia="en-AU"/>
            <w14:ligatures w14:val="standardContextual"/>
          </w:rPr>
          <w:tab/>
        </w:r>
        <w:r w:rsidRPr="002166B6">
          <w:rPr>
            <w:rStyle w:val="Hyperlink"/>
          </w:rPr>
          <w:t>Defining weighted criteria</w:t>
        </w:r>
        <w:r>
          <w:rPr>
            <w:webHidden/>
          </w:rPr>
          <w:tab/>
        </w:r>
        <w:r>
          <w:rPr>
            <w:webHidden/>
          </w:rPr>
          <w:fldChar w:fldCharType="begin"/>
        </w:r>
        <w:r>
          <w:rPr>
            <w:webHidden/>
          </w:rPr>
          <w:instrText xml:space="preserve"> PAGEREF _Toc216179714 \h </w:instrText>
        </w:r>
        <w:r>
          <w:rPr>
            <w:webHidden/>
          </w:rPr>
        </w:r>
        <w:r>
          <w:rPr>
            <w:webHidden/>
          </w:rPr>
          <w:fldChar w:fldCharType="separate"/>
        </w:r>
        <w:r>
          <w:rPr>
            <w:webHidden/>
          </w:rPr>
          <w:t>38</w:t>
        </w:r>
        <w:r>
          <w:rPr>
            <w:webHidden/>
          </w:rPr>
          <w:fldChar w:fldCharType="end"/>
        </w:r>
      </w:hyperlink>
    </w:p>
    <w:p w14:paraId="165772EF" w14:textId="61E5A6FE"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15" w:history="1">
        <w:r w:rsidRPr="002166B6">
          <w:rPr>
            <w:rStyle w:val="Hyperlink"/>
          </w:rPr>
          <w:t>6.1.2</w:t>
        </w:r>
        <w:r>
          <w:rPr>
            <w:rFonts w:asciiTheme="minorHAnsi" w:eastAsiaTheme="minorEastAsia" w:hAnsiTheme="minorHAnsi" w:cstheme="minorBidi"/>
            <w:kern w:val="2"/>
            <w:sz w:val="24"/>
            <w:szCs w:val="24"/>
            <w:lang w:eastAsia="en-AU"/>
            <w14:ligatures w14:val="standardContextual"/>
          </w:rPr>
          <w:tab/>
        </w:r>
        <w:r w:rsidRPr="002166B6">
          <w:rPr>
            <w:rStyle w:val="Hyperlink"/>
          </w:rPr>
          <w:t>Scale</w:t>
        </w:r>
        <w:r>
          <w:rPr>
            <w:webHidden/>
          </w:rPr>
          <w:tab/>
        </w:r>
        <w:r>
          <w:rPr>
            <w:webHidden/>
          </w:rPr>
          <w:fldChar w:fldCharType="begin"/>
        </w:r>
        <w:r>
          <w:rPr>
            <w:webHidden/>
          </w:rPr>
          <w:instrText xml:space="preserve"> PAGEREF _Toc216179715 \h </w:instrText>
        </w:r>
        <w:r>
          <w:rPr>
            <w:webHidden/>
          </w:rPr>
        </w:r>
        <w:r>
          <w:rPr>
            <w:webHidden/>
          </w:rPr>
          <w:fldChar w:fldCharType="separate"/>
        </w:r>
        <w:r>
          <w:rPr>
            <w:webHidden/>
          </w:rPr>
          <w:t>39</w:t>
        </w:r>
        <w:r>
          <w:rPr>
            <w:webHidden/>
          </w:rPr>
          <w:fldChar w:fldCharType="end"/>
        </w:r>
      </w:hyperlink>
    </w:p>
    <w:p w14:paraId="33E0F438" w14:textId="533CC7C0"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16" w:history="1">
        <w:r w:rsidRPr="002166B6">
          <w:rPr>
            <w:rStyle w:val="Hyperlink"/>
          </w:rPr>
          <w:t>6.2</w:t>
        </w:r>
        <w:r>
          <w:rPr>
            <w:rFonts w:asciiTheme="minorHAnsi" w:eastAsiaTheme="minorEastAsia" w:hAnsiTheme="minorHAnsi" w:cstheme="minorBidi"/>
            <w:kern w:val="2"/>
            <w:sz w:val="24"/>
            <w:szCs w:val="24"/>
            <w:lang w:eastAsia="en-AU"/>
            <w14:ligatures w14:val="standardContextual"/>
          </w:rPr>
          <w:tab/>
        </w:r>
        <w:r w:rsidRPr="002166B6">
          <w:rPr>
            <w:rStyle w:val="Hyperlink"/>
          </w:rPr>
          <w:t>Multi-Criteria Analysis</w:t>
        </w:r>
        <w:r>
          <w:rPr>
            <w:webHidden/>
          </w:rPr>
          <w:tab/>
        </w:r>
        <w:r>
          <w:rPr>
            <w:webHidden/>
          </w:rPr>
          <w:fldChar w:fldCharType="begin"/>
        </w:r>
        <w:r>
          <w:rPr>
            <w:webHidden/>
          </w:rPr>
          <w:instrText xml:space="preserve"> PAGEREF _Toc216179716 \h </w:instrText>
        </w:r>
        <w:r>
          <w:rPr>
            <w:webHidden/>
          </w:rPr>
        </w:r>
        <w:r>
          <w:rPr>
            <w:webHidden/>
          </w:rPr>
          <w:fldChar w:fldCharType="separate"/>
        </w:r>
        <w:r>
          <w:rPr>
            <w:webHidden/>
          </w:rPr>
          <w:t>40</w:t>
        </w:r>
        <w:r>
          <w:rPr>
            <w:webHidden/>
          </w:rPr>
          <w:fldChar w:fldCharType="end"/>
        </w:r>
      </w:hyperlink>
    </w:p>
    <w:p w14:paraId="5805E76D" w14:textId="5BFD97D1"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17" w:history="1">
        <w:r w:rsidRPr="002166B6">
          <w:rPr>
            <w:rStyle w:val="Hyperlink"/>
          </w:rPr>
          <w:t>6.2.1</w:t>
        </w:r>
        <w:r>
          <w:rPr>
            <w:rFonts w:asciiTheme="minorHAnsi" w:eastAsiaTheme="minorEastAsia" w:hAnsiTheme="minorHAnsi" w:cstheme="minorBidi"/>
            <w:kern w:val="2"/>
            <w:sz w:val="24"/>
            <w:szCs w:val="24"/>
            <w:lang w:eastAsia="en-AU"/>
            <w14:ligatures w14:val="standardContextual"/>
          </w:rPr>
          <w:tab/>
        </w:r>
        <w:r w:rsidRPr="002166B6">
          <w:rPr>
            <w:rStyle w:val="Hyperlink"/>
          </w:rPr>
          <w:t>Criterion 1 – Fiscal sustainability</w:t>
        </w:r>
        <w:r>
          <w:rPr>
            <w:webHidden/>
          </w:rPr>
          <w:tab/>
        </w:r>
        <w:r>
          <w:rPr>
            <w:webHidden/>
          </w:rPr>
          <w:fldChar w:fldCharType="begin"/>
        </w:r>
        <w:r>
          <w:rPr>
            <w:webHidden/>
          </w:rPr>
          <w:instrText xml:space="preserve"> PAGEREF _Toc216179717 \h </w:instrText>
        </w:r>
        <w:r>
          <w:rPr>
            <w:webHidden/>
          </w:rPr>
        </w:r>
        <w:r>
          <w:rPr>
            <w:webHidden/>
          </w:rPr>
          <w:fldChar w:fldCharType="separate"/>
        </w:r>
        <w:r>
          <w:rPr>
            <w:webHidden/>
          </w:rPr>
          <w:t>40</w:t>
        </w:r>
        <w:r>
          <w:rPr>
            <w:webHidden/>
          </w:rPr>
          <w:fldChar w:fldCharType="end"/>
        </w:r>
      </w:hyperlink>
    </w:p>
    <w:p w14:paraId="758C2DB1" w14:textId="24FD5591"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18" w:history="1">
        <w:r w:rsidRPr="002166B6">
          <w:rPr>
            <w:rStyle w:val="Hyperlink"/>
          </w:rPr>
          <w:t>6.2.2</w:t>
        </w:r>
        <w:r>
          <w:rPr>
            <w:rFonts w:asciiTheme="minorHAnsi" w:eastAsiaTheme="minorEastAsia" w:hAnsiTheme="minorHAnsi" w:cstheme="minorBidi"/>
            <w:kern w:val="2"/>
            <w:sz w:val="24"/>
            <w:szCs w:val="24"/>
            <w:lang w:eastAsia="en-AU"/>
            <w14:ligatures w14:val="standardContextual"/>
          </w:rPr>
          <w:tab/>
        </w:r>
        <w:r w:rsidRPr="002166B6">
          <w:rPr>
            <w:rStyle w:val="Hyperlink"/>
          </w:rPr>
          <w:t>Criterion 2 – Equity</w:t>
        </w:r>
        <w:r>
          <w:rPr>
            <w:webHidden/>
          </w:rPr>
          <w:tab/>
        </w:r>
        <w:r>
          <w:rPr>
            <w:webHidden/>
          </w:rPr>
          <w:fldChar w:fldCharType="begin"/>
        </w:r>
        <w:r>
          <w:rPr>
            <w:webHidden/>
          </w:rPr>
          <w:instrText xml:space="preserve"> PAGEREF _Toc216179718 \h </w:instrText>
        </w:r>
        <w:r>
          <w:rPr>
            <w:webHidden/>
          </w:rPr>
        </w:r>
        <w:r>
          <w:rPr>
            <w:webHidden/>
          </w:rPr>
          <w:fldChar w:fldCharType="separate"/>
        </w:r>
        <w:r>
          <w:rPr>
            <w:webHidden/>
          </w:rPr>
          <w:t>40</w:t>
        </w:r>
        <w:r>
          <w:rPr>
            <w:webHidden/>
          </w:rPr>
          <w:fldChar w:fldCharType="end"/>
        </w:r>
      </w:hyperlink>
    </w:p>
    <w:p w14:paraId="1DC1CB20" w14:textId="12070C08"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19" w:history="1">
        <w:r w:rsidRPr="002166B6">
          <w:rPr>
            <w:rStyle w:val="Hyperlink"/>
          </w:rPr>
          <w:t>6.2.3</w:t>
        </w:r>
        <w:r>
          <w:rPr>
            <w:rFonts w:asciiTheme="minorHAnsi" w:eastAsiaTheme="minorEastAsia" w:hAnsiTheme="minorHAnsi" w:cstheme="minorBidi"/>
            <w:kern w:val="2"/>
            <w:sz w:val="24"/>
            <w:szCs w:val="24"/>
            <w:lang w:eastAsia="en-AU"/>
            <w14:ligatures w14:val="standardContextual"/>
          </w:rPr>
          <w:tab/>
        </w:r>
        <w:r w:rsidRPr="002166B6">
          <w:rPr>
            <w:rStyle w:val="Hyperlink"/>
          </w:rPr>
          <w:t>Criterion 3 – Efficiency</w:t>
        </w:r>
        <w:r>
          <w:rPr>
            <w:webHidden/>
          </w:rPr>
          <w:tab/>
        </w:r>
        <w:r>
          <w:rPr>
            <w:webHidden/>
          </w:rPr>
          <w:fldChar w:fldCharType="begin"/>
        </w:r>
        <w:r>
          <w:rPr>
            <w:webHidden/>
          </w:rPr>
          <w:instrText xml:space="preserve"> PAGEREF _Toc216179719 \h </w:instrText>
        </w:r>
        <w:r>
          <w:rPr>
            <w:webHidden/>
          </w:rPr>
        </w:r>
        <w:r>
          <w:rPr>
            <w:webHidden/>
          </w:rPr>
          <w:fldChar w:fldCharType="separate"/>
        </w:r>
        <w:r>
          <w:rPr>
            <w:webHidden/>
          </w:rPr>
          <w:t>42</w:t>
        </w:r>
        <w:r>
          <w:rPr>
            <w:webHidden/>
          </w:rPr>
          <w:fldChar w:fldCharType="end"/>
        </w:r>
      </w:hyperlink>
    </w:p>
    <w:p w14:paraId="2E9A4CCA" w14:textId="4ED2F9B9"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20" w:history="1">
        <w:r w:rsidRPr="002166B6">
          <w:rPr>
            <w:rStyle w:val="Hyperlink"/>
          </w:rPr>
          <w:t>6.2.4</w:t>
        </w:r>
        <w:r>
          <w:rPr>
            <w:rFonts w:asciiTheme="minorHAnsi" w:eastAsiaTheme="minorEastAsia" w:hAnsiTheme="minorHAnsi" w:cstheme="minorBidi"/>
            <w:kern w:val="2"/>
            <w:sz w:val="24"/>
            <w:szCs w:val="24"/>
            <w:lang w:eastAsia="en-AU"/>
            <w14:ligatures w14:val="standardContextual"/>
          </w:rPr>
          <w:tab/>
        </w:r>
        <w:r w:rsidRPr="002166B6">
          <w:rPr>
            <w:rStyle w:val="Hyperlink"/>
          </w:rPr>
          <w:t>Criterion 4 – Simplicity</w:t>
        </w:r>
        <w:r>
          <w:rPr>
            <w:webHidden/>
          </w:rPr>
          <w:tab/>
        </w:r>
        <w:r>
          <w:rPr>
            <w:webHidden/>
          </w:rPr>
          <w:fldChar w:fldCharType="begin"/>
        </w:r>
        <w:r>
          <w:rPr>
            <w:webHidden/>
          </w:rPr>
          <w:instrText xml:space="preserve"> PAGEREF _Toc216179720 \h </w:instrText>
        </w:r>
        <w:r>
          <w:rPr>
            <w:webHidden/>
          </w:rPr>
        </w:r>
        <w:r>
          <w:rPr>
            <w:webHidden/>
          </w:rPr>
          <w:fldChar w:fldCharType="separate"/>
        </w:r>
        <w:r>
          <w:rPr>
            <w:webHidden/>
          </w:rPr>
          <w:t>43</w:t>
        </w:r>
        <w:r>
          <w:rPr>
            <w:webHidden/>
          </w:rPr>
          <w:fldChar w:fldCharType="end"/>
        </w:r>
      </w:hyperlink>
    </w:p>
    <w:p w14:paraId="7080A3C4" w14:textId="695DD9F2"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21" w:history="1">
        <w:r w:rsidRPr="002166B6">
          <w:rPr>
            <w:rStyle w:val="Hyperlink"/>
          </w:rPr>
          <w:t>7.</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Preferred Option</w:t>
        </w:r>
        <w:r>
          <w:rPr>
            <w:webHidden/>
          </w:rPr>
          <w:tab/>
        </w:r>
        <w:r>
          <w:rPr>
            <w:webHidden/>
          </w:rPr>
          <w:fldChar w:fldCharType="begin"/>
        </w:r>
        <w:r>
          <w:rPr>
            <w:webHidden/>
          </w:rPr>
          <w:instrText xml:space="preserve"> PAGEREF _Toc216179721 \h </w:instrText>
        </w:r>
        <w:r>
          <w:rPr>
            <w:webHidden/>
          </w:rPr>
        </w:r>
        <w:r>
          <w:rPr>
            <w:webHidden/>
          </w:rPr>
          <w:fldChar w:fldCharType="separate"/>
        </w:r>
        <w:r>
          <w:rPr>
            <w:webHidden/>
          </w:rPr>
          <w:t>45</w:t>
        </w:r>
        <w:r>
          <w:rPr>
            <w:webHidden/>
          </w:rPr>
          <w:fldChar w:fldCharType="end"/>
        </w:r>
      </w:hyperlink>
    </w:p>
    <w:p w14:paraId="121793DC" w14:textId="3441849C"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22" w:history="1">
        <w:r w:rsidRPr="002166B6">
          <w:rPr>
            <w:rStyle w:val="Hyperlink"/>
          </w:rPr>
          <w:t>7.1</w:t>
        </w:r>
        <w:r>
          <w:rPr>
            <w:rFonts w:asciiTheme="minorHAnsi" w:eastAsiaTheme="minorEastAsia" w:hAnsiTheme="minorHAnsi" w:cstheme="minorBidi"/>
            <w:kern w:val="2"/>
            <w:sz w:val="24"/>
            <w:szCs w:val="24"/>
            <w:lang w:eastAsia="en-AU"/>
            <w14:ligatures w14:val="standardContextual"/>
          </w:rPr>
          <w:tab/>
        </w:r>
        <w:r w:rsidRPr="002166B6">
          <w:rPr>
            <w:rStyle w:val="Hyperlink"/>
          </w:rPr>
          <w:t>Identification of the preferred option</w:t>
        </w:r>
        <w:r>
          <w:rPr>
            <w:webHidden/>
          </w:rPr>
          <w:tab/>
        </w:r>
        <w:r>
          <w:rPr>
            <w:webHidden/>
          </w:rPr>
          <w:fldChar w:fldCharType="begin"/>
        </w:r>
        <w:r>
          <w:rPr>
            <w:webHidden/>
          </w:rPr>
          <w:instrText xml:space="preserve"> PAGEREF _Toc216179722 \h </w:instrText>
        </w:r>
        <w:r>
          <w:rPr>
            <w:webHidden/>
          </w:rPr>
        </w:r>
        <w:r>
          <w:rPr>
            <w:webHidden/>
          </w:rPr>
          <w:fldChar w:fldCharType="separate"/>
        </w:r>
        <w:r>
          <w:rPr>
            <w:webHidden/>
          </w:rPr>
          <w:t>45</w:t>
        </w:r>
        <w:r>
          <w:rPr>
            <w:webHidden/>
          </w:rPr>
          <w:fldChar w:fldCharType="end"/>
        </w:r>
      </w:hyperlink>
    </w:p>
    <w:p w14:paraId="2D9029ED" w14:textId="3876F886" w:rsidR="00534658" w:rsidRDefault="00534658">
      <w:pPr>
        <w:pStyle w:val="TOC2"/>
        <w:rPr>
          <w:rFonts w:asciiTheme="minorHAnsi" w:eastAsiaTheme="minorEastAsia" w:hAnsiTheme="minorHAnsi" w:cstheme="minorBidi"/>
          <w:kern w:val="2"/>
          <w:sz w:val="24"/>
          <w:szCs w:val="24"/>
          <w:lang w:eastAsia="en-AU"/>
          <w14:ligatures w14:val="standardContextual"/>
        </w:rPr>
      </w:pPr>
      <w:hyperlink w:anchor="_Toc216179723" w:history="1">
        <w:r w:rsidRPr="002166B6">
          <w:rPr>
            <w:rStyle w:val="Hyperlink"/>
          </w:rPr>
          <w:t>7.2</w:t>
        </w:r>
        <w:r>
          <w:rPr>
            <w:rFonts w:asciiTheme="minorHAnsi" w:eastAsiaTheme="minorEastAsia" w:hAnsiTheme="minorHAnsi" w:cstheme="minorBidi"/>
            <w:kern w:val="2"/>
            <w:sz w:val="24"/>
            <w:szCs w:val="24"/>
            <w:lang w:eastAsia="en-AU"/>
            <w14:ligatures w14:val="standardContextual"/>
          </w:rPr>
          <w:tab/>
        </w:r>
        <w:r w:rsidRPr="002166B6">
          <w:rPr>
            <w:rStyle w:val="Hyperlink"/>
          </w:rPr>
          <w:t>Impacts of the preferred option</w:t>
        </w:r>
        <w:r>
          <w:rPr>
            <w:webHidden/>
          </w:rPr>
          <w:tab/>
        </w:r>
        <w:r>
          <w:rPr>
            <w:webHidden/>
          </w:rPr>
          <w:fldChar w:fldCharType="begin"/>
        </w:r>
        <w:r>
          <w:rPr>
            <w:webHidden/>
          </w:rPr>
          <w:instrText xml:space="preserve"> PAGEREF _Toc216179723 \h </w:instrText>
        </w:r>
        <w:r>
          <w:rPr>
            <w:webHidden/>
          </w:rPr>
        </w:r>
        <w:r>
          <w:rPr>
            <w:webHidden/>
          </w:rPr>
          <w:fldChar w:fldCharType="separate"/>
        </w:r>
        <w:r>
          <w:rPr>
            <w:webHidden/>
          </w:rPr>
          <w:t>46</w:t>
        </w:r>
        <w:r>
          <w:rPr>
            <w:webHidden/>
          </w:rPr>
          <w:fldChar w:fldCharType="end"/>
        </w:r>
      </w:hyperlink>
    </w:p>
    <w:p w14:paraId="0EA53C1F" w14:textId="09FD843C"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24" w:history="1">
        <w:r w:rsidRPr="002166B6">
          <w:rPr>
            <w:rStyle w:val="Hyperlink"/>
          </w:rPr>
          <w:t>7.2.1</w:t>
        </w:r>
        <w:r>
          <w:rPr>
            <w:rFonts w:asciiTheme="minorHAnsi" w:eastAsiaTheme="minorEastAsia" w:hAnsiTheme="minorHAnsi" w:cstheme="minorBidi"/>
            <w:kern w:val="2"/>
            <w:sz w:val="24"/>
            <w:szCs w:val="24"/>
            <w:lang w:eastAsia="en-AU"/>
            <w14:ligatures w14:val="standardContextual"/>
          </w:rPr>
          <w:tab/>
        </w:r>
        <w:r w:rsidRPr="002166B6">
          <w:rPr>
            <w:rStyle w:val="Hyperlink"/>
          </w:rPr>
          <w:t>Impact of the preferred option on demand for the service</w:t>
        </w:r>
        <w:r>
          <w:rPr>
            <w:webHidden/>
          </w:rPr>
          <w:tab/>
        </w:r>
        <w:r>
          <w:rPr>
            <w:webHidden/>
          </w:rPr>
          <w:fldChar w:fldCharType="begin"/>
        </w:r>
        <w:r>
          <w:rPr>
            <w:webHidden/>
          </w:rPr>
          <w:instrText xml:space="preserve"> PAGEREF _Toc216179724 \h </w:instrText>
        </w:r>
        <w:r>
          <w:rPr>
            <w:webHidden/>
          </w:rPr>
        </w:r>
        <w:r>
          <w:rPr>
            <w:webHidden/>
          </w:rPr>
          <w:fldChar w:fldCharType="separate"/>
        </w:r>
        <w:r>
          <w:rPr>
            <w:webHidden/>
          </w:rPr>
          <w:t>47</w:t>
        </w:r>
        <w:r>
          <w:rPr>
            <w:webHidden/>
          </w:rPr>
          <w:fldChar w:fldCharType="end"/>
        </w:r>
      </w:hyperlink>
    </w:p>
    <w:p w14:paraId="74002EA0" w14:textId="2B6B6153"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25" w:history="1">
        <w:r w:rsidRPr="002166B6">
          <w:rPr>
            <w:rStyle w:val="Hyperlink"/>
          </w:rPr>
          <w:t>7.2.2</w:t>
        </w:r>
        <w:r>
          <w:rPr>
            <w:rFonts w:asciiTheme="minorHAnsi" w:eastAsiaTheme="minorEastAsia" w:hAnsiTheme="minorHAnsi" w:cstheme="minorBidi"/>
            <w:kern w:val="2"/>
            <w:sz w:val="24"/>
            <w:szCs w:val="24"/>
            <w:lang w:eastAsia="en-AU"/>
            <w14:ligatures w14:val="standardContextual"/>
          </w:rPr>
          <w:tab/>
        </w:r>
        <w:r w:rsidRPr="002166B6">
          <w:rPr>
            <w:rStyle w:val="Hyperlink"/>
          </w:rPr>
          <w:t>Impact of the preferred option on competition and small businesses</w:t>
        </w:r>
        <w:r>
          <w:rPr>
            <w:webHidden/>
          </w:rPr>
          <w:tab/>
        </w:r>
        <w:r>
          <w:rPr>
            <w:webHidden/>
          </w:rPr>
          <w:fldChar w:fldCharType="begin"/>
        </w:r>
        <w:r>
          <w:rPr>
            <w:webHidden/>
          </w:rPr>
          <w:instrText xml:space="preserve"> PAGEREF _Toc216179725 \h </w:instrText>
        </w:r>
        <w:r>
          <w:rPr>
            <w:webHidden/>
          </w:rPr>
        </w:r>
        <w:r>
          <w:rPr>
            <w:webHidden/>
          </w:rPr>
          <w:fldChar w:fldCharType="separate"/>
        </w:r>
        <w:r>
          <w:rPr>
            <w:webHidden/>
          </w:rPr>
          <w:t>48</w:t>
        </w:r>
        <w:r>
          <w:rPr>
            <w:webHidden/>
          </w:rPr>
          <w:fldChar w:fldCharType="end"/>
        </w:r>
      </w:hyperlink>
    </w:p>
    <w:p w14:paraId="4609A743" w14:textId="6DD1B639"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26" w:history="1">
        <w:r w:rsidRPr="002166B6">
          <w:rPr>
            <w:rStyle w:val="Hyperlink"/>
          </w:rPr>
          <w:t>7.2.3</w:t>
        </w:r>
        <w:r>
          <w:rPr>
            <w:rFonts w:asciiTheme="minorHAnsi" w:eastAsiaTheme="minorEastAsia" w:hAnsiTheme="minorHAnsi" w:cstheme="minorBidi"/>
            <w:kern w:val="2"/>
            <w:sz w:val="24"/>
            <w:szCs w:val="24"/>
            <w:lang w:eastAsia="en-AU"/>
            <w14:ligatures w14:val="standardContextual"/>
          </w:rPr>
          <w:tab/>
        </w:r>
        <w:r w:rsidRPr="002166B6">
          <w:rPr>
            <w:rStyle w:val="Hyperlink"/>
          </w:rPr>
          <w:t>Cost recovery – Victorian Civil and Administrative Tribunal</w:t>
        </w:r>
        <w:r>
          <w:rPr>
            <w:webHidden/>
          </w:rPr>
          <w:tab/>
        </w:r>
        <w:r>
          <w:rPr>
            <w:webHidden/>
          </w:rPr>
          <w:fldChar w:fldCharType="begin"/>
        </w:r>
        <w:r>
          <w:rPr>
            <w:webHidden/>
          </w:rPr>
          <w:instrText xml:space="preserve"> PAGEREF _Toc216179726 \h </w:instrText>
        </w:r>
        <w:r>
          <w:rPr>
            <w:webHidden/>
          </w:rPr>
        </w:r>
        <w:r>
          <w:rPr>
            <w:webHidden/>
          </w:rPr>
          <w:fldChar w:fldCharType="separate"/>
        </w:r>
        <w:r>
          <w:rPr>
            <w:webHidden/>
          </w:rPr>
          <w:t>48</w:t>
        </w:r>
        <w:r>
          <w:rPr>
            <w:webHidden/>
          </w:rPr>
          <w:fldChar w:fldCharType="end"/>
        </w:r>
      </w:hyperlink>
    </w:p>
    <w:p w14:paraId="7B6287FC" w14:textId="7A48929D" w:rsidR="00534658" w:rsidRDefault="00534658">
      <w:pPr>
        <w:pStyle w:val="TOC3"/>
        <w:rPr>
          <w:rFonts w:asciiTheme="minorHAnsi" w:eastAsiaTheme="minorEastAsia" w:hAnsiTheme="minorHAnsi" w:cstheme="minorBidi"/>
          <w:kern w:val="2"/>
          <w:sz w:val="24"/>
          <w:szCs w:val="24"/>
          <w:lang w:eastAsia="en-AU"/>
          <w14:ligatures w14:val="standardContextual"/>
        </w:rPr>
      </w:pPr>
      <w:hyperlink w:anchor="_Toc216179727" w:history="1">
        <w:r w:rsidRPr="002166B6">
          <w:rPr>
            <w:rStyle w:val="Hyperlink"/>
          </w:rPr>
          <w:t>7.2.4</w:t>
        </w:r>
        <w:r>
          <w:rPr>
            <w:rFonts w:asciiTheme="minorHAnsi" w:eastAsiaTheme="minorEastAsia" w:hAnsiTheme="minorHAnsi" w:cstheme="minorBidi"/>
            <w:kern w:val="2"/>
            <w:sz w:val="24"/>
            <w:szCs w:val="24"/>
            <w:lang w:eastAsia="en-AU"/>
            <w14:ligatures w14:val="standardContextual"/>
          </w:rPr>
          <w:tab/>
        </w:r>
        <w:r w:rsidRPr="002166B6">
          <w:rPr>
            <w:rStyle w:val="Hyperlink"/>
          </w:rPr>
          <w:t>Jurisdictional comparison of impacts</w:t>
        </w:r>
        <w:r>
          <w:rPr>
            <w:webHidden/>
          </w:rPr>
          <w:tab/>
        </w:r>
        <w:r>
          <w:rPr>
            <w:webHidden/>
          </w:rPr>
          <w:fldChar w:fldCharType="begin"/>
        </w:r>
        <w:r>
          <w:rPr>
            <w:webHidden/>
          </w:rPr>
          <w:instrText xml:space="preserve"> PAGEREF _Toc216179727 \h </w:instrText>
        </w:r>
        <w:r>
          <w:rPr>
            <w:webHidden/>
          </w:rPr>
        </w:r>
        <w:r>
          <w:rPr>
            <w:webHidden/>
          </w:rPr>
          <w:fldChar w:fldCharType="separate"/>
        </w:r>
        <w:r>
          <w:rPr>
            <w:webHidden/>
          </w:rPr>
          <w:t>48</w:t>
        </w:r>
        <w:r>
          <w:rPr>
            <w:webHidden/>
          </w:rPr>
          <w:fldChar w:fldCharType="end"/>
        </w:r>
      </w:hyperlink>
    </w:p>
    <w:p w14:paraId="0E07B5CD" w14:textId="681583BC"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28" w:history="1">
        <w:r w:rsidRPr="002166B6">
          <w:rPr>
            <w:rStyle w:val="Hyperlink"/>
          </w:rPr>
          <w:t>8.</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Implementation Plan</w:t>
        </w:r>
        <w:r>
          <w:rPr>
            <w:webHidden/>
          </w:rPr>
          <w:tab/>
        </w:r>
        <w:r>
          <w:rPr>
            <w:webHidden/>
          </w:rPr>
          <w:fldChar w:fldCharType="begin"/>
        </w:r>
        <w:r>
          <w:rPr>
            <w:webHidden/>
          </w:rPr>
          <w:instrText xml:space="preserve"> PAGEREF _Toc216179728 \h </w:instrText>
        </w:r>
        <w:r>
          <w:rPr>
            <w:webHidden/>
          </w:rPr>
        </w:r>
        <w:r>
          <w:rPr>
            <w:webHidden/>
          </w:rPr>
          <w:fldChar w:fldCharType="separate"/>
        </w:r>
        <w:r>
          <w:rPr>
            <w:webHidden/>
          </w:rPr>
          <w:t>50</w:t>
        </w:r>
        <w:r>
          <w:rPr>
            <w:webHidden/>
          </w:rPr>
          <w:fldChar w:fldCharType="end"/>
        </w:r>
      </w:hyperlink>
    </w:p>
    <w:p w14:paraId="58D638A3" w14:textId="6BB9885F"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29" w:history="1">
        <w:r w:rsidRPr="002166B6">
          <w:rPr>
            <w:rStyle w:val="Hyperlink"/>
          </w:rPr>
          <w:t>9.</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Evaluation Strategy</w:t>
        </w:r>
        <w:r>
          <w:rPr>
            <w:webHidden/>
          </w:rPr>
          <w:tab/>
        </w:r>
        <w:r>
          <w:rPr>
            <w:webHidden/>
          </w:rPr>
          <w:fldChar w:fldCharType="begin"/>
        </w:r>
        <w:r>
          <w:rPr>
            <w:webHidden/>
          </w:rPr>
          <w:instrText xml:space="preserve"> PAGEREF _Toc216179729 \h </w:instrText>
        </w:r>
        <w:r>
          <w:rPr>
            <w:webHidden/>
          </w:rPr>
        </w:r>
        <w:r>
          <w:rPr>
            <w:webHidden/>
          </w:rPr>
          <w:fldChar w:fldCharType="separate"/>
        </w:r>
        <w:r>
          <w:rPr>
            <w:webHidden/>
          </w:rPr>
          <w:t>50</w:t>
        </w:r>
        <w:r>
          <w:rPr>
            <w:webHidden/>
          </w:rPr>
          <w:fldChar w:fldCharType="end"/>
        </w:r>
      </w:hyperlink>
    </w:p>
    <w:p w14:paraId="2D47A3C7" w14:textId="00DE6223"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30" w:history="1">
        <w:r w:rsidRPr="002166B6">
          <w:rPr>
            <w:rStyle w:val="Hyperlink"/>
          </w:rPr>
          <w:t>10.</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Appendix A – Current Fees</w:t>
        </w:r>
        <w:r>
          <w:rPr>
            <w:webHidden/>
          </w:rPr>
          <w:tab/>
        </w:r>
        <w:r>
          <w:rPr>
            <w:webHidden/>
          </w:rPr>
          <w:fldChar w:fldCharType="begin"/>
        </w:r>
        <w:r>
          <w:rPr>
            <w:webHidden/>
          </w:rPr>
          <w:instrText xml:space="preserve"> PAGEREF _Toc216179730 \h </w:instrText>
        </w:r>
        <w:r>
          <w:rPr>
            <w:webHidden/>
          </w:rPr>
        </w:r>
        <w:r>
          <w:rPr>
            <w:webHidden/>
          </w:rPr>
          <w:fldChar w:fldCharType="separate"/>
        </w:r>
        <w:r>
          <w:rPr>
            <w:webHidden/>
          </w:rPr>
          <w:t>52</w:t>
        </w:r>
        <w:r>
          <w:rPr>
            <w:webHidden/>
          </w:rPr>
          <w:fldChar w:fldCharType="end"/>
        </w:r>
      </w:hyperlink>
    </w:p>
    <w:p w14:paraId="3062C59D" w14:textId="14912FF4"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31" w:history="1">
        <w:r w:rsidRPr="002166B6">
          <w:rPr>
            <w:rStyle w:val="Hyperlink"/>
          </w:rPr>
          <w:t>11.</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Appendix B – Proposed Fees Option 2</w:t>
        </w:r>
        <w:r>
          <w:rPr>
            <w:webHidden/>
          </w:rPr>
          <w:tab/>
        </w:r>
        <w:r>
          <w:rPr>
            <w:webHidden/>
          </w:rPr>
          <w:fldChar w:fldCharType="begin"/>
        </w:r>
        <w:r>
          <w:rPr>
            <w:webHidden/>
          </w:rPr>
          <w:instrText xml:space="preserve"> PAGEREF _Toc216179731 \h </w:instrText>
        </w:r>
        <w:r>
          <w:rPr>
            <w:webHidden/>
          </w:rPr>
        </w:r>
        <w:r>
          <w:rPr>
            <w:webHidden/>
          </w:rPr>
          <w:fldChar w:fldCharType="separate"/>
        </w:r>
        <w:r>
          <w:rPr>
            <w:webHidden/>
          </w:rPr>
          <w:t>60</w:t>
        </w:r>
        <w:r>
          <w:rPr>
            <w:webHidden/>
          </w:rPr>
          <w:fldChar w:fldCharType="end"/>
        </w:r>
      </w:hyperlink>
    </w:p>
    <w:p w14:paraId="5843D3FA" w14:textId="32B46C17"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32" w:history="1">
        <w:r w:rsidRPr="002166B6">
          <w:rPr>
            <w:rStyle w:val="Hyperlink"/>
          </w:rPr>
          <w:t>12.</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Appendix C – Proposed Fees Option 3</w:t>
        </w:r>
        <w:r>
          <w:rPr>
            <w:webHidden/>
          </w:rPr>
          <w:tab/>
        </w:r>
        <w:r>
          <w:rPr>
            <w:webHidden/>
          </w:rPr>
          <w:fldChar w:fldCharType="begin"/>
        </w:r>
        <w:r>
          <w:rPr>
            <w:webHidden/>
          </w:rPr>
          <w:instrText xml:space="preserve"> PAGEREF _Toc216179732 \h </w:instrText>
        </w:r>
        <w:r>
          <w:rPr>
            <w:webHidden/>
          </w:rPr>
        </w:r>
        <w:r>
          <w:rPr>
            <w:webHidden/>
          </w:rPr>
          <w:fldChar w:fldCharType="separate"/>
        </w:r>
        <w:r>
          <w:rPr>
            <w:webHidden/>
          </w:rPr>
          <w:t>69</w:t>
        </w:r>
        <w:r>
          <w:rPr>
            <w:webHidden/>
          </w:rPr>
          <w:fldChar w:fldCharType="end"/>
        </w:r>
      </w:hyperlink>
    </w:p>
    <w:p w14:paraId="3D2803A6" w14:textId="6F541E5F"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33" w:history="1">
        <w:r w:rsidRPr="002166B6">
          <w:rPr>
            <w:rStyle w:val="Hyperlink"/>
          </w:rPr>
          <w:t>13.</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Appendix D – Guardianship and Administration (Fees) Regulations</w:t>
        </w:r>
        <w:r>
          <w:rPr>
            <w:webHidden/>
          </w:rPr>
          <w:tab/>
        </w:r>
        <w:r>
          <w:rPr>
            <w:webHidden/>
          </w:rPr>
          <w:fldChar w:fldCharType="begin"/>
        </w:r>
        <w:r>
          <w:rPr>
            <w:webHidden/>
          </w:rPr>
          <w:instrText xml:space="preserve"> PAGEREF _Toc216179733 \h </w:instrText>
        </w:r>
        <w:r>
          <w:rPr>
            <w:webHidden/>
          </w:rPr>
        </w:r>
        <w:r>
          <w:rPr>
            <w:webHidden/>
          </w:rPr>
          <w:fldChar w:fldCharType="separate"/>
        </w:r>
        <w:r>
          <w:rPr>
            <w:webHidden/>
          </w:rPr>
          <w:t>77</w:t>
        </w:r>
        <w:r>
          <w:rPr>
            <w:webHidden/>
          </w:rPr>
          <w:fldChar w:fldCharType="end"/>
        </w:r>
      </w:hyperlink>
    </w:p>
    <w:p w14:paraId="4320CB60" w14:textId="6426983A"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34" w:history="1">
        <w:r w:rsidRPr="002166B6">
          <w:rPr>
            <w:rStyle w:val="Hyperlink"/>
          </w:rPr>
          <w:t>14.</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Appendix E – Interjurisdictional Comparison of Fees</w:t>
        </w:r>
        <w:r>
          <w:rPr>
            <w:webHidden/>
          </w:rPr>
          <w:tab/>
        </w:r>
        <w:r>
          <w:rPr>
            <w:webHidden/>
          </w:rPr>
          <w:fldChar w:fldCharType="begin"/>
        </w:r>
        <w:r>
          <w:rPr>
            <w:webHidden/>
          </w:rPr>
          <w:instrText xml:space="preserve"> PAGEREF _Toc216179734 \h </w:instrText>
        </w:r>
        <w:r>
          <w:rPr>
            <w:webHidden/>
          </w:rPr>
        </w:r>
        <w:r>
          <w:rPr>
            <w:webHidden/>
          </w:rPr>
          <w:fldChar w:fldCharType="separate"/>
        </w:r>
        <w:r>
          <w:rPr>
            <w:webHidden/>
          </w:rPr>
          <w:t>78</w:t>
        </w:r>
        <w:r>
          <w:rPr>
            <w:webHidden/>
          </w:rPr>
          <w:fldChar w:fldCharType="end"/>
        </w:r>
      </w:hyperlink>
    </w:p>
    <w:p w14:paraId="5C26F412" w14:textId="2DFE4B11" w:rsidR="00534658" w:rsidRDefault="00534658">
      <w:pPr>
        <w:pStyle w:val="TOC1"/>
        <w:rPr>
          <w:rFonts w:asciiTheme="minorHAnsi" w:eastAsiaTheme="minorEastAsia" w:hAnsiTheme="minorHAnsi" w:cstheme="minorBidi"/>
          <w:b w:val="0"/>
          <w:color w:val="auto"/>
          <w:kern w:val="2"/>
          <w:sz w:val="24"/>
          <w:szCs w:val="24"/>
          <w:lang w:eastAsia="en-AU"/>
          <w14:ligatures w14:val="standardContextual"/>
        </w:rPr>
      </w:pPr>
      <w:hyperlink w:anchor="_Toc216179735" w:history="1">
        <w:r w:rsidRPr="002166B6">
          <w:rPr>
            <w:rStyle w:val="Hyperlink"/>
          </w:rPr>
          <w:t>15.</w:t>
        </w:r>
        <w:r>
          <w:rPr>
            <w:rFonts w:asciiTheme="minorHAnsi" w:eastAsiaTheme="minorEastAsia" w:hAnsiTheme="minorHAnsi" w:cstheme="minorBidi"/>
            <w:b w:val="0"/>
            <w:color w:val="auto"/>
            <w:kern w:val="2"/>
            <w:sz w:val="24"/>
            <w:szCs w:val="24"/>
            <w:lang w:eastAsia="en-AU"/>
            <w14:ligatures w14:val="standardContextual"/>
          </w:rPr>
          <w:tab/>
        </w:r>
        <w:r w:rsidRPr="002166B6">
          <w:rPr>
            <w:rStyle w:val="Hyperlink"/>
          </w:rPr>
          <w:t>Appendix F – Fee Differences in the Proposed Regulations</w:t>
        </w:r>
        <w:r>
          <w:rPr>
            <w:webHidden/>
          </w:rPr>
          <w:tab/>
        </w:r>
        <w:r>
          <w:rPr>
            <w:webHidden/>
          </w:rPr>
          <w:fldChar w:fldCharType="begin"/>
        </w:r>
        <w:r>
          <w:rPr>
            <w:webHidden/>
          </w:rPr>
          <w:instrText xml:space="preserve"> PAGEREF _Toc216179735 \h </w:instrText>
        </w:r>
        <w:r>
          <w:rPr>
            <w:webHidden/>
          </w:rPr>
        </w:r>
        <w:r>
          <w:rPr>
            <w:webHidden/>
          </w:rPr>
          <w:fldChar w:fldCharType="separate"/>
        </w:r>
        <w:r>
          <w:rPr>
            <w:webHidden/>
          </w:rPr>
          <w:t>81</w:t>
        </w:r>
        <w:r>
          <w:rPr>
            <w:webHidden/>
          </w:rPr>
          <w:fldChar w:fldCharType="end"/>
        </w:r>
      </w:hyperlink>
    </w:p>
    <w:p w14:paraId="41C42068" w14:textId="5D6E3A58" w:rsidR="00376DD8" w:rsidRDefault="00BE6A62" w:rsidP="00F03D93">
      <w:pPr>
        <w:pStyle w:val="TOC2"/>
        <w:keepNext w:val="0"/>
        <w:keepLines w:val="0"/>
        <w:rPr>
          <w:b/>
          <w:noProof w:val="0"/>
          <w:color w:val="000000" w:themeColor="text1"/>
        </w:rPr>
        <w:sectPr w:rsidR="00376DD8" w:rsidSect="00C5670C">
          <w:footerReference w:type="first" r:id="rId33"/>
          <w:pgSz w:w="11906" w:h="16838" w:code="9"/>
          <w:pgMar w:top="1871" w:right="707" w:bottom="1588" w:left="851" w:header="283" w:footer="680" w:gutter="0"/>
          <w:cols w:space="720"/>
          <w:docGrid w:linePitch="360"/>
        </w:sectPr>
      </w:pPr>
      <w:r w:rsidRPr="00F61E9E">
        <w:rPr>
          <w:b/>
          <w:noProof w:val="0"/>
          <w:color w:val="000000" w:themeColor="text1"/>
        </w:rPr>
        <w:fldChar w:fldCharType="end"/>
      </w:r>
    </w:p>
    <w:p w14:paraId="3B09AD8B" w14:textId="6C78F4FC" w:rsidR="00EC2AE9" w:rsidRPr="00BF4FBD" w:rsidRDefault="006F3CC0" w:rsidP="00BE6A62">
      <w:pPr>
        <w:pStyle w:val="Heading1"/>
      </w:pPr>
      <w:bookmarkStart w:id="3" w:name="_Toc216179661"/>
      <w:r w:rsidRPr="00BF4FBD">
        <w:lastRenderedPageBreak/>
        <w:t>Executive Summary</w:t>
      </w:r>
      <w:bookmarkEnd w:id="3"/>
    </w:p>
    <w:p w14:paraId="7CDCCAB2" w14:textId="2F72E2D0" w:rsidR="006F3CC0" w:rsidRDefault="006F3CC0" w:rsidP="006F3CC0">
      <w:pPr>
        <w:pStyle w:val="Heading2"/>
      </w:pPr>
      <w:bookmarkStart w:id="4" w:name="_Toc216179662"/>
      <w:r>
        <w:t>Purpose of this document</w:t>
      </w:r>
      <w:bookmarkEnd w:id="4"/>
    </w:p>
    <w:p w14:paraId="33EE06A1" w14:textId="529069E6" w:rsidR="00951631" w:rsidRDefault="00951631" w:rsidP="005A0940">
      <w:pPr>
        <w:pStyle w:val="DJCSbodyafterbullets"/>
        <w:ind w:left="720"/>
      </w:pPr>
      <w:r>
        <w:t xml:space="preserve">The </w:t>
      </w:r>
      <w:bookmarkStart w:id="5" w:name="_Hlk207796469"/>
      <w:r>
        <w:t xml:space="preserve">Victorian Civil and Administrative Tribunal </w:t>
      </w:r>
      <w:bookmarkEnd w:id="5"/>
      <w:r w:rsidR="004D0086">
        <w:t>(Fees) Regulations</w:t>
      </w:r>
      <w:r w:rsidR="004A25FF">
        <w:t xml:space="preserve"> 2016 </w:t>
      </w:r>
      <w:r w:rsidR="008C26A2">
        <w:t xml:space="preserve">(the Regulations) </w:t>
      </w:r>
      <w:r w:rsidR="0019425E">
        <w:t xml:space="preserve">will </w:t>
      </w:r>
      <w:r w:rsidR="00647378">
        <w:t>expire</w:t>
      </w:r>
      <w:r w:rsidR="00D36F7C">
        <w:t xml:space="preserve"> </w:t>
      </w:r>
      <w:r w:rsidR="00B56129">
        <w:t xml:space="preserve">on </w:t>
      </w:r>
      <w:r w:rsidR="00B92BB4">
        <w:t>28</w:t>
      </w:r>
      <w:r w:rsidR="00C664D5">
        <w:t xml:space="preserve"> June</w:t>
      </w:r>
      <w:r w:rsidR="00D36F7C">
        <w:t xml:space="preserve"> 2026</w:t>
      </w:r>
      <w:r w:rsidR="0091474E">
        <w:t>.</w:t>
      </w:r>
      <w:r w:rsidR="0091474E">
        <w:rPr>
          <w:rStyle w:val="FootnoteReference"/>
        </w:rPr>
        <w:footnoteReference w:id="1"/>
      </w:r>
      <w:r w:rsidR="009F60DE">
        <w:t xml:space="preserve"> The </w:t>
      </w:r>
      <w:r w:rsidR="00365011">
        <w:t>G</w:t>
      </w:r>
      <w:r w:rsidR="009F60DE">
        <w:t>overnment is proposing to remake</w:t>
      </w:r>
      <w:r w:rsidR="00325842">
        <w:t xml:space="preserve"> the Regulations</w:t>
      </w:r>
      <w:r w:rsidR="006E3DE7">
        <w:t xml:space="preserve"> with some changes</w:t>
      </w:r>
      <w:r w:rsidR="00B44B3A">
        <w:t>, including</w:t>
      </w:r>
      <w:r w:rsidR="00BC14D3">
        <w:t xml:space="preserve"> an increase in the fees payable to</w:t>
      </w:r>
      <w:r w:rsidR="00C962C1">
        <w:t xml:space="preserve"> the</w:t>
      </w:r>
      <w:r w:rsidR="00BC14D3">
        <w:t xml:space="preserve"> </w:t>
      </w:r>
      <w:r w:rsidR="002512E8" w:rsidRPr="002512E8">
        <w:t xml:space="preserve">Victorian Civil and Administrative Tribunal </w:t>
      </w:r>
      <w:r w:rsidR="00C962C1">
        <w:t>(</w:t>
      </w:r>
      <w:r w:rsidR="00BC14D3">
        <w:t>VCAT</w:t>
      </w:r>
      <w:r w:rsidR="00C962C1">
        <w:t>)</w:t>
      </w:r>
      <w:r w:rsidR="005D53B0">
        <w:t xml:space="preserve"> for VCAT users</w:t>
      </w:r>
      <w:r w:rsidR="00BC14D3">
        <w:t>.</w:t>
      </w:r>
    </w:p>
    <w:p w14:paraId="19575569" w14:textId="79FE3AD7" w:rsidR="009F1088" w:rsidRDefault="009F1088" w:rsidP="005A0940">
      <w:pPr>
        <w:pStyle w:val="DJCSbodyafterbullets"/>
        <w:ind w:left="720"/>
      </w:pPr>
      <w:r>
        <w:t xml:space="preserve">Court </w:t>
      </w:r>
      <w:r w:rsidR="00FB5ECA">
        <w:t>and</w:t>
      </w:r>
      <w:r>
        <w:t xml:space="preserve"> </w:t>
      </w:r>
      <w:r w:rsidR="006002B3">
        <w:t xml:space="preserve">tribunal </w:t>
      </w:r>
      <w:r>
        <w:t xml:space="preserve">fees can be </w:t>
      </w:r>
      <w:r w:rsidR="00441A7B">
        <w:t>considered</w:t>
      </w:r>
      <w:r>
        <w:t xml:space="preserve"> as a significant economic or social burden on the public. Th</w:t>
      </w:r>
      <w:r w:rsidR="00441A7B">
        <w:t>is means</w:t>
      </w:r>
      <w:r w:rsidR="006002B3">
        <w:t xml:space="preserve"> that</w:t>
      </w:r>
      <w:r w:rsidR="00441A7B">
        <w:t>,</w:t>
      </w:r>
      <w:r>
        <w:t xml:space="preserve"> under the </w:t>
      </w:r>
      <w:r w:rsidRPr="00DE46F9">
        <w:rPr>
          <w:i/>
          <w:iCs/>
        </w:rPr>
        <w:t>Subordinate Legislation Act 1994</w:t>
      </w:r>
      <w:r>
        <w:t>, a Regulatory Impact Statement (RIS) must be prepared or an exemption from the process must be granted</w:t>
      </w:r>
      <w:r w:rsidR="00D710EE">
        <w:t xml:space="preserve"> when </w:t>
      </w:r>
      <w:r w:rsidR="00C962C4">
        <w:t>regulations which set such fees are made or remade</w:t>
      </w:r>
      <w:r>
        <w:t xml:space="preserve">. </w:t>
      </w:r>
      <w:r w:rsidR="000360DA">
        <w:t>A RIS</w:t>
      </w:r>
      <w:r w:rsidR="000360DA" w:rsidRPr="000360DA">
        <w:t xml:space="preserve"> is a document that outlines the expected impacts of a proposed regulation, including its economic, social, and environmental effects, to inform decision-making in the policy process</w:t>
      </w:r>
      <w:r w:rsidR="00B409D6">
        <w:t xml:space="preserve">. </w:t>
      </w:r>
      <w:r>
        <w:t xml:space="preserve">A RIS needs to be released for public consultation prior to the regulations being </w:t>
      </w:r>
      <w:r w:rsidR="002363A6">
        <w:t>remade</w:t>
      </w:r>
      <w:r>
        <w:t xml:space="preserve">. </w:t>
      </w:r>
    </w:p>
    <w:p w14:paraId="2DCB51AA" w14:textId="41F7C08D" w:rsidR="009F1088" w:rsidRDefault="005A4B99" w:rsidP="005A0940">
      <w:pPr>
        <w:pStyle w:val="DJCSbodyafterbullets"/>
        <w:ind w:left="720"/>
      </w:pPr>
      <w:r>
        <w:t>Regulations that set fees are also subject to the Government</w:t>
      </w:r>
      <w:r w:rsidR="004A1187">
        <w:t xml:space="preserve">’s </w:t>
      </w:r>
      <w:r w:rsidR="004A1187">
        <w:rPr>
          <w:i/>
          <w:iCs/>
        </w:rPr>
        <w:t>Pricing for Value Guide</w:t>
      </w:r>
      <w:r w:rsidR="00581BBA">
        <w:t xml:space="preserve">. </w:t>
      </w:r>
      <w:r w:rsidR="00257515">
        <w:t>This guide</w:t>
      </w:r>
      <w:r w:rsidR="004A1187">
        <w:t xml:space="preserve"> </w:t>
      </w:r>
      <w:r w:rsidR="00521326">
        <w:t>sets out Pricing Principles and re</w:t>
      </w:r>
      <w:r w:rsidR="00BC66A0">
        <w:t>quires departments to undertake pricing reviews</w:t>
      </w:r>
      <w:r w:rsidR="00A46F0A">
        <w:t xml:space="preserve"> </w:t>
      </w:r>
      <w:r w:rsidR="00F462AB">
        <w:t>to identify a pricing</w:t>
      </w:r>
      <w:r w:rsidR="00581BBA">
        <w:t xml:space="preserve"> strategy and </w:t>
      </w:r>
      <w:r w:rsidR="00EB4365">
        <w:t xml:space="preserve">aligned </w:t>
      </w:r>
      <w:r w:rsidR="00581BBA">
        <w:t>fee options.</w:t>
      </w:r>
    </w:p>
    <w:p w14:paraId="727325D6" w14:textId="07FDD50A" w:rsidR="009C601C" w:rsidRPr="00FE7D4D" w:rsidRDefault="00F22CEB" w:rsidP="005A0940">
      <w:pPr>
        <w:pStyle w:val="DJCSbodyafterbullets"/>
        <w:ind w:left="720"/>
      </w:pPr>
      <w:r w:rsidRPr="00F22CEB">
        <w:t>This</w:t>
      </w:r>
      <w:r w:rsidR="00527CCE">
        <w:t xml:space="preserve"> document </w:t>
      </w:r>
      <w:r w:rsidR="00FF0EC6">
        <w:t>summari</w:t>
      </w:r>
      <w:r w:rsidR="00F90586">
        <w:t>s</w:t>
      </w:r>
      <w:r w:rsidR="00FF0EC6">
        <w:t xml:space="preserve">es </w:t>
      </w:r>
      <w:r w:rsidR="00FB4F60">
        <w:t>a</w:t>
      </w:r>
      <w:r w:rsidR="00FF0EC6">
        <w:t xml:space="preserve"> pricing review </w:t>
      </w:r>
      <w:r w:rsidR="00BF488D">
        <w:t xml:space="preserve">that has been </w:t>
      </w:r>
      <w:r w:rsidR="00D502C9">
        <w:t xml:space="preserve">undertaken </w:t>
      </w:r>
      <w:r w:rsidR="00676C01">
        <w:t xml:space="preserve">to inform </w:t>
      </w:r>
      <w:r w:rsidR="001723EF">
        <w:t xml:space="preserve">the remaking of the Regulations </w:t>
      </w:r>
      <w:r w:rsidR="00D502C9">
        <w:t>and</w:t>
      </w:r>
      <w:r w:rsidR="00527CCE">
        <w:t xml:space="preserve"> provides a statement of </w:t>
      </w:r>
      <w:r w:rsidR="001B3FDE">
        <w:t xml:space="preserve">the </w:t>
      </w:r>
      <w:r w:rsidR="00527CCE">
        <w:t xml:space="preserve">assessed impact </w:t>
      </w:r>
      <w:r w:rsidR="00403F1D">
        <w:t xml:space="preserve">against proposed changes </w:t>
      </w:r>
      <w:r w:rsidRPr="00F22CEB">
        <w:t xml:space="preserve">for </w:t>
      </w:r>
      <w:r w:rsidRPr="00FE7D4D">
        <w:t>public consideration. The proposed Regulations are attached to this RIS.</w:t>
      </w:r>
    </w:p>
    <w:p w14:paraId="6A049621" w14:textId="6E54BAD4" w:rsidR="00B91805" w:rsidRPr="004A1187" w:rsidRDefault="0073017E" w:rsidP="005A0940">
      <w:pPr>
        <w:pStyle w:val="DJCSbodyafterbullets"/>
        <w:ind w:left="720"/>
      </w:pPr>
      <w:r w:rsidRPr="00FE7D4D">
        <w:t>VCAT are currently considering changes</w:t>
      </w:r>
      <w:r w:rsidR="00921155" w:rsidRPr="00FE7D4D">
        <w:t xml:space="preserve"> to their operational structure which are expected to impact </w:t>
      </w:r>
      <w:r w:rsidR="00E74259" w:rsidRPr="00FE7D4D">
        <w:t xml:space="preserve">how divisions and lists are </w:t>
      </w:r>
      <w:r w:rsidR="00135A63" w:rsidRPr="00FE7D4D">
        <w:t>organised</w:t>
      </w:r>
      <w:r w:rsidR="00921155" w:rsidRPr="00FE7D4D">
        <w:t>.</w:t>
      </w:r>
      <w:r w:rsidR="004037F9" w:rsidRPr="00FE7D4D">
        <w:t xml:space="preserve"> These ch</w:t>
      </w:r>
      <w:r w:rsidR="008E7249" w:rsidRPr="00FE7D4D">
        <w:t xml:space="preserve">anges are not expected to substantially change the impacts or </w:t>
      </w:r>
      <w:r w:rsidR="00B829F0" w:rsidRPr="00FE7D4D">
        <w:t>analysis within this document</w:t>
      </w:r>
      <w:r w:rsidR="00A03029" w:rsidRPr="00FE7D4D">
        <w:t xml:space="preserve"> as these changes</w:t>
      </w:r>
      <w:r w:rsidR="00CE5793" w:rsidRPr="00FE7D4D">
        <w:t xml:space="preserve"> are </w:t>
      </w:r>
      <w:r w:rsidR="00D50AB4" w:rsidRPr="00FE7D4D">
        <w:t xml:space="preserve">to focus on how matters are allocated </w:t>
      </w:r>
      <w:r w:rsidR="00E74259" w:rsidRPr="00FE7D4D">
        <w:t>across VCAT</w:t>
      </w:r>
      <w:r w:rsidR="00234B09" w:rsidRPr="00FE7D4D">
        <w:t>.</w:t>
      </w:r>
      <w:r w:rsidR="00D36EB2" w:rsidRPr="00FE7D4D">
        <w:t xml:space="preserve"> The final Regulations will be updated </w:t>
      </w:r>
      <w:r w:rsidR="00315DA7" w:rsidRPr="00FE7D4D">
        <w:t xml:space="preserve">post </w:t>
      </w:r>
      <w:r w:rsidR="00F24786" w:rsidRPr="00FE7D4D">
        <w:t xml:space="preserve">public </w:t>
      </w:r>
      <w:r w:rsidR="00315DA7" w:rsidRPr="00FE7D4D">
        <w:t xml:space="preserve">consultation to reflect </w:t>
      </w:r>
      <w:r w:rsidR="00E74259" w:rsidRPr="00FE7D4D">
        <w:t>any changes to VCAT’s structure.</w:t>
      </w:r>
    </w:p>
    <w:p w14:paraId="0EE94355" w14:textId="78E32014" w:rsidR="006532B5" w:rsidRDefault="003310C8" w:rsidP="005A0940">
      <w:pPr>
        <w:pStyle w:val="DJCSbodyafterbullets"/>
        <w:ind w:left="720"/>
      </w:pPr>
      <w:r>
        <w:t xml:space="preserve">This document does not </w:t>
      </w:r>
      <w:bookmarkStart w:id="6" w:name="_Hlk212203197"/>
      <w:r>
        <w:t xml:space="preserve">include </w:t>
      </w:r>
      <w:r w:rsidR="00912782">
        <w:t>consideration</w:t>
      </w:r>
      <w:r>
        <w:t xml:space="preserve"> of the Guardianship and Administration </w:t>
      </w:r>
      <w:r w:rsidR="006A44EF">
        <w:t>(Fees) Regulations 2022</w:t>
      </w:r>
      <w:r w:rsidR="000664EC">
        <w:t>,</w:t>
      </w:r>
      <w:r w:rsidR="00670121">
        <w:t xml:space="preserve"> which determine the fees for </w:t>
      </w:r>
      <w:r w:rsidR="00FD2E54">
        <w:t xml:space="preserve">proceedings under the </w:t>
      </w:r>
      <w:r w:rsidR="00FD2E54" w:rsidRPr="00FA0CF5">
        <w:rPr>
          <w:i/>
          <w:iCs/>
        </w:rPr>
        <w:t>Guardianship</w:t>
      </w:r>
      <w:r w:rsidR="00501BB8" w:rsidRPr="00FA0CF5">
        <w:rPr>
          <w:i/>
        </w:rPr>
        <w:t xml:space="preserve"> and </w:t>
      </w:r>
      <w:r w:rsidR="00FD2E54" w:rsidRPr="00FA0CF5">
        <w:rPr>
          <w:i/>
          <w:iCs/>
        </w:rPr>
        <w:t>Administration Act 2019</w:t>
      </w:r>
      <w:r w:rsidR="00501BB8">
        <w:t xml:space="preserve">. </w:t>
      </w:r>
      <w:bookmarkEnd w:id="6"/>
      <w:r w:rsidR="008C15B7">
        <w:t>However,</w:t>
      </w:r>
      <w:r w:rsidR="008C15B7" w:rsidRPr="00F31185">
        <w:t xml:space="preserve"> </w:t>
      </w:r>
      <w:r w:rsidR="00F31185" w:rsidRPr="00F31185">
        <w:t>details of a</w:t>
      </w:r>
      <w:r w:rsidR="006425ED">
        <w:t>n</w:t>
      </w:r>
      <w:r w:rsidR="00F31185" w:rsidRPr="00F31185">
        <w:t xml:space="preserve"> </w:t>
      </w:r>
      <w:r w:rsidR="00F31185">
        <w:t>up</w:t>
      </w:r>
      <w:r w:rsidR="00A03C69">
        <w:t>coming</w:t>
      </w:r>
      <w:r w:rsidR="00B614E2">
        <w:t xml:space="preserve"> </w:t>
      </w:r>
      <w:r w:rsidR="00912782">
        <w:t xml:space="preserve">review of </w:t>
      </w:r>
      <w:r w:rsidR="00CA0A56">
        <w:t>the current state of</w:t>
      </w:r>
      <w:r w:rsidR="00912782">
        <w:t xml:space="preserve"> </w:t>
      </w:r>
      <w:r w:rsidR="00C9144C">
        <w:t>these</w:t>
      </w:r>
      <w:r w:rsidR="00912782">
        <w:t xml:space="preserve"> regulations </w:t>
      </w:r>
      <w:r w:rsidR="00E97FBE">
        <w:t xml:space="preserve">is attached </w:t>
      </w:r>
      <w:r w:rsidR="00A03C69">
        <w:t>at</w:t>
      </w:r>
      <w:r w:rsidR="00E97FBE" w:rsidRPr="00F31185">
        <w:t xml:space="preserve"> </w:t>
      </w:r>
      <w:hyperlink w:anchor="_Appendix_D" w:history="1">
        <w:r w:rsidR="00E97FBE" w:rsidRPr="00A03C69">
          <w:rPr>
            <w:rStyle w:val="Hyperlink"/>
          </w:rPr>
          <w:t xml:space="preserve">Appendix </w:t>
        </w:r>
        <w:r w:rsidR="00EC671C" w:rsidRPr="001761B8">
          <w:rPr>
            <w:rStyle w:val="Hyperlink"/>
          </w:rPr>
          <w:t>D</w:t>
        </w:r>
      </w:hyperlink>
      <w:r w:rsidR="00937339">
        <w:t xml:space="preserve"> for reference</w:t>
      </w:r>
      <w:r w:rsidR="00CA0A56">
        <w:t>.</w:t>
      </w:r>
    </w:p>
    <w:p w14:paraId="348DC447" w14:textId="5F32C3B3" w:rsidR="006D683B" w:rsidRPr="000F5ADB" w:rsidRDefault="006D683B" w:rsidP="006F3CC0">
      <w:pPr>
        <w:pStyle w:val="Heading2"/>
      </w:pPr>
      <w:bookmarkStart w:id="7" w:name="_Toc216179663"/>
      <w:r w:rsidRPr="000F5ADB">
        <w:t>Victorian Civil and Administrative Tribunal (Fees) Regulations</w:t>
      </w:r>
      <w:bookmarkEnd w:id="7"/>
    </w:p>
    <w:p w14:paraId="7FE27ADB" w14:textId="241C5DF1" w:rsidR="0072052A" w:rsidRPr="008303F1" w:rsidRDefault="0072052A" w:rsidP="00FA0CF5">
      <w:pPr>
        <w:pStyle w:val="Heading3"/>
        <w:ind w:left="709" w:hanging="850"/>
      </w:pPr>
      <w:bookmarkStart w:id="8" w:name="_Toc216179664"/>
      <w:r w:rsidRPr="008303F1">
        <w:t>Background</w:t>
      </w:r>
      <w:bookmarkEnd w:id="8"/>
    </w:p>
    <w:p w14:paraId="12F28A52" w14:textId="3D9E247B" w:rsidR="00080663" w:rsidRDefault="00AF7C7D" w:rsidP="005A0940">
      <w:pPr>
        <w:pStyle w:val="DJCSbody"/>
        <w:ind w:left="720"/>
      </w:pPr>
      <w:r>
        <w:t xml:space="preserve">Established and governed by the </w:t>
      </w:r>
      <w:r>
        <w:rPr>
          <w:i/>
          <w:iCs/>
        </w:rPr>
        <w:t xml:space="preserve">Victorian Civil and Administrative Tribunal Act 1998 </w:t>
      </w:r>
      <w:r>
        <w:t>(the Act),</w:t>
      </w:r>
      <w:r>
        <w:rPr>
          <w:i/>
          <w:iCs/>
        </w:rPr>
        <w:t xml:space="preserve"> </w:t>
      </w:r>
      <w:r w:rsidRPr="009445E1">
        <w:t>VCAT functions</w:t>
      </w:r>
      <w:r>
        <w:t xml:space="preserve"> independently within Victoria’s justice system, resolving disputes and making rulings under more than 150 </w:t>
      </w:r>
      <w:r w:rsidR="00A17036">
        <w:t>Victorian Acts</w:t>
      </w:r>
      <w:r w:rsidRPr="009445E1">
        <w:t xml:space="preserve">. </w:t>
      </w:r>
      <w:r w:rsidR="00DC03E5">
        <w:t xml:space="preserve">It is an important avenue </w:t>
      </w:r>
      <w:r w:rsidR="00080663">
        <w:t>for the community to have their civil matters considere</w:t>
      </w:r>
      <w:r w:rsidR="004F6C2E">
        <w:t>d and for disputes to be resolved.</w:t>
      </w:r>
    </w:p>
    <w:p w14:paraId="33399686" w14:textId="110203C1" w:rsidR="00176E39" w:rsidRDefault="002043AF" w:rsidP="005A0940">
      <w:pPr>
        <w:pStyle w:val="DJCSbody"/>
        <w:ind w:left="720"/>
      </w:pPr>
      <w:r w:rsidRPr="008303F1">
        <w:t>To help fund services at VCAT, t</w:t>
      </w:r>
      <w:r w:rsidR="004F6C2E" w:rsidRPr="008303F1">
        <w:t>he</w:t>
      </w:r>
      <w:r w:rsidR="004F6C2E">
        <w:rPr>
          <w:i/>
          <w:iCs/>
        </w:rPr>
        <w:t xml:space="preserve"> </w:t>
      </w:r>
      <w:r w:rsidR="00A64ADA" w:rsidRPr="00703834">
        <w:t>Act</w:t>
      </w:r>
      <w:r w:rsidR="0083191E">
        <w:t xml:space="preserve"> allows</w:t>
      </w:r>
      <w:r w:rsidR="00176E39" w:rsidRPr="002E35E5">
        <w:t xml:space="preserve"> for regulations </w:t>
      </w:r>
      <w:r w:rsidR="002A4714">
        <w:t>relating to</w:t>
      </w:r>
      <w:r w:rsidR="002A4714" w:rsidRPr="002E35E5">
        <w:t xml:space="preserve"> </w:t>
      </w:r>
      <w:r w:rsidR="00176E39" w:rsidRPr="002E35E5">
        <w:t>fees</w:t>
      </w:r>
      <w:r w:rsidR="00C454C3">
        <w:t xml:space="preserve"> payable </w:t>
      </w:r>
      <w:r w:rsidR="00D73066">
        <w:t>for</w:t>
      </w:r>
      <w:r w:rsidR="00F97B45">
        <w:t xml:space="preserve"> </w:t>
      </w:r>
      <w:r w:rsidR="0029077A">
        <w:t>a range</w:t>
      </w:r>
      <w:r w:rsidR="00F97B45">
        <w:t xml:space="preserve"> of </w:t>
      </w:r>
      <w:r w:rsidR="0029077A">
        <w:t>activities</w:t>
      </w:r>
      <w:r w:rsidR="007A2DB1">
        <w:t xml:space="preserve"> to be made</w:t>
      </w:r>
      <w:r w:rsidR="00176E39" w:rsidRPr="002E35E5">
        <w:t>. These fees are currently prescribed in the</w:t>
      </w:r>
      <w:r w:rsidR="00176E39" w:rsidRPr="00FB4459">
        <w:t xml:space="preserve"> Regulations.</w:t>
      </w:r>
    </w:p>
    <w:p w14:paraId="523FA2D5" w14:textId="09A761CC" w:rsidR="00F15341" w:rsidRDefault="00D73066" w:rsidP="008303F1">
      <w:pPr>
        <w:pStyle w:val="DJCSbody"/>
      </w:pPr>
      <w:r>
        <w:lastRenderedPageBreak/>
        <w:t>Under</w:t>
      </w:r>
      <w:r w:rsidR="0002193F">
        <w:t xml:space="preserve"> s</w:t>
      </w:r>
      <w:r w:rsidR="00324066">
        <w:t xml:space="preserve">ection 5 of </w:t>
      </w:r>
      <w:r w:rsidR="00407379">
        <w:t xml:space="preserve">the </w:t>
      </w:r>
      <w:r w:rsidR="00324066" w:rsidRPr="00C329DD">
        <w:t>Subordinate Legislation Act</w:t>
      </w:r>
      <w:r w:rsidR="0002193F">
        <w:t>,</w:t>
      </w:r>
      <w:r w:rsidR="00B47768">
        <w:t xml:space="preserve"> </w:t>
      </w:r>
      <w:r w:rsidR="00E331C8">
        <w:t>regulations</w:t>
      </w:r>
      <w:r w:rsidR="00502331">
        <w:t xml:space="preserve"> automatically</w:t>
      </w:r>
      <w:r w:rsidR="00E331C8">
        <w:t xml:space="preserve"> expire</w:t>
      </w:r>
      <w:r w:rsidR="00502331">
        <w:t xml:space="preserve"> 10 years after they are made. </w:t>
      </w:r>
      <w:r w:rsidR="009A5C18">
        <w:t>Th</w:t>
      </w:r>
      <w:r w:rsidR="00407D4B">
        <w:t xml:space="preserve">is means </w:t>
      </w:r>
      <w:r w:rsidR="00073BF9">
        <w:t xml:space="preserve">that </w:t>
      </w:r>
      <w:r w:rsidR="00407D4B">
        <w:t xml:space="preserve">the </w:t>
      </w:r>
      <w:r w:rsidR="00A962AA">
        <w:t>Regulations</w:t>
      </w:r>
      <w:r w:rsidR="002A6CC3">
        <w:t xml:space="preserve"> </w:t>
      </w:r>
      <w:r w:rsidR="002C24D1">
        <w:t xml:space="preserve">need to be renewed </w:t>
      </w:r>
      <w:r w:rsidR="00355F72">
        <w:t xml:space="preserve">before </w:t>
      </w:r>
      <w:r w:rsidR="002C24D1">
        <w:t>they</w:t>
      </w:r>
      <w:r w:rsidR="002A6CC3">
        <w:t xml:space="preserve"> reach</w:t>
      </w:r>
      <w:r w:rsidR="002C24D1">
        <w:t xml:space="preserve"> their</w:t>
      </w:r>
      <w:r w:rsidR="000910F9">
        <w:t xml:space="preserve"> tenth year of operation on </w:t>
      </w:r>
      <w:r w:rsidR="00790206">
        <w:t>28</w:t>
      </w:r>
      <w:r w:rsidR="00F4342A">
        <w:t xml:space="preserve"> June</w:t>
      </w:r>
      <w:r w:rsidR="000910F9">
        <w:t xml:space="preserve"> 2026</w:t>
      </w:r>
      <w:r w:rsidR="00F726CB">
        <w:t>.</w:t>
      </w:r>
    </w:p>
    <w:p w14:paraId="08427AEE" w14:textId="3D0EB4DA" w:rsidR="0072052A" w:rsidRPr="009E37EA" w:rsidRDefault="00AA5DEF" w:rsidP="008303F1">
      <w:pPr>
        <w:pStyle w:val="DJCSbody"/>
      </w:pPr>
      <w:r>
        <w:t xml:space="preserve">The remaking of </w:t>
      </w:r>
      <w:r w:rsidR="00661E70">
        <w:t>the R</w:t>
      </w:r>
      <w:r>
        <w:t>egulations</w:t>
      </w:r>
      <w:r w:rsidR="00334B57">
        <w:t xml:space="preserve"> </w:t>
      </w:r>
      <w:r w:rsidR="00CB6348">
        <w:t>is an opportunity to</w:t>
      </w:r>
      <w:r w:rsidR="00BB4DC3">
        <w:t xml:space="preserve"> review the </w:t>
      </w:r>
      <w:r w:rsidR="000635EB">
        <w:t xml:space="preserve">current </w:t>
      </w:r>
      <w:r w:rsidR="00A962AA">
        <w:t xml:space="preserve">VCAT </w:t>
      </w:r>
      <w:r w:rsidR="00BB4DC3">
        <w:t>fee structure</w:t>
      </w:r>
      <w:r w:rsidR="003137AB">
        <w:t xml:space="preserve">, in line with the </w:t>
      </w:r>
      <w:hyperlink r:id="rId34" w:history="1">
        <w:r w:rsidR="0072052A" w:rsidRPr="009E37EA">
          <w:rPr>
            <w:rStyle w:val="Hyperlink"/>
          </w:rPr>
          <w:t>Standing Directions 2018</w:t>
        </w:r>
      </w:hyperlink>
      <w:r w:rsidR="00A962AA">
        <w:t>,</w:t>
      </w:r>
      <w:r w:rsidR="0072052A" w:rsidRPr="009E37EA">
        <w:t xml:space="preserve"> issued by the Assistant Treasurer under the </w:t>
      </w:r>
      <w:r w:rsidR="0072052A" w:rsidRPr="009E37EA">
        <w:rPr>
          <w:i/>
          <w:iCs/>
        </w:rPr>
        <w:t>Financial Management Act 1994</w:t>
      </w:r>
      <w:r w:rsidR="00F15A5C">
        <w:t xml:space="preserve">. </w:t>
      </w:r>
      <w:r w:rsidR="00D02165">
        <w:t xml:space="preserve"> </w:t>
      </w:r>
      <w:r w:rsidR="00F15A5C">
        <w:t>The Standing Directions 2018</w:t>
      </w:r>
      <w:r w:rsidR="00D02165">
        <w:t xml:space="preserve"> </w:t>
      </w:r>
      <w:r w:rsidR="00132DDF">
        <w:t xml:space="preserve">state that </w:t>
      </w:r>
      <w:r w:rsidR="00654EA3">
        <w:t>all ‘</w:t>
      </w:r>
      <w:r w:rsidR="0072052A" w:rsidRPr="003F76BF">
        <w:t>agencies, including Victorian courts and tribunals that charge fees, are required to commence a pricing review</w:t>
      </w:r>
      <w:r w:rsidR="00B74FFF">
        <w:t>’.</w:t>
      </w:r>
      <w:r w:rsidR="00B74FFF">
        <w:rPr>
          <w:rStyle w:val="FootnoteReference"/>
        </w:rPr>
        <w:footnoteReference w:id="2"/>
      </w:r>
      <w:r w:rsidR="0072052A" w:rsidRPr="009E37EA">
        <w:t xml:space="preserve"> </w:t>
      </w:r>
    </w:p>
    <w:p w14:paraId="5C8DC047" w14:textId="77777777" w:rsidR="0050056F" w:rsidRDefault="0050056F" w:rsidP="00FA0CF5">
      <w:pPr>
        <w:pStyle w:val="Heading3"/>
        <w:ind w:left="851" w:hanging="821"/>
      </w:pPr>
      <w:bookmarkStart w:id="9" w:name="_Toc216179665"/>
      <w:r>
        <w:t>P</w:t>
      </w:r>
      <w:r w:rsidRPr="006F3CC0">
        <w:t xml:space="preserve">roblem </w:t>
      </w:r>
      <w:r>
        <w:t>a</w:t>
      </w:r>
      <w:r w:rsidRPr="006F3CC0">
        <w:t>nalysis</w:t>
      </w:r>
      <w:bookmarkEnd w:id="9"/>
    </w:p>
    <w:p w14:paraId="2CF5866C" w14:textId="6F7BCFEA" w:rsidR="00B776FB" w:rsidRDefault="008872E9" w:rsidP="00FB6052">
      <w:pPr>
        <w:pStyle w:val="DJCSbody"/>
      </w:pPr>
      <w:r>
        <w:t xml:space="preserve">There are a range of fees payable by individuals and </w:t>
      </w:r>
      <w:r w:rsidRPr="00476310">
        <w:t xml:space="preserve">entities wanting to have their matters considered </w:t>
      </w:r>
      <w:r w:rsidR="00A60D65" w:rsidRPr="00476310">
        <w:t xml:space="preserve">by VCAT. </w:t>
      </w:r>
      <w:r w:rsidR="00A60D65" w:rsidRPr="008303F1">
        <w:t xml:space="preserve">These </w:t>
      </w:r>
      <w:r w:rsidR="0016768E" w:rsidRPr="008303F1">
        <w:t xml:space="preserve">fees </w:t>
      </w:r>
      <w:r w:rsidR="00A60D65" w:rsidRPr="008303F1">
        <w:t>are critical to</w:t>
      </w:r>
      <w:r w:rsidR="0072159E">
        <w:t xml:space="preserve"> </w:t>
      </w:r>
      <w:r w:rsidR="003F2AA1" w:rsidRPr="008303F1">
        <w:t xml:space="preserve">the </w:t>
      </w:r>
      <w:r w:rsidR="0016768E" w:rsidRPr="008303F1">
        <w:t xml:space="preserve">sustainability of </w:t>
      </w:r>
      <w:r w:rsidR="003F2AA1" w:rsidRPr="008303F1">
        <w:t>VCAT</w:t>
      </w:r>
      <w:r w:rsidR="009B11D0">
        <w:t xml:space="preserve"> and </w:t>
      </w:r>
      <w:r w:rsidR="00132DDF">
        <w:t>to</w:t>
      </w:r>
      <w:r w:rsidR="009B11D0">
        <w:t xml:space="preserve"> </w:t>
      </w:r>
      <w:r w:rsidR="00201B39" w:rsidRPr="00476310">
        <w:t>ensur</w:t>
      </w:r>
      <w:r w:rsidR="00D2742D">
        <w:t>ing</w:t>
      </w:r>
      <w:r w:rsidR="009B11D0">
        <w:t xml:space="preserve"> </w:t>
      </w:r>
      <w:r w:rsidR="00201B39">
        <w:t>there is sufficient public access to</w:t>
      </w:r>
      <w:r w:rsidR="00835579">
        <w:t xml:space="preserve"> VCAT </w:t>
      </w:r>
      <w:r w:rsidR="00B65E6B">
        <w:t xml:space="preserve">services. With </w:t>
      </w:r>
      <w:r w:rsidR="00710FFC">
        <w:t>zero or minimal fees for VCAT services,</w:t>
      </w:r>
      <w:r w:rsidR="0000251A">
        <w:t xml:space="preserve"> demand</w:t>
      </w:r>
      <w:r w:rsidR="00710FFC">
        <w:t xml:space="preserve"> </w:t>
      </w:r>
      <w:r w:rsidR="004C3534">
        <w:t xml:space="preserve">may </w:t>
      </w:r>
      <w:r w:rsidR="00F74BDE">
        <w:t>increase</w:t>
      </w:r>
      <w:r w:rsidR="00671C82">
        <w:t xml:space="preserve">, causing </w:t>
      </w:r>
      <w:r w:rsidR="00072646">
        <w:t xml:space="preserve">caseload </w:t>
      </w:r>
      <w:r w:rsidR="00DB228F">
        <w:t>backlogs</w:t>
      </w:r>
      <w:r w:rsidR="0004347A">
        <w:t>.</w:t>
      </w:r>
      <w:r w:rsidR="00072646">
        <w:t xml:space="preserve"> </w:t>
      </w:r>
      <w:r w:rsidR="00C67A71">
        <w:t>Caseload</w:t>
      </w:r>
      <w:r w:rsidR="00D1276C">
        <w:t xml:space="preserve"> backlogs cause</w:t>
      </w:r>
      <w:r w:rsidR="0004347A" w:rsidRPr="0004347A">
        <w:t xml:space="preserve"> delays in accessing justice</w:t>
      </w:r>
      <w:r w:rsidR="0004347A">
        <w:t xml:space="preserve"> a</w:t>
      </w:r>
      <w:r w:rsidR="00914F7A">
        <w:t>s</w:t>
      </w:r>
      <w:r w:rsidR="00671324">
        <w:t xml:space="preserve"> parties</w:t>
      </w:r>
      <w:r w:rsidR="00914F7A">
        <w:t xml:space="preserve"> </w:t>
      </w:r>
      <w:r w:rsidR="003B2393">
        <w:t>cannot</w:t>
      </w:r>
      <w:r w:rsidR="00914F7A">
        <w:t xml:space="preserve"> resolve their disputes </w:t>
      </w:r>
      <w:r w:rsidR="00476310">
        <w:t>in a timely and efficient manner.</w:t>
      </w:r>
      <w:r w:rsidR="00BD66A1">
        <w:t xml:space="preserve"> </w:t>
      </w:r>
      <w:r w:rsidR="00264C15">
        <w:t>VCAT f</w:t>
      </w:r>
      <w:r w:rsidR="00BD66A1">
        <w:t>ees</w:t>
      </w:r>
      <w:r w:rsidR="00C201FA">
        <w:t xml:space="preserve"> </w:t>
      </w:r>
      <w:r w:rsidR="00133D37">
        <w:t>can</w:t>
      </w:r>
      <w:r w:rsidR="00C201FA">
        <w:t xml:space="preserve"> </w:t>
      </w:r>
      <w:r w:rsidR="00C67A71">
        <w:t>therefore</w:t>
      </w:r>
      <w:r w:rsidR="00C201FA">
        <w:t xml:space="preserve"> </w:t>
      </w:r>
      <w:r w:rsidR="00835579">
        <w:t>mod</w:t>
      </w:r>
      <w:r w:rsidR="00205200">
        <w:t>erate</w:t>
      </w:r>
      <w:r w:rsidR="00C201FA">
        <w:t xml:space="preserve"> </w:t>
      </w:r>
      <w:r w:rsidR="00205200">
        <w:t>d</w:t>
      </w:r>
      <w:r w:rsidR="00C201FA">
        <w:t>emand by</w:t>
      </w:r>
      <w:r w:rsidR="00BD66A1">
        <w:t xml:space="preserve"> </w:t>
      </w:r>
      <w:r w:rsidR="006F1F6C">
        <w:t>encourag</w:t>
      </w:r>
      <w:r w:rsidR="00C201FA">
        <w:t>ing</w:t>
      </w:r>
      <w:r w:rsidR="006F1F6C">
        <w:t xml:space="preserve"> parties to </w:t>
      </w:r>
      <w:r w:rsidR="0014449F">
        <w:t>engage</w:t>
      </w:r>
      <w:r w:rsidR="006F1F6C">
        <w:t xml:space="preserve"> </w:t>
      </w:r>
      <w:r w:rsidR="003B2393">
        <w:t xml:space="preserve">with </w:t>
      </w:r>
      <w:r w:rsidR="006F1F6C">
        <w:t xml:space="preserve">alternative </w:t>
      </w:r>
      <w:r w:rsidR="009F658E">
        <w:t>no or low-cost</w:t>
      </w:r>
      <w:r w:rsidR="00751E77" w:rsidRPr="00751E77">
        <w:t xml:space="preserve"> complaint and dispute-handling bodies</w:t>
      </w:r>
      <w:r w:rsidR="00125F95">
        <w:t xml:space="preserve"> </w:t>
      </w:r>
      <w:r w:rsidR="00777D2F">
        <w:t>as a first choice.</w:t>
      </w:r>
      <w:r w:rsidR="00BC7964">
        <w:t xml:space="preserve"> </w:t>
      </w:r>
      <w:r w:rsidR="00D14621">
        <w:t>C</w:t>
      </w:r>
      <w:r w:rsidR="00BD4A61">
        <w:t xml:space="preserve">areful consideration of fee </w:t>
      </w:r>
      <w:r w:rsidR="00ED48FC">
        <w:t xml:space="preserve">levels is required to </w:t>
      </w:r>
      <w:r w:rsidR="00A82C35">
        <w:t>achieve these benefits</w:t>
      </w:r>
      <w:r w:rsidR="006B4FA4">
        <w:t>.</w:t>
      </w:r>
      <w:r w:rsidR="002A5132">
        <w:t xml:space="preserve"> </w:t>
      </w:r>
    </w:p>
    <w:p w14:paraId="40E28FB4" w14:textId="7BE4361F" w:rsidR="0072052A" w:rsidRPr="009E37EA" w:rsidRDefault="00175DFD" w:rsidP="0072052A">
      <w:pPr>
        <w:pStyle w:val="DJCSbody"/>
      </w:pPr>
      <w:r>
        <w:t xml:space="preserve">VCAT fees have not been comprehensively </w:t>
      </w:r>
      <w:r w:rsidR="00346F66">
        <w:t xml:space="preserve">reviewed </w:t>
      </w:r>
      <w:r>
        <w:t xml:space="preserve">since 2016, </w:t>
      </w:r>
      <w:r w:rsidR="007E4E3B">
        <w:t xml:space="preserve">despite significant </w:t>
      </w:r>
      <w:r>
        <w:t xml:space="preserve">developments over the last 10 years. </w:t>
      </w:r>
      <w:r w:rsidR="007E4E3B" w:rsidRPr="007E4E3B">
        <w:t xml:space="preserve">The remaking of the Regulations provides an opportunity </w:t>
      </w:r>
      <w:r w:rsidR="007E4E3B">
        <w:t xml:space="preserve">to consider these developments </w:t>
      </w:r>
      <w:r w:rsidR="007B5E59">
        <w:t xml:space="preserve">and assess whether fees are appropriate. </w:t>
      </w:r>
      <w:r w:rsidR="0072052A" w:rsidRPr="009E37EA">
        <w:t>A</w:t>
      </w:r>
      <w:r w:rsidR="00777D2F">
        <w:t>n</w:t>
      </w:r>
      <w:r w:rsidR="0072052A" w:rsidRPr="009E37EA">
        <w:t xml:space="preserve"> initial review</w:t>
      </w:r>
      <w:r w:rsidR="00453271">
        <w:t xml:space="preserve"> </w:t>
      </w:r>
      <w:r w:rsidR="00482601">
        <w:t>completed for</w:t>
      </w:r>
      <w:r w:rsidR="0072052A" w:rsidRPr="009E37EA">
        <w:t xml:space="preserve"> </w:t>
      </w:r>
      <w:r w:rsidR="009561C2">
        <w:t>the Department of Justice and Community Safety (</w:t>
      </w:r>
      <w:r w:rsidR="0072052A" w:rsidRPr="009E37EA">
        <w:t>DJCS</w:t>
      </w:r>
      <w:r w:rsidR="009561C2">
        <w:t>)</w:t>
      </w:r>
      <w:r w:rsidR="0072052A" w:rsidRPr="009E37EA">
        <w:t xml:space="preserve"> found that </w:t>
      </w:r>
      <w:r w:rsidR="00F2180A">
        <w:t>the Regulation</w:t>
      </w:r>
      <w:r w:rsidR="00FC54B1">
        <w:t>s</w:t>
      </w:r>
      <w:r w:rsidR="00F2180A">
        <w:t xml:space="preserve"> </w:t>
      </w:r>
      <w:r w:rsidR="001D71F1">
        <w:t xml:space="preserve">present </w:t>
      </w:r>
      <w:r w:rsidR="00C50DE6">
        <w:t>the</w:t>
      </w:r>
      <w:r w:rsidR="001D71F1">
        <w:t xml:space="preserve"> </w:t>
      </w:r>
      <w:r w:rsidR="0072052A" w:rsidRPr="009E37EA">
        <w:t>following problems:</w:t>
      </w:r>
    </w:p>
    <w:p w14:paraId="4EAFC208" w14:textId="77BF2572" w:rsidR="0072052A" w:rsidRPr="009E37EA" w:rsidRDefault="0072052A" w:rsidP="0072052A">
      <w:pPr>
        <w:pStyle w:val="DJCSbody"/>
        <w:numPr>
          <w:ilvl w:val="0"/>
          <w:numId w:val="18"/>
        </w:numPr>
      </w:pPr>
      <w:r w:rsidRPr="009E37EA">
        <w:t>The</w:t>
      </w:r>
      <w:r w:rsidR="00FC54B1">
        <w:t xml:space="preserve">y do </w:t>
      </w:r>
      <w:r w:rsidRPr="009E37EA">
        <w:t xml:space="preserve">not reflect existing government policy in relation to the </w:t>
      </w:r>
      <w:r w:rsidRPr="009E37EA">
        <w:rPr>
          <w:i/>
        </w:rPr>
        <w:t>Pricing for Value Guide</w:t>
      </w:r>
      <w:r w:rsidRPr="009E37EA">
        <w:t xml:space="preserve"> and the Assistant Treasurer’s Standing Directions 2018 (specifically Standing Direction 3.8 – Pricing) made under the </w:t>
      </w:r>
      <w:r w:rsidRPr="00C329DD">
        <w:t>Financial Management Act</w:t>
      </w:r>
      <w:r w:rsidRPr="009E37EA">
        <w:t>.</w:t>
      </w:r>
    </w:p>
    <w:p w14:paraId="47B39E59" w14:textId="459C8310" w:rsidR="0072052A" w:rsidRPr="00530819" w:rsidRDefault="0072052A" w:rsidP="0072052A">
      <w:pPr>
        <w:pStyle w:val="DJCSbody"/>
        <w:numPr>
          <w:ilvl w:val="0"/>
          <w:numId w:val="18"/>
        </w:numPr>
      </w:pPr>
      <w:r w:rsidRPr="00530819">
        <w:t>Fees</w:t>
      </w:r>
      <w:r w:rsidR="00580612">
        <w:t xml:space="preserve"> </w:t>
      </w:r>
      <w:r w:rsidR="009E2AF5">
        <w:t xml:space="preserve">applied </w:t>
      </w:r>
      <w:r w:rsidRPr="00530819">
        <w:t>do not promote the overall financial sustainability of VCAT as fees under-recover total operating costs.</w:t>
      </w:r>
    </w:p>
    <w:p w14:paraId="50CE9652" w14:textId="22EC7227" w:rsidR="0072052A" w:rsidRPr="00FA0CF5" w:rsidRDefault="009760B2" w:rsidP="0072052A">
      <w:pPr>
        <w:pStyle w:val="DJCSbody"/>
        <w:numPr>
          <w:ilvl w:val="0"/>
          <w:numId w:val="18"/>
        </w:numPr>
      </w:pPr>
      <w:r w:rsidRPr="00FA0CF5">
        <w:t xml:space="preserve">Pricing </w:t>
      </w:r>
      <w:r w:rsidR="0072052A" w:rsidRPr="00FA0CF5">
        <w:t xml:space="preserve">structures </w:t>
      </w:r>
      <w:r w:rsidR="00586854" w:rsidRPr="00FA0CF5">
        <w:t xml:space="preserve">do not provide equitable </w:t>
      </w:r>
      <w:r w:rsidR="0072052A" w:rsidRPr="00FA0CF5">
        <w:t>access to justice</w:t>
      </w:r>
      <w:r w:rsidR="00586854" w:rsidRPr="00FA0CF5">
        <w:t xml:space="preserve">, with insufficient </w:t>
      </w:r>
      <w:r w:rsidR="00600EB8" w:rsidRPr="00FA0CF5">
        <w:t>fee waiver</w:t>
      </w:r>
      <w:r w:rsidR="00702162">
        <w:t>s</w:t>
      </w:r>
      <w:r w:rsidR="008D64CF" w:rsidRPr="00FA0CF5">
        <w:t>,</w:t>
      </w:r>
      <w:r w:rsidR="00600EB8" w:rsidRPr="00FA0CF5">
        <w:t xml:space="preserve"> or </w:t>
      </w:r>
      <w:r w:rsidR="00580612" w:rsidRPr="00FA0CF5">
        <w:t xml:space="preserve">reduced fee </w:t>
      </w:r>
      <w:r w:rsidR="00844BC9" w:rsidRPr="00FA0CF5">
        <w:t>options</w:t>
      </w:r>
      <w:r w:rsidR="0072052A" w:rsidRPr="00FA0CF5">
        <w:t xml:space="preserve"> for those with a lower capacity to pay, specifically </w:t>
      </w:r>
      <w:r w:rsidR="00AC7870" w:rsidRPr="00FA0CF5">
        <w:t xml:space="preserve">for </w:t>
      </w:r>
      <w:r w:rsidR="0090051E" w:rsidRPr="00FA0CF5">
        <w:t>some small businesses, pensioners and veterans gold card holders.</w:t>
      </w:r>
      <w:r w:rsidR="002A2CD2">
        <w:t xml:space="preserve"> </w:t>
      </w:r>
      <w:r w:rsidR="002A2CD2" w:rsidRPr="002A2CD2">
        <w:t>Meaning that the current reduced fee options are not effectively delivering equitable access to justice</w:t>
      </w:r>
    </w:p>
    <w:p w14:paraId="51106F9B" w14:textId="3242ACC8" w:rsidR="006F3CC0" w:rsidRDefault="006F3CC0" w:rsidP="00FA0CF5">
      <w:pPr>
        <w:pStyle w:val="Heading3"/>
        <w:ind w:left="851" w:hanging="680"/>
      </w:pPr>
      <w:bookmarkStart w:id="10" w:name="_Toc216179666"/>
      <w:r w:rsidRPr="004748A3">
        <w:t>Objectives</w:t>
      </w:r>
      <w:bookmarkEnd w:id="10"/>
    </w:p>
    <w:p w14:paraId="27988D3C" w14:textId="7CFD4C9A" w:rsidR="00744DA2" w:rsidRPr="004748A3" w:rsidRDefault="00744DA2" w:rsidP="00744DA2">
      <w:pPr>
        <w:pStyle w:val="DJCSbody"/>
      </w:pPr>
      <w:r w:rsidRPr="004748A3">
        <w:t>In determining</w:t>
      </w:r>
      <w:r w:rsidR="007347EC">
        <w:t xml:space="preserve"> </w:t>
      </w:r>
      <w:r w:rsidR="00524A33">
        <w:t>appropriate</w:t>
      </w:r>
      <w:r w:rsidRPr="004748A3">
        <w:t xml:space="preserve"> </w:t>
      </w:r>
      <w:r w:rsidR="00D340A7">
        <w:t>new R</w:t>
      </w:r>
      <w:r w:rsidRPr="004748A3">
        <w:t xml:space="preserve">egulations, DJCS considered several factors, including the problems </w:t>
      </w:r>
      <w:r w:rsidR="009B08C4">
        <w:t>outlined above</w:t>
      </w:r>
      <w:r w:rsidRPr="004748A3">
        <w:t xml:space="preserve"> and the Pricing Principles that underpin the </w:t>
      </w:r>
      <w:r w:rsidRPr="004748A3">
        <w:rPr>
          <w:i/>
        </w:rPr>
        <w:t>Pricing for Value Guide</w:t>
      </w:r>
      <w:r w:rsidRPr="004748A3">
        <w:t>.</w:t>
      </w:r>
      <w:r w:rsidR="00C96084">
        <w:t xml:space="preserve"> </w:t>
      </w:r>
    </w:p>
    <w:p w14:paraId="226EEE52" w14:textId="5F20921E" w:rsidR="00744DA2" w:rsidRPr="004748A3" w:rsidRDefault="00264878" w:rsidP="00744DA2">
      <w:pPr>
        <w:pStyle w:val="DJCSbody"/>
      </w:pPr>
      <w:r>
        <w:t>T</w:t>
      </w:r>
      <w:r w:rsidR="00744DA2" w:rsidRPr="004748A3">
        <w:t>he proposed Regulations are guided by the following objectives:</w:t>
      </w:r>
    </w:p>
    <w:p w14:paraId="6771BCFE" w14:textId="101BACA9" w:rsidR="009E5A36" w:rsidRPr="009E5A36" w:rsidRDefault="009E5A36" w:rsidP="003C4FE7">
      <w:pPr>
        <w:pStyle w:val="DJCSbody"/>
        <w:numPr>
          <w:ilvl w:val="0"/>
          <w:numId w:val="47"/>
        </w:numPr>
      </w:pPr>
      <w:r w:rsidRPr="009E5A36">
        <w:rPr>
          <w:b/>
          <w:bCs/>
        </w:rPr>
        <w:t xml:space="preserve">Fiscal Sustainability </w:t>
      </w:r>
      <w:r w:rsidRPr="009E5A36">
        <w:t>–</w:t>
      </w:r>
      <w:r w:rsidRPr="009E5A36">
        <w:rPr>
          <w:b/>
          <w:bCs/>
        </w:rPr>
        <w:t xml:space="preserve"> </w:t>
      </w:r>
      <w:r w:rsidR="00824AD5">
        <w:t>Fees should seek to support the overall f</w:t>
      </w:r>
      <w:r w:rsidR="00894BE5">
        <w:t>inancial</w:t>
      </w:r>
      <w:r w:rsidR="00824AD5">
        <w:t xml:space="preserve"> sustainability of VCAT.</w:t>
      </w:r>
    </w:p>
    <w:p w14:paraId="4EA4D687" w14:textId="10BB8A71" w:rsidR="00417B98" w:rsidRPr="00FA0CF5" w:rsidRDefault="00824AD5" w:rsidP="003C4FE7">
      <w:pPr>
        <w:pStyle w:val="DJCSbody"/>
        <w:numPr>
          <w:ilvl w:val="0"/>
          <w:numId w:val="47"/>
        </w:numPr>
        <w:rPr>
          <w:b/>
          <w:bCs/>
        </w:rPr>
      </w:pPr>
      <w:r>
        <w:rPr>
          <w:b/>
          <w:bCs/>
        </w:rPr>
        <w:t>Equity</w:t>
      </w:r>
      <w:r w:rsidR="00417B98">
        <w:rPr>
          <w:b/>
          <w:bCs/>
        </w:rPr>
        <w:t xml:space="preserve"> </w:t>
      </w:r>
      <w:r w:rsidR="00417B98">
        <w:t xml:space="preserve">– </w:t>
      </w:r>
      <w:r w:rsidRPr="00A36B3F">
        <w:t xml:space="preserve">Fees should seek to safeguard access to justice through </w:t>
      </w:r>
      <w:r>
        <w:t>fees</w:t>
      </w:r>
      <w:r w:rsidR="005C6BB0">
        <w:t xml:space="preserve"> that</w:t>
      </w:r>
      <w:r>
        <w:t xml:space="preserve"> reflect different users’ ability to pay. S</w:t>
      </w:r>
      <w:r w:rsidRPr="00A36B3F">
        <w:t xml:space="preserve">ervices </w:t>
      </w:r>
      <w:r>
        <w:t>should remain</w:t>
      </w:r>
      <w:r w:rsidRPr="00A36B3F">
        <w:t xml:space="preserve"> accessible for those who are likely to have a limited capacity to pay.</w:t>
      </w:r>
    </w:p>
    <w:p w14:paraId="045A3FE4" w14:textId="5391076C" w:rsidR="00824AD5" w:rsidRPr="00FA0CF5" w:rsidRDefault="00824AD5" w:rsidP="003C4FE7">
      <w:pPr>
        <w:pStyle w:val="DJCSbody"/>
        <w:numPr>
          <w:ilvl w:val="0"/>
          <w:numId w:val="47"/>
        </w:numPr>
        <w:rPr>
          <w:b/>
          <w:bCs/>
        </w:rPr>
      </w:pPr>
      <w:r w:rsidRPr="00824AD5">
        <w:rPr>
          <w:b/>
          <w:bCs/>
        </w:rPr>
        <w:lastRenderedPageBreak/>
        <w:t>Efficiency</w:t>
      </w:r>
      <w:r w:rsidR="002C4309" w:rsidRPr="00824AD5">
        <w:rPr>
          <w:b/>
          <w:bCs/>
        </w:rPr>
        <w:t xml:space="preserve"> </w:t>
      </w:r>
      <w:r w:rsidR="002C4309">
        <w:t xml:space="preserve">– </w:t>
      </w:r>
      <w:r w:rsidRPr="00A36B3F">
        <w:t xml:space="preserve">Fees should support and enable efficient VCAT operations. This includes </w:t>
      </w:r>
      <w:r w:rsidR="005A3484">
        <w:t>enabling</w:t>
      </w:r>
      <w:r w:rsidR="005A3484" w:rsidRPr="00A36B3F">
        <w:t xml:space="preserve"> </w:t>
      </w:r>
      <w:r w:rsidRPr="00A36B3F">
        <w:t xml:space="preserve">matters </w:t>
      </w:r>
      <w:r w:rsidR="005A3484">
        <w:t>to be</w:t>
      </w:r>
      <w:r w:rsidR="005A3484" w:rsidRPr="00A36B3F">
        <w:t xml:space="preserve"> </w:t>
      </w:r>
      <w:r w:rsidRPr="00A36B3F">
        <w:t xml:space="preserve">held in the most appropriate forum </w:t>
      </w:r>
      <w:r w:rsidR="00103353">
        <w:t>and</w:t>
      </w:r>
      <w:r w:rsidRPr="00A36B3F">
        <w:t xml:space="preserve"> encouraging the </w:t>
      </w:r>
      <w:r w:rsidR="00D50796">
        <w:t>fastest</w:t>
      </w:r>
      <w:r w:rsidRPr="00A36B3F">
        <w:t xml:space="preserve"> and </w:t>
      </w:r>
      <w:r w:rsidR="009756D8">
        <w:t xml:space="preserve">most </w:t>
      </w:r>
      <w:r w:rsidRPr="00A36B3F">
        <w:t>efficient way to resolve matters.</w:t>
      </w:r>
    </w:p>
    <w:p w14:paraId="79DD020C" w14:textId="26B1C353" w:rsidR="00417B98" w:rsidRPr="00FA0CF5" w:rsidRDefault="00824AD5" w:rsidP="003C4FE7">
      <w:pPr>
        <w:pStyle w:val="DJCSbody"/>
        <w:numPr>
          <w:ilvl w:val="0"/>
          <w:numId w:val="47"/>
        </w:numPr>
        <w:rPr>
          <w:b/>
          <w:bCs/>
        </w:rPr>
      </w:pPr>
      <w:r w:rsidRPr="00824AD5">
        <w:rPr>
          <w:b/>
          <w:bCs/>
        </w:rPr>
        <w:t>Simplicity</w:t>
      </w:r>
      <w:r w:rsidR="002C4309" w:rsidRPr="00824AD5">
        <w:rPr>
          <w:b/>
          <w:bCs/>
        </w:rPr>
        <w:t xml:space="preserve"> </w:t>
      </w:r>
      <w:r w:rsidR="002C4309">
        <w:t xml:space="preserve">– </w:t>
      </w:r>
      <w:r w:rsidR="00975B91">
        <w:t>F</w:t>
      </w:r>
      <w:r w:rsidR="00975B91" w:rsidRPr="00A36B3F">
        <w:t xml:space="preserve">ee </w:t>
      </w:r>
      <w:r w:rsidRPr="00A36B3F">
        <w:t xml:space="preserve">structures should </w:t>
      </w:r>
      <w:r>
        <w:t>reduce complexity for VCAT users as well as VCAT in administering the system.</w:t>
      </w:r>
    </w:p>
    <w:p w14:paraId="4719CE88" w14:textId="77777777" w:rsidR="00EA6138" w:rsidRPr="00FA0CF5" w:rsidRDefault="00EA6138" w:rsidP="00EA6138">
      <w:pPr>
        <w:pStyle w:val="DJCSbody"/>
        <w:rPr>
          <w:b/>
          <w:bCs/>
        </w:rPr>
      </w:pPr>
    </w:p>
    <w:p w14:paraId="159AFE06" w14:textId="24FF3E6E" w:rsidR="00744DA2" w:rsidRPr="008303F1" w:rsidRDefault="00744DA2" w:rsidP="00025CB5">
      <w:pPr>
        <w:pStyle w:val="DJCStablecaption"/>
      </w:pPr>
      <w:r w:rsidRPr="008303F1">
        <w:t xml:space="preserve">Table </w:t>
      </w:r>
      <w:r w:rsidR="00BE3DB5" w:rsidRPr="00BE3DB5">
        <w:t>1</w:t>
      </w:r>
      <w:r w:rsidRPr="00BE3DB5">
        <w:t>:</w:t>
      </w:r>
      <w:r w:rsidRPr="008303F1">
        <w:t xml:space="preserve"> Objectives and a</w:t>
      </w:r>
      <w:r w:rsidR="00792D07">
        <w:t>ligned</w:t>
      </w:r>
      <w:r w:rsidRPr="008303F1">
        <w:t xml:space="preserve"> Pricing Principles</w:t>
      </w:r>
    </w:p>
    <w:tbl>
      <w:tblPr>
        <w:tblStyle w:val="TableGrid"/>
        <w:tblW w:w="9492" w:type="dxa"/>
        <w:tblInd w:w="8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90"/>
        <w:gridCol w:w="6802"/>
      </w:tblGrid>
      <w:tr w:rsidR="00D373FA" w:rsidRPr="002B3C05" w14:paraId="1DD8A3A5" w14:textId="77777777" w:rsidTr="00C81B0F">
        <w:trPr>
          <w:trHeight w:val="423"/>
        </w:trPr>
        <w:tc>
          <w:tcPr>
            <w:tcW w:w="2690" w:type="dxa"/>
            <w:shd w:val="clear" w:color="auto" w:fill="16145F" w:themeFill="text2"/>
          </w:tcPr>
          <w:p w14:paraId="0B43A233" w14:textId="77777777" w:rsidR="00D373FA" w:rsidRPr="002B3C05" w:rsidRDefault="00D373FA">
            <w:pPr>
              <w:pStyle w:val="DJCSbody-landscape"/>
              <w:spacing w:before="60" w:after="60"/>
              <w:jc w:val="center"/>
              <w:rPr>
                <w:b/>
              </w:rPr>
            </w:pPr>
            <w:r w:rsidRPr="002B3C05">
              <w:rPr>
                <w:b/>
              </w:rPr>
              <w:t>Objective</w:t>
            </w:r>
          </w:p>
        </w:tc>
        <w:tc>
          <w:tcPr>
            <w:tcW w:w="6802" w:type="dxa"/>
            <w:shd w:val="clear" w:color="auto" w:fill="16145F" w:themeFill="text2"/>
          </w:tcPr>
          <w:p w14:paraId="3CB2439D" w14:textId="3EFA5C7B" w:rsidR="00D373FA" w:rsidRPr="002B3C05" w:rsidRDefault="00516A6B">
            <w:pPr>
              <w:pStyle w:val="DJCSbody-landscape"/>
              <w:spacing w:before="60" w:after="60"/>
              <w:jc w:val="center"/>
              <w:rPr>
                <w:b/>
              </w:rPr>
            </w:pPr>
            <w:r>
              <w:rPr>
                <w:b/>
              </w:rPr>
              <w:t xml:space="preserve">Aligned </w:t>
            </w:r>
            <w:r w:rsidR="00D373FA" w:rsidRPr="002B3C05">
              <w:rPr>
                <w:b/>
              </w:rPr>
              <w:t>Pricing Principle</w:t>
            </w:r>
            <w:r w:rsidR="00D373FA">
              <w:rPr>
                <w:rStyle w:val="FootnoteReference"/>
                <w:b/>
              </w:rPr>
              <w:footnoteReference w:id="3"/>
            </w:r>
          </w:p>
        </w:tc>
      </w:tr>
      <w:tr w:rsidR="00D373FA" w:rsidRPr="00A7785F" w14:paraId="1E9A66F2" w14:textId="77777777" w:rsidTr="00C81B0F">
        <w:trPr>
          <w:trHeight w:val="411"/>
        </w:trPr>
        <w:tc>
          <w:tcPr>
            <w:tcW w:w="2690" w:type="dxa"/>
            <w:vMerge w:val="restart"/>
          </w:tcPr>
          <w:p w14:paraId="1B0AC0F8" w14:textId="77777777" w:rsidR="00D373FA" w:rsidRPr="00B35928" w:rsidRDefault="00D373FA">
            <w:pPr>
              <w:pStyle w:val="DJCSbody-landscape"/>
              <w:spacing w:before="60" w:after="60"/>
              <w:rPr>
                <w:b/>
                <w:bCs/>
                <w:sz w:val="21"/>
                <w:szCs w:val="21"/>
              </w:rPr>
            </w:pPr>
            <w:r w:rsidRPr="00B35928">
              <w:rPr>
                <w:b/>
                <w:bCs/>
                <w:sz w:val="21"/>
                <w:szCs w:val="21"/>
              </w:rPr>
              <w:t>Fiscal Sustainability</w:t>
            </w:r>
          </w:p>
          <w:p w14:paraId="06999D46" w14:textId="77777777" w:rsidR="00D373FA" w:rsidRPr="00B35928" w:rsidRDefault="00D373FA">
            <w:pPr>
              <w:pStyle w:val="DJCSbody-landscape"/>
              <w:spacing w:before="60" w:after="60"/>
              <w:rPr>
                <w:b/>
                <w:bCs/>
                <w:sz w:val="21"/>
                <w:szCs w:val="21"/>
              </w:rPr>
            </w:pPr>
          </w:p>
        </w:tc>
        <w:tc>
          <w:tcPr>
            <w:tcW w:w="6802" w:type="dxa"/>
          </w:tcPr>
          <w:p w14:paraId="4E333C3A" w14:textId="52933DA2" w:rsidR="00D373FA" w:rsidRPr="00A7785F" w:rsidRDefault="00D373FA">
            <w:pPr>
              <w:pStyle w:val="DJCSbody-landscape"/>
              <w:spacing w:before="60" w:after="60"/>
              <w:rPr>
                <w:sz w:val="21"/>
                <w:szCs w:val="21"/>
              </w:rPr>
            </w:pPr>
            <w:r>
              <w:rPr>
                <w:sz w:val="21"/>
                <w:szCs w:val="21"/>
              </w:rPr>
              <w:t xml:space="preserve">1 – </w:t>
            </w:r>
            <w:r w:rsidRPr="00A7785F">
              <w:rPr>
                <w:sz w:val="21"/>
                <w:szCs w:val="21"/>
              </w:rPr>
              <w:t>Agencies</w:t>
            </w:r>
            <w:r>
              <w:rPr>
                <w:sz w:val="21"/>
                <w:szCs w:val="21"/>
              </w:rPr>
              <w:t xml:space="preserve"> </w:t>
            </w:r>
            <w:r w:rsidRPr="00A7785F">
              <w:rPr>
                <w:sz w:val="21"/>
                <w:szCs w:val="21"/>
              </w:rPr>
              <w:t>should aim to recover the full costs of service provision to promote efficient consumption.</w:t>
            </w:r>
          </w:p>
        </w:tc>
      </w:tr>
      <w:tr w:rsidR="00D373FA" w:rsidRPr="00A7785F" w14:paraId="52ED018B" w14:textId="77777777" w:rsidTr="00C81B0F">
        <w:trPr>
          <w:trHeight w:val="411"/>
        </w:trPr>
        <w:tc>
          <w:tcPr>
            <w:tcW w:w="2690" w:type="dxa"/>
            <w:vMerge/>
          </w:tcPr>
          <w:p w14:paraId="246C1EA5" w14:textId="77777777" w:rsidR="00D373FA" w:rsidRPr="00B35928" w:rsidRDefault="00D373FA">
            <w:pPr>
              <w:pStyle w:val="DJCSbody-landscape"/>
              <w:spacing w:before="60" w:after="60"/>
              <w:rPr>
                <w:b/>
                <w:bCs/>
                <w:sz w:val="21"/>
                <w:szCs w:val="21"/>
              </w:rPr>
            </w:pPr>
          </w:p>
        </w:tc>
        <w:tc>
          <w:tcPr>
            <w:tcW w:w="6802" w:type="dxa"/>
          </w:tcPr>
          <w:p w14:paraId="62E0536A" w14:textId="61E537AA" w:rsidR="00D373FA" w:rsidRPr="00A7785F" w:rsidRDefault="00D373FA">
            <w:pPr>
              <w:pStyle w:val="DJCSbody-landscape"/>
              <w:spacing w:before="60" w:after="60"/>
              <w:rPr>
                <w:sz w:val="21"/>
                <w:szCs w:val="21"/>
              </w:rPr>
            </w:pPr>
            <w:r>
              <w:rPr>
                <w:sz w:val="21"/>
                <w:szCs w:val="21"/>
              </w:rPr>
              <w:t xml:space="preserve">7 – </w:t>
            </w:r>
            <w:r w:rsidRPr="00A7785F">
              <w:rPr>
                <w:sz w:val="21"/>
                <w:szCs w:val="21"/>
              </w:rPr>
              <w:t>The public should share in the value generated by pricing based on user differentiation</w:t>
            </w:r>
            <w:r w:rsidR="00980C87">
              <w:rPr>
                <w:sz w:val="21"/>
                <w:szCs w:val="21"/>
              </w:rPr>
              <w:t>.</w:t>
            </w:r>
            <w:r w:rsidRPr="00A7785F" w:rsidDel="00DA7689">
              <w:rPr>
                <w:sz w:val="21"/>
                <w:szCs w:val="21"/>
              </w:rPr>
              <w:t xml:space="preserve"> </w:t>
            </w:r>
          </w:p>
        </w:tc>
      </w:tr>
      <w:tr w:rsidR="00D373FA" w:rsidRPr="00A7785F" w14:paraId="45E8760E" w14:textId="77777777" w:rsidTr="00C81B0F">
        <w:trPr>
          <w:trHeight w:val="310"/>
        </w:trPr>
        <w:tc>
          <w:tcPr>
            <w:tcW w:w="2690" w:type="dxa"/>
            <w:vMerge/>
          </w:tcPr>
          <w:p w14:paraId="69610AE2" w14:textId="77777777" w:rsidR="00D373FA" w:rsidRPr="00B35928" w:rsidRDefault="00D373FA">
            <w:pPr>
              <w:pStyle w:val="DJCSbody-landscape"/>
              <w:spacing w:before="60" w:after="60"/>
              <w:rPr>
                <w:b/>
                <w:bCs/>
                <w:sz w:val="21"/>
                <w:szCs w:val="21"/>
                <w:highlight w:val="yellow"/>
              </w:rPr>
            </w:pPr>
          </w:p>
        </w:tc>
        <w:tc>
          <w:tcPr>
            <w:tcW w:w="6802" w:type="dxa"/>
          </w:tcPr>
          <w:p w14:paraId="4AEB74B1" w14:textId="1A4F89C7" w:rsidR="00D373FA" w:rsidRPr="00A7785F" w:rsidRDefault="00D373FA">
            <w:pPr>
              <w:pStyle w:val="DJCSbody-landscape"/>
              <w:spacing w:before="60" w:after="60"/>
              <w:rPr>
                <w:sz w:val="21"/>
                <w:szCs w:val="21"/>
              </w:rPr>
            </w:pPr>
            <w:r>
              <w:rPr>
                <w:sz w:val="21"/>
                <w:szCs w:val="21"/>
              </w:rPr>
              <w:t xml:space="preserve">8 – </w:t>
            </w:r>
            <w:r w:rsidRPr="00A7785F">
              <w:rPr>
                <w:sz w:val="21"/>
                <w:szCs w:val="21"/>
              </w:rPr>
              <w:t>Pricing should support positive behaviours</w:t>
            </w:r>
            <w:r w:rsidR="00980C87">
              <w:rPr>
                <w:sz w:val="21"/>
                <w:szCs w:val="21"/>
              </w:rPr>
              <w:t>.</w:t>
            </w:r>
          </w:p>
        </w:tc>
      </w:tr>
      <w:tr w:rsidR="00D373FA" w14:paraId="08950A30" w14:textId="77777777" w:rsidTr="00C81B0F">
        <w:trPr>
          <w:trHeight w:val="310"/>
        </w:trPr>
        <w:tc>
          <w:tcPr>
            <w:tcW w:w="2690" w:type="dxa"/>
            <w:vMerge/>
          </w:tcPr>
          <w:p w14:paraId="0205C311" w14:textId="77777777" w:rsidR="00D373FA" w:rsidRPr="00B35928" w:rsidRDefault="00D373FA">
            <w:pPr>
              <w:pStyle w:val="DJCSbody-landscape"/>
              <w:spacing w:before="60" w:after="60"/>
              <w:rPr>
                <w:b/>
                <w:bCs/>
                <w:sz w:val="21"/>
                <w:szCs w:val="21"/>
                <w:highlight w:val="yellow"/>
              </w:rPr>
            </w:pPr>
          </w:p>
        </w:tc>
        <w:tc>
          <w:tcPr>
            <w:tcW w:w="6802" w:type="dxa"/>
          </w:tcPr>
          <w:p w14:paraId="32191DB2" w14:textId="731E0A07" w:rsidR="00D373FA" w:rsidRDefault="00D373FA">
            <w:pPr>
              <w:pStyle w:val="DJCSbody-landscape"/>
              <w:spacing w:before="60" w:after="60"/>
              <w:rPr>
                <w:sz w:val="21"/>
                <w:szCs w:val="21"/>
              </w:rPr>
            </w:pPr>
            <w:r>
              <w:rPr>
                <w:sz w:val="21"/>
                <w:szCs w:val="21"/>
              </w:rPr>
              <w:t xml:space="preserve">9 – </w:t>
            </w:r>
            <w:r w:rsidRPr="00A7785F">
              <w:rPr>
                <w:sz w:val="21"/>
                <w:szCs w:val="21"/>
              </w:rPr>
              <w:t>Pricing should ensure sustainable usage of public services and reflect the value of natural resources</w:t>
            </w:r>
            <w:r w:rsidR="00980C87">
              <w:rPr>
                <w:sz w:val="21"/>
                <w:szCs w:val="21"/>
              </w:rPr>
              <w:t>.</w:t>
            </w:r>
          </w:p>
        </w:tc>
      </w:tr>
      <w:tr w:rsidR="00D373FA" w:rsidRPr="00EC162D" w14:paraId="01CB5112" w14:textId="77777777" w:rsidTr="00C81B0F">
        <w:trPr>
          <w:trHeight w:val="483"/>
        </w:trPr>
        <w:tc>
          <w:tcPr>
            <w:tcW w:w="2690" w:type="dxa"/>
          </w:tcPr>
          <w:p w14:paraId="58B499B8" w14:textId="77777777" w:rsidR="00D373FA" w:rsidRPr="00B35928" w:rsidRDefault="00D373FA">
            <w:pPr>
              <w:pStyle w:val="DJCSbody-landscape"/>
              <w:spacing w:before="60" w:after="60"/>
              <w:rPr>
                <w:b/>
                <w:bCs/>
                <w:sz w:val="21"/>
                <w:szCs w:val="21"/>
                <w:highlight w:val="yellow"/>
              </w:rPr>
            </w:pPr>
            <w:r>
              <w:rPr>
                <w:b/>
                <w:bCs/>
                <w:sz w:val="21"/>
                <w:szCs w:val="21"/>
              </w:rPr>
              <w:t>Equity</w:t>
            </w:r>
          </w:p>
        </w:tc>
        <w:tc>
          <w:tcPr>
            <w:tcW w:w="6802" w:type="dxa"/>
          </w:tcPr>
          <w:p w14:paraId="237A1039" w14:textId="423BDC36" w:rsidR="00D373FA" w:rsidRDefault="00D373FA">
            <w:pPr>
              <w:pStyle w:val="DJCSbody-landscape"/>
              <w:spacing w:before="60" w:after="60"/>
              <w:rPr>
                <w:sz w:val="21"/>
                <w:szCs w:val="21"/>
              </w:rPr>
            </w:pPr>
            <w:r>
              <w:rPr>
                <w:sz w:val="21"/>
                <w:szCs w:val="21"/>
              </w:rPr>
              <w:t xml:space="preserve">5 – </w:t>
            </w:r>
            <w:r w:rsidRPr="00A7785F">
              <w:rPr>
                <w:sz w:val="21"/>
                <w:szCs w:val="21"/>
              </w:rPr>
              <w:t>The price of services should not limit access to those with a lower ability to pay</w:t>
            </w:r>
            <w:r w:rsidR="00980C87">
              <w:rPr>
                <w:sz w:val="21"/>
                <w:szCs w:val="21"/>
              </w:rPr>
              <w:t>.</w:t>
            </w:r>
          </w:p>
          <w:p w14:paraId="1CCD0F29" w14:textId="59FE7A11" w:rsidR="00D373FA" w:rsidRPr="00EC162D" w:rsidRDefault="00D373FA">
            <w:pPr>
              <w:pStyle w:val="DJCSbody-landscape"/>
              <w:spacing w:before="60" w:after="60"/>
              <w:rPr>
                <w:sz w:val="21"/>
                <w:szCs w:val="21"/>
              </w:rPr>
            </w:pPr>
            <w:r w:rsidRPr="00BC387D">
              <w:rPr>
                <w:sz w:val="21"/>
                <w:szCs w:val="21"/>
              </w:rPr>
              <w:t>7 – The public should share in the value generated by pricing based on user differentiation</w:t>
            </w:r>
            <w:r w:rsidR="00980C87">
              <w:rPr>
                <w:sz w:val="21"/>
                <w:szCs w:val="21"/>
              </w:rPr>
              <w:t>.</w:t>
            </w:r>
          </w:p>
        </w:tc>
      </w:tr>
      <w:tr w:rsidR="00D373FA" w:rsidRPr="00A7785F" w14:paraId="3FFCD2DF" w14:textId="77777777" w:rsidTr="00C81B0F">
        <w:trPr>
          <w:trHeight w:val="571"/>
        </w:trPr>
        <w:tc>
          <w:tcPr>
            <w:tcW w:w="2690" w:type="dxa"/>
          </w:tcPr>
          <w:p w14:paraId="6FF1C35A" w14:textId="77777777" w:rsidR="00D373FA" w:rsidRPr="00B35928" w:rsidRDefault="00D373FA">
            <w:pPr>
              <w:pStyle w:val="DJCSbody-landscape"/>
              <w:spacing w:before="60" w:after="60"/>
              <w:rPr>
                <w:b/>
                <w:bCs/>
                <w:sz w:val="21"/>
                <w:szCs w:val="21"/>
              </w:rPr>
            </w:pPr>
            <w:r>
              <w:rPr>
                <w:b/>
                <w:bCs/>
                <w:sz w:val="21"/>
                <w:szCs w:val="21"/>
              </w:rPr>
              <w:t>Efficiency</w:t>
            </w:r>
          </w:p>
        </w:tc>
        <w:tc>
          <w:tcPr>
            <w:tcW w:w="6802" w:type="dxa"/>
          </w:tcPr>
          <w:p w14:paraId="28E04D28" w14:textId="77777777" w:rsidR="00D373FA" w:rsidRPr="00A7785F" w:rsidRDefault="00D373FA">
            <w:pPr>
              <w:pStyle w:val="DJCSbody-landscape"/>
              <w:spacing w:before="60" w:after="60"/>
              <w:rPr>
                <w:sz w:val="21"/>
                <w:szCs w:val="21"/>
              </w:rPr>
            </w:pPr>
            <w:r>
              <w:rPr>
                <w:sz w:val="21"/>
                <w:szCs w:val="21"/>
              </w:rPr>
              <w:t>2 – The cost of service provision should be borne by those who benefit from the service.</w:t>
            </w:r>
          </w:p>
        </w:tc>
      </w:tr>
      <w:tr w:rsidR="00D373FA" w:rsidRPr="00A7785F" w14:paraId="60F2CE82" w14:textId="77777777" w:rsidTr="00C81B0F">
        <w:trPr>
          <w:trHeight w:val="426"/>
        </w:trPr>
        <w:tc>
          <w:tcPr>
            <w:tcW w:w="2690" w:type="dxa"/>
          </w:tcPr>
          <w:p w14:paraId="61327898" w14:textId="77777777" w:rsidR="00D373FA" w:rsidRPr="00B35928" w:rsidRDefault="00D373FA">
            <w:pPr>
              <w:pStyle w:val="DJCSbody-landscape"/>
              <w:spacing w:before="60" w:after="60"/>
              <w:rPr>
                <w:b/>
                <w:bCs/>
                <w:sz w:val="21"/>
                <w:szCs w:val="21"/>
              </w:rPr>
            </w:pPr>
            <w:r w:rsidRPr="00B35928">
              <w:rPr>
                <w:b/>
                <w:bCs/>
                <w:sz w:val="21"/>
                <w:szCs w:val="21"/>
              </w:rPr>
              <w:t>Simplicity</w:t>
            </w:r>
            <w:r>
              <w:rPr>
                <w:b/>
                <w:bCs/>
                <w:sz w:val="21"/>
                <w:szCs w:val="21"/>
              </w:rPr>
              <w:t xml:space="preserve"> </w:t>
            </w:r>
          </w:p>
        </w:tc>
        <w:tc>
          <w:tcPr>
            <w:tcW w:w="6802" w:type="dxa"/>
          </w:tcPr>
          <w:p w14:paraId="68495946" w14:textId="085C45BC" w:rsidR="00D373FA" w:rsidRPr="00A7785F" w:rsidRDefault="00D373FA">
            <w:pPr>
              <w:pStyle w:val="DJCSbody-landscape"/>
              <w:spacing w:before="60" w:after="60"/>
              <w:rPr>
                <w:sz w:val="21"/>
                <w:szCs w:val="21"/>
              </w:rPr>
            </w:pPr>
            <w:r>
              <w:rPr>
                <w:sz w:val="21"/>
                <w:szCs w:val="21"/>
              </w:rPr>
              <w:t xml:space="preserve">11 – </w:t>
            </w:r>
            <w:r w:rsidRPr="00A7785F">
              <w:rPr>
                <w:sz w:val="21"/>
                <w:szCs w:val="21"/>
              </w:rPr>
              <w:t>Pricing structures should be easy to understand and simple to administer</w:t>
            </w:r>
            <w:r w:rsidR="00980C87">
              <w:rPr>
                <w:sz w:val="21"/>
                <w:szCs w:val="21"/>
              </w:rPr>
              <w:t>.</w:t>
            </w:r>
          </w:p>
        </w:tc>
      </w:tr>
    </w:tbl>
    <w:p w14:paraId="4B0B9E17" w14:textId="1914501E" w:rsidR="006F3CC0" w:rsidRDefault="006F3CC0" w:rsidP="00744DA2">
      <w:pPr>
        <w:pStyle w:val="DJCSbody"/>
      </w:pPr>
    </w:p>
    <w:p w14:paraId="3CDF6760" w14:textId="792ACC6F" w:rsidR="006F3CC0" w:rsidRDefault="006F3CC0" w:rsidP="00FA0CF5">
      <w:pPr>
        <w:pStyle w:val="Heading3"/>
        <w:ind w:left="709" w:hanging="680"/>
      </w:pPr>
      <w:bookmarkStart w:id="11" w:name="_Toc207716165"/>
      <w:bookmarkStart w:id="12" w:name="_Toc207716166"/>
      <w:bookmarkStart w:id="13" w:name="_Toc207716197"/>
      <w:bookmarkStart w:id="14" w:name="_Toc207716222"/>
      <w:bookmarkStart w:id="15" w:name="_Toc207716256"/>
      <w:bookmarkStart w:id="16" w:name="_Toc207716277"/>
      <w:bookmarkStart w:id="17" w:name="_Toc216179667"/>
      <w:bookmarkEnd w:id="11"/>
      <w:bookmarkEnd w:id="12"/>
      <w:bookmarkEnd w:id="13"/>
      <w:bookmarkEnd w:id="14"/>
      <w:bookmarkEnd w:id="15"/>
      <w:bookmarkEnd w:id="16"/>
      <w:r w:rsidRPr="006F3CC0">
        <w:t>Options</w:t>
      </w:r>
      <w:r w:rsidR="00BA66C3">
        <w:t xml:space="preserve"> and </w:t>
      </w:r>
      <w:r w:rsidR="00D40FB3">
        <w:t>a</w:t>
      </w:r>
      <w:r w:rsidR="00BA66C3">
        <w:t>na</w:t>
      </w:r>
      <w:r w:rsidR="00D40FB3">
        <w:t>lysis</w:t>
      </w:r>
      <w:bookmarkEnd w:id="17"/>
    </w:p>
    <w:p w14:paraId="10BD8A11" w14:textId="0C9F080B" w:rsidR="006F3CC0" w:rsidRDefault="00744DA2" w:rsidP="00FA0CF5">
      <w:pPr>
        <w:pStyle w:val="DJCSbodyafterbullets"/>
        <w:ind w:left="720"/>
      </w:pPr>
      <w:r w:rsidRPr="00744DA2">
        <w:t>DJCS identified three feasible options to re</w:t>
      </w:r>
      <w:r w:rsidR="00F579FF">
        <w:t>make</w:t>
      </w:r>
      <w:r w:rsidRPr="00744DA2">
        <w:t xml:space="preserve"> the fees charged by </w:t>
      </w:r>
      <w:r>
        <w:t>VCAT</w:t>
      </w:r>
      <w:r w:rsidRPr="00744DA2">
        <w:t xml:space="preserve"> to meet the objectives </w:t>
      </w:r>
      <w:r w:rsidR="00CA48B0">
        <w:t>described above</w:t>
      </w:r>
      <w:r w:rsidR="00365294">
        <w:t>. The options are detailed below</w:t>
      </w:r>
      <w:r w:rsidR="00293809">
        <w:t>.</w:t>
      </w:r>
    </w:p>
    <w:p w14:paraId="7FEE8EE0" w14:textId="02B44C91" w:rsidR="00FB226C" w:rsidRDefault="00FB226C" w:rsidP="00FB226C">
      <w:pPr>
        <w:pStyle w:val="DJCSbody"/>
        <w:ind w:left="709"/>
      </w:pPr>
      <w:bookmarkStart w:id="18" w:name="_Hlk208176982"/>
      <w:r w:rsidRPr="00E64538">
        <w:rPr>
          <w:b/>
          <w:bCs/>
        </w:rPr>
        <w:t>Base Case</w:t>
      </w:r>
      <w:r>
        <w:t xml:space="preserve"> –</w:t>
      </w:r>
      <w:r w:rsidR="00822FE1">
        <w:t>the</w:t>
      </w:r>
      <w:r w:rsidR="00822FE1" w:rsidRPr="00822FE1">
        <w:t xml:space="preserve"> </w:t>
      </w:r>
      <w:r w:rsidR="00822FE1">
        <w:t>Re</w:t>
      </w:r>
      <w:r w:rsidR="00822FE1" w:rsidRPr="00822FE1">
        <w:t xml:space="preserve">gulations will not be remade and VCAT will be unable to </w:t>
      </w:r>
      <w:r w:rsidR="008D3CFA" w:rsidRPr="00822FE1">
        <w:t>charg</w:t>
      </w:r>
      <w:r w:rsidR="008D3CFA">
        <w:t>e existing</w:t>
      </w:r>
      <w:r>
        <w:t xml:space="preserve"> fees </w:t>
      </w:r>
      <w:r w:rsidR="005C6E19">
        <w:t>from</w:t>
      </w:r>
      <w:r>
        <w:t xml:space="preserve"> </w:t>
      </w:r>
      <w:r w:rsidR="00F251B8">
        <w:t>28</w:t>
      </w:r>
      <w:r>
        <w:t xml:space="preserve"> June 2026. </w:t>
      </w:r>
    </w:p>
    <w:p w14:paraId="7DEC199A" w14:textId="66FC7ACE" w:rsidR="00FB226C" w:rsidRDefault="00FB226C" w:rsidP="00FB226C">
      <w:pPr>
        <w:pStyle w:val="DJCSbody"/>
        <w:ind w:left="709"/>
      </w:pPr>
      <w:r w:rsidRPr="00E64538">
        <w:rPr>
          <w:b/>
          <w:bCs/>
        </w:rPr>
        <w:t>Option 1</w:t>
      </w:r>
      <w:r>
        <w:rPr>
          <w:b/>
          <w:bCs/>
        </w:rPr>
        <w:t>: Continue with Current Fees and Structure</w:t>
      </w:r>
      <w:r>
        <w:t xml:space="preserve"> – the existing </w:t>
      </w:r>
      <w:r w:rsidR="00293809">
        <w:t>Regulations</w:t>
      </w:r>
      <w:r>
        <w:t xml:space="preserve"> will be remade as currently in place</w:t>
      </w:r>
      <w:r w:rsidR="00ED7B67">
        <w:t xml:space="preserve"> with a </w:t>
      </w:r>
      <w:r w:rsidR="00C72FB4">
        <w:t>6</w:t>
      </w:r>
      <w:r w:rsidR="00ED7B67">
        <w:t>% level of fee cost recovery</w:t>
      </w:r>
      <w:r>
        <w:t xml:space="preserve">. VCAT will be able to continue to charge fees according to the existing structure and fee units. Existing fee relief measures will </w:t>
      </w:r>
      <w:r w:rsidR="004044AF">
        <w:t>continue,</w:t>
      </w:r>
      <w:r>
        <w:t xml:space="preserve"> and fee payer categories will be unchanged. </w:t>
      </w:r>
    </w:p>
    <w:p w14:paraId="772F4367" w14:textId="42A8BDDC" w:rsidR="00FB226C" w:rsidRDefault="00FB226C" w:rsidP="00FB226C">
      <w:pPr>
        <w:pStyle w:val="DJCSbodyafterbullets"/>
        <w:ind w:left="720"/>
      </w:pPr>
      <w:r>
        <w:rPr>
          <w:b/>
          <w:bCs/>
        </w:rPr>
        <w:t xml:space="preserve">Option 2: </w:t>
      </w:r>
      <w:r w:rsidR="00FB59E6">
        <w:rPr>
          <w:b/>
          <w:bCs/>
        </w:rPr>
        <w:t xml:space="preserve">Introduce a </w:t>
      </w:r>
      <w:r>
        <w:rPr>
          <w:b/>
          <w:bCs/>
        </w:rPr>
        <w:t xml:space="preserve">New Fee Structure </w:t>
      </w:r>
      <w:r>
        <w:t xml:space="preserve">– maintains the same </w:t>
      </w:r>
      <w:r w:rsidR="00363A99">
        <w:t xml:space="preserve">fee </w:t>
      </w:r>
      <w:r w:rsidR="002918A6">
        <w:t>cost recovery level</w:t>
      </w:r>
      <w:r>
        <w:t xml:space="preserve"> as Option 1 </w:t>
      </w:r>
      <w:r w:rsidR="007C2A38">
        <w:t>(</w:t>
      </w:r>
      <w:r w:rsidR="00C72FB4">
        <w:t>6</w:t>
      </w:r>
      <w:r w:rsidR="007C2A38">
        <w:t xml:space="preserve">%) </w:t>
      </w:r>
      <w:r>
        <w:t>but in</w:t>
      </w:r>
      <w:r w:rsidR="001D1CA3">
        <w:t xml:space="preserve">troduces some changes to the fee structure </w:t>
      </w:r>
      <w:r>
        <w:t>as outlined</w:t>
      </w:r>
      <w:r w:rsidR="00E42842">
        <w:t xml:space="preserve"> below</w:t>
      </w:r>
      <w:r w:rsidR="00481AFB">
        <w:t xml:space="preserve">. </w:t>
      </w:r>
    </w:p>
    <w:p w14:paraId="39C51BE6" w14:textId="26A7ECE3" w:rsidR="006B2625" w:rsidRDefault="006B2625" w:rsidP="006B2625">
      <w:pPr>
        <w:pStyle w:val="DJCSbody"/>
        <w:ind w:left="709"/>
      </w:pPr>
      <w:r>
        <w:t>The new fee structure includes:</w:t>
      </w:r>
    </w:p>
    <w:p w14:paraId="59CC16CD" w14:textId="02887566" w:rsidR="006B2625" w:rsidRDefault="006B2625" w:rsidP="003C4FE7">
      <w:pPr>
        <w:pStyle w:val="DJCSbodyafterbullets"/>
        <w:numPr>
          <w:ilvl w:val="0"/>
          <w:numId w:val="23"/>
        </w:numPr>
      </w:pPr>
      <w:r>
        <w:t>Expand</w:t>
      </w:r>
      <w:r w:rsidR="004D2DAB">
        <w:t>ed</w:t>
      </w:r>
      <w:r>
        <w:t xml:space="preserve"> waivers to include a review of applications </w:t>
      </w:r>
      <w:r w:rsidR="00C40835">
        <w:t>by victims of crime</w:t>
      </w:r>
      <w:r>
        <w:t xml:space="preserve"> to the Financial Assistance Scheme </w:t>
      </w:r>
      <w:r w:rsidR="00B33D64">
        <w:t>(FAS)</w:t>
      </w:r>
      <w:r w:rsidR="00FA52AD">
        <w:t>, so victims of crime do not face additional barriers.</w:t>
      </w:r>
    </w:p>
    <w:p w14:paraId="0593A4EC" w14:textId="1B68DE0E" w:rsidR="006B2625" w:rsidRDefault="0066366F" w:rsidP="003C4FE7">
      <w:pPr>
        <w:pStyle w:val="DJCSbodyafterbullets"/>
        <w:numPr>
          <w:ilvl w:val="0"/>
          <w:numId w:val="23"/>
        </w:numPr>
      </w:pPr>
      <w:r>
        <w:lastRenderedPageBreak/>
        <w:t>An e</w:t>
      </w:r>
      <w:r w:rsidR="006B2625">
        <w:t>xpand</w:t>
      </w:r>
      <w:r w:rsidR="00E02792">
        <w:t>ed</w:t>
      </w:r>
      <w:r w:rsidR="006B2625">
        <w:t xml:space="preserve"> concession fee payer category to include pensioner concession card holders and some veteran gold card holders</w:t>
      </w:r>
      <w:r w:rsidR="00064303">
        <w:t>, to better align with Commonwealth policies.</w:t>
      </w:r>
    </w:p>
    <w:p w14:paraId="0C2A9B2C" w14:textId="56945E9B" w:rsidR="006B2625" w:rsidRDefault="006B2625" w:rsidP="003C4FE7">
      <w:pPr>
        <w:pStyle w:val="DJCSbodyafterbullets"/>
        <w:numPr>
          <w:ilvl w:val="0"/>
          <w:numId w:val="23"/>
        </w:numPr>
      </w:pPr>
      <w:r>
        <w:t>Increas</w:t>
      </w:r>
      <w:r w:rsidR="00E02792">
        <w:t>ed</w:t>
      </w:r>
      <w:r>
        <w:t xml:space="preserve"> annual turnover threshold for businesses in the standard fee payer category from less than $200,000 </w:t>
      </w:r>
      <w:r w:rsidR="008F67A8">
        <w:t>excl. GST</w:t>
      </w:r>
      <w:r>
        <w:t xml:space="preserve"> to less than $300,000</w:t>
      </w:r>
      <w:r w:rsidR="008F67A8">
        <w:t xml:space="preserve"> excl. GST</w:t>
      </w:r>
      <w:r w:rsidR="003D4CCA">
        <w:t xml:space="preserve">, to </w:t>
      </w:r>
      <w:r w:rsidR="00817143">
        <w:t>capture an increased number of small businesses and better support them</w:t>
      </w:r>
      <w:r w:rsidR="003D4CCA">
        <w:t>.</w:t>
      </w:r>
    </w:p>
    <w:p w14:paraId="598FAB9E" w14:textId="07141B88" w:rsidR="006B2625" w:rsidRDefault="006B2625" w:rsidP="003C4FE7">
      <w:pPr>
        <w:pStyle w:val="DJCSbodyafterbullets"/>
        <w:numPr>
          <w:ilvl w:val="0"/>
          <w:numId w:val="23"/>
        </w:numPr>
      </w:pPr>
      <w:r>
        <w:t>Chang</w:t>
      </w:r>
      <w:r w:rsidR="00E02792">
        <w:t>es to</w:t>
      </w:r>
      <w:r>
        <w:t xml:space="preserve"> the </w:t>
      </w:r>
      <w:r w:rsidR="000F4BED">
        <w:t>range of fees applied between</w:t>
      </w:r>
      <w:r w:rsidR="001976F5">
        <w:t xml:space="preserve"> the three</w:t>
      </w:r>
      <w:r w:rsidR="000F4BED">
        <w:t xml:space="preserve"> </w:t>
      </w:r>
      <w:r w:rsidR="00D06422">
        <w:t xml:space="preserve">different </w:t>
      </w:r>
      <w:r w:rsidR="00853C54">
        <w:t xml:space="preserve">payer </w:t>
      </w:r>
      <w:r w:rsidR="00D06422">
        <w:t xml:space="preserve">categories </w:t>
      </w:r>
      <w:r w:rsidR="001976F5" w:rsidRPr="001976F5">
        <w:t>(concession, standard and</w:t>
      </w:r>
      <w:r w:rsidR="00853C54">
        <w:t xml:space="preserve"> corporate)</w:t>
      </w:r>
      <w:r w:rsidR="001976F5" w:rsidRPr="001976F5">
        <w:t xml:space="preserve"> </w:t>
      </w:r>
      <w:r w:rsidR="00D06422">
        <w:t xml:space="preserve">to better reflect </w:t>
      </w:r>
      <w:r w:rsidR="00F810CA">
        <w:t>people</w:t>
      </w:r>
      <w:r w:rsidR="00630B45">
        <w:t>’</w:t>
      </w:r>
      <w:r w:rsidR="00F810CA">
        <w:t xml:space="preserve">s ability to pay and </w:t>
      </w:r>
      <w:r w:rsidR="00B00A3A">
        <w:t xml:space="preserve">the </w:t>
      </w:r>
      <w:r w:rsidR="00F810CA">
        <w:t xml:space="preserve">private benefit </w:t>
      </w:r>
      <w:r w:rsidR="007C39D2">
        <w:t>available</w:t>
      </w:r>
      <w:r w:rsidR="00F810CA">
        <w:t xml:space="preserve"> from outcomes</w:t>
      </w:r>
      <w:r w:rsidR="00853C54">
        <w:t>.</w:t>
      </w:r>
      <w:r>
        <w:t xml:space="preserve"> </w:t>
      </w:r>
    </w:p>
    <w:p w14:paraId="77B7B4EC" w14:textId="3D8E32BC" w:rsidR="006B2625" w:rsidRDefault="00E02792" w:rsidP="003C4FE7">
      <w:pPr>
        <w:pStyle w:val="DJCSbodyafterbullets"/>
        <w:numPr>
          <w:ilvl w:val="0"/>
          <w:numId w:val="23"/>
        </w:numPr>
      </w:pPr>
      <w:r>
        <w:t>New</w:t>
      </w:r>
      <w:r w:rsidR="006B2625">
        <w:t xml:space="preserve"> separate fee</w:t>
      </w:r>
      <w:r w:rsidR="00710205">
        <w:t>s</w:t>
      </w:r>
      <w:r w:rsidR="006B2625">
        <w:t xml:space="preserve"> for compulsory conferencing</w:t>
      </w:r>
      <w:r w:rsidR="00710205">
        <w:t xml:space="preserve"> and mediations</w:t>
      </w:r>
      <w:r w:rsidR="001772DB">
        <w:t xml:space="preserve"> </w:t>
      </w:r>
      <w:r w:rsidR="006B2625">
        <w:t>instead of block funding as part of the application fee.</w:t>
      </w:r>
    </w:p>
    <w:p w14:paraId="3836E10A" w14:textId="2E9772F0" w:rsidR="00480B99" w:rsidRDefault="00480B99" w:rsidP="003C4FE7">
      <w:pPr>
        <w:pStyle w:val="DJCSbodyafterbullets"/>
        <w:numPr>
          <w:ilvl w:val="0"/>
          <w:numId w:val="23"/>
        </w:numPr>
      </w:pPr>
      <w:r>
        <w:t>Amend</w:t>
      </w:r>
      <w:r w:rsidR="00C642DE">
        <w:t>ed</w:t>
      </w:r>
      <w:r>
        <w:t xml:space="preserve"> </w:t>
      </w:r>
      <w:r w:rsidR="00664FF8">
        <w:t>fee</w:t>
      </w:r>
      <w:r w:rsidR="00C642DE">
        <w:t>s</w:t>
      </w:r>
      <w:r w:rsidR="00664FF8">
        <w:t xml:space="preserve"> for injunctions to </w:t>
      </w:r>
      <w:r w:rsidR="00777FA5">
        <w:t>include</w:t>
      </w:r>
      <w:r w:rsidR="0087290C">
        <w:t xml:space="preserve"> non-urgent injunctions and stays</w:t>
      </w:r>
      <w:r w:rsidR="00D85B07">
        <w:t>.</w:t>
      </w:r>
    </w:p>
    <w:p w14:paraId="12AB9FF5" w14:textId="03B6FCCE" w:rsidR="00D85B07" w:rsidRDefault="00D85B07" w:rsidP="003C4FE7">
      <w:pPr>
        <w:pStyle w:val="DJCSbodyafterbullets"/>
        <w:numPr>
          <w:ilvl w:val="0"/>
          <w:numId w:val="23"/>
        </w:numPr>
      </w:pPr>
      <w:r>
        <w:t>Amend</w:t>
      </w:r>
      <w:r w:rsidR="00C642DE">
        <w:t>ed</w:t>
      </w:r>
      <w:r>
        <w:t xml:space="preserve"> hearing fee</w:t>
      </w:r>
      <w:r w:rsidR="00B00A3A">
        <w:t>s</w:t>
      </w:r>
      <w:r w:rsidR="00D30EFC">
        <w:t xml:space="preserve"> </w:t>
      </w:r>
      <w:r w:rsidR="00D84128">
        <w:t>so that fees can be collected for directions hearings and practice day hearings.</w:t>
      </w:r>
    </w:p>
    <w:p w14:paraId="112D2E7E" w14:textId="14FE52A7" w:rsidR="006B2625" w:rsidRDefault="006B2625" w:rsidP="003C4FE7">
      <w:pPr>
        <w:pStyle w:val="DJCSbodyafterbullets"/>
        <w:numPr>
          <w:ilvl w:val="0"/>
          <w:numId w:val="23"/>
        </w:numPr>
      </w:pPr>
      <w:r>
        <w:t>Remov</w:t>
      </w:r>
      <w:r w:rsidR="002B5A45">
        <w:t>al of</w:t>
      </w:r>
      <w:r>
        <w:t xml:space="preserve"> the transfer fee for transferring applications from other jurisdictions.</w:t>
      </w:r>
    </w:p>
    <w:p w14:paraId="0D5D4A47" w14:textId="3624FD0A" w:rsidR="006B2625" w:rsidRDefault="0012694B" w:rsidP="003C4FE7">
      <w:pPr>
        <w:pStyle w:val="DJCSbodyafterbullets"/>
        <w:numPr>
          <w:ilvl w:val="0"/>
          <w:numId w:val="23"/>
        </w:numPr>
      </w:pPr>
      <w:r>
        <w:t>O</w:t>
      </w:r>
      <w:r w:rsidR="006B2625">
        <w:t xml:space="preserve">ther </w:t>
      </w:r>
      <w:r w:rsidR="00AF6EE1">
        <w:t>administrative</w:t>
      </w:r>
      <w:r w:rsidR="006B2625">
        <w:t xml:space="preserve"> amendments to the </w:t>
      </w:r>
      <w:r w:rsidR="00214356">
        <w:t xml:space="preserve">Regulations </w:t>
      </w:r>
      <w:r w:rsidR="006B2625">
        <w:t>to ensure consistency with legislative and other operational changes.</w:t>
      </w:r>
    </w:p>
    <w:p w14:paraId="071E601E" w14:textId="785DCC0C" w:rsidR="003B4F9D" w:rsidRDefault="00FB226C" w:rsidP="008303F1">
      <w:pPr>
        <w:pStyle w:val="DJCSbody"/>
        <w:ind w:left="720"/>
      </w:pPr>
      <w:r w:rsidRPr="00C80F35">
        <w:rPr>
          <w:b/>
        </w:rPr>
        <w:t xml:space="preserve">Option 3: </w:t>
      </w:r>
      <w:r w:rsidR="00FB59E6">
        <w:rPr>
          <w:b/>
        </w:rPr>
        <w:t xml:space="preserve">Introduce a </w:t>
      </w:r>
      <w:r w:rsidRPr="00C80F35">
        <w:rPr>
          <w:b/>
        </w:rPr>
        <w:t>New Fee Structure</w:t>
      </w:r>
      <w:r>
        <w:t xml:space="preserve"> </w:t>
      </w:r>
      <w:r w:rsidRPr="008303F1">
        <w:rPr>
          <w:b/>
          <w:bCs/>
        </w:rPr>
        <w:t>and Increase</w:t>
      </w:r>
      <w:r w:rsidR="00EF61A5">
        <w:rPr>
          <w:b/>
          <w:bCs/>
        </w:rPr>
        <w:t>d Fee Rates</w:t>
      </w:r>
      <w:r>
        <w:t xml:space="preserve"> – introduces the new fee structure</w:t>
      </w:r>
      <w:r w:rsidR="006B2625">
        <w:t xml:space="preserve"> as detailed above</w:t>
      </w:r>
      <w:r>
        <w:t xml:space="preserve"> and increases </w:t>
      </w:r>
      <w:r w:rsidR="00A133C7" w:rsidRPr="003036D1">
        <w:t>total</w:t>
      </w:r>
      <w:r w:rsidR="00A133C7" w:rsidRPr="008415E1">
        <w:t xml:space="preserve"> </w:t>
      </w:r>
      <w:r w:rsidR="00F8778E" w:rsidRPr="008415E1">
        <w:t>fee</w:t>
      </w:r>
      <w:r w:rsidR="00F8778E">
        <w:t xml:space="preserve"> </w:t>
      </w:r>
      <w:r>
        <w:t xml:space="preserve">cost recovery to </w:t>
      </w:r>
      <w:r w:rsidR="00710205" w:rsidRPr="00F8778E">
        <w:t>1</w:t>
      </w:r>
      <w:r w:rsidR="00391CB2">
        <w:t>1</w:t>
      </w:r>
      <w:r w:rsidR="00165F08">
        <w:t>%</w:t>
      </w:r>
      <w:r w:rsidR="00EF61A5">
        <w:t xml:space="preserve"> to </w:t>
      </w:r>
      <w:r w:rsidR="00752573">
        <w:t>support</w:t>
      </w:r>
      <w:r w:rsidR="00B97084">
        <w:t xml:space="preserve"> more</w:t>
      </w:r>
      <w:r w:rsidR="00752573">
        <w:t xml:space="preserve"> sustainable operations.</w:t>
      </w:r>
      <w:bookmarkStart w:id="19" w:name="_Toc207716279"/>
      <w:bookmarkStart w:id="20" w:name="_Toc207716280"/>
      <w:bookmarkStart w:id="21" w:name="_Toc207716281"/>
      <w:bookmarkStart w:id="22" w:name="_Toc207716282"/>
      <w:bookmarkStart w:id="23" w:name="_Toc207716283"/>
      <w:bookmarkStart w:id="24" w:name="_Toc207716284"/>
      <w:bookmarkStart w:id="25" w:name="_Toc207716285"/>
      <w:bookmarkStart w:id="26" w:name="_Toc207716286"/>
      <w:bookmarkStart w:id="27" w:name="_Toc207716287"/>
      <w:bookmarkStart w:id="28" w:name="_Toc207716288"/>
      <w:bookmarkStart w:id="29" w:name="_Toc207716289"/>
      <w:bookmarkEnd w:id="18"/>
      <w:bookmarkEnd w:id="19"/>
      <w:bookmarkEnd w:id="20"/>
      <w:bookmarkEnd w:id="21"/>
      <w:bookmarkEnd w:id="22"/>
      <w:bookmarkEnd w:id="23"/>
      <w:bookmarkEnd w:id="24"/>
      <w:bookmarkEnd w:id="25"/>
      <w:bookmarkEnd w:id="26"/>
      <w:bookmarkEnd w:id="27"/>
      <w:bookmarkEnd w:id="28"/>
      <w:bookmarkEnd w:id="29"/>
      <w:r w:rsidR="00481AFB">
        <w:t xml:space="preserve"> </w:t>
      </w:r>
    </w:p>
    <w:p w14:paraId="1E790016" w14:textId="3A8A303F" w:rsidR="003B4F9D" w:rsidRDefault="003B4F9D" w:rsidP="00481AFB">
      <w:pPr>
        <w:pStyle w:val="DJCSbodyafterbullets"/>
        <w:ind w:left="720"/>
      </w:pPr>
      <w:r w:rsidRPr="00744DA2">
        <w:t>The impact of the</w:t>
      </w:r>
      <w:r>
        <w:t xml:space="preserve"> identified</w:t>
      </w:r>
      <w:r w:rsidRPr="00744DA2">
        <w:t xml:space="preserve"> options </w:t>
      </w:r>
      <w:r w:rsidR="00444C03">
        <w:t xml:space="preserve">was </w:t>
      </w:r>
      <w:r w:rsidRPr="00744DA2">
        <w:t xml:space="preserve">assessed through a </w:t>
      </w:r>
      <w:r w:rsidR="001170BA">
        <w:t>unique</w:t>
      </w:r>
      <w:r w:rsidRPr="00744DA2">
        <w:t xml:space="preserve"> multi-criteria analysis</w:t>
      </w:r>
      <w:r w:rsidR="00752573">
        <w:t xml:space="preserve"> (MCA)</w:t>
      </w:r>
      <w:r w:rsidRPr="00744DA2">
        <w:t xml:space="preserve"> which aligns to the principles in the Pricing for Value Guide and the identified objectives</w:t>
      </w:r>
      <w:r>
        <w:t xml:space="preserve">. </w:t>
      </w:r>
    </w:p>
    <w:p w14:paraId="23050A1C" w14:textId="0BC4F9FF" w:rsidR="003B4F9D" w:rsidRPr="008303F1" w:rsidRDefault="003B4F9D" w:rsidP="008303F1">
      <w:pPr>
        <w:pStyle w:val="DJCStablecaption"/>
      </w:pPr>
      <w:r w:rsidRPr="008303F1">
        <w:t xml:space="preserve">Table </w:t>
      </w:r>
      <w:r w:rsidR="00BE3DB5">
        <w:t>2</w:t>
      </w:r>
      <w:r>
        <w:t>:</w:t>
      </w:r>
      <w:r w:rsidRPr="008303F1">
        <w:t xml:space="preserve"> MCA criteria and weighting</w:t>
      </w:r>
    </w:p>
    <w:tbl>
      <w:tblPr>
        <w:tblStyle w:val="TableGrid"/>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5082"/>
        <w:gridCol w:w="1813"/>
      </w:tblGrid>
      <w:tr w:rsidR="003B4F9D" w:rsidRPr="002B3C05" w14:paraId="52699E10" w14:textId="77777777" w:rsidTr="00C81B0F">
        <w:tc>
          <w:tcPr>
            <w:tcW w:w="2597" w:type="dxa"/>
            <w:shd w:val="clear" w:color="auto" w:fill="002060"/>
          </w:tcPr>
          <w:p w14:paraId="13619DE8" w14:textId="77777777" w:rsidR="003B4F9D" w:rsidRPr="002B3C05" w:rsidRDefault="003B4F9D">
            <w:pPr>
              <w:pStyle w:val="DJCSbody-landscape"/>
              <w:jc w:val="center"/>
              <w:rPr>
                <w:b/>
              </w:rPr>
            </w:pPr>
            <w:r w:rsidRPr="002B3C05">
              <w:rPr>
                <w:b/>
              </w:rPr>
              <w:t>Criteri</w:t>
            </w:r>
            <w:r>
              <w:rPr>
                <w:b/>
              </w:rPr>
              <w:t>a</w:t>
            </w:r>
          </w:p>
        </w:tc>
        <w:tc>
          <w:tcPr>
            <w:tcW w:w="5082" w:type="dxa"/>
            <w:shd w:val="clear" w:color="auto" w:fill="002060"/>
          </w:tcPr>
          <w:p w14:paraId="22F37692" w14:textId="77777777" w:rsidR="003B4F9D" w:rsidRPr="002B3C05" w:rsidRDefault="003B4F9D">
            <w:pPr>
              <w:pStyle w:val="DJCSbody-landscape"/>
              <w:jc w:val="center"/>
              <w:rPr>
                <w:b/>
              </w:rPr>
            </w:pPr>
            <w:r w:rsidRPr="002B3C05">
              <w:rPr>
                <w:b/>
              </w:rPr>
              <w:t>Relevance</w:t>
            </w:r>
          </w:p>
        </w:tc>
        <w:tc>
          <w:tcPr>
            <w:tcW w:w="1813" w:type="dxa"/>
            <w:shd w:val="clear" w:color="auto" w:fill="002060"/>
          </w:tcPr>
          <w:p w14:paraId="711875BC" w14:textId="77777777" w:rsidR="003B4F9D" w:rsidRPr="002B3C05" w:rsidRDefault="003B4F9D">
            <w:pPr>
              <w:pStyle w:val="DJCSbody-landscape"/>
              <w:jc w:val="center"/>
              <w:rPr>
                <w:b/>
              </w:rPr>
            </w:pPr>
            <w:r w:rsidRPr="002B3C05">
              <w:rPr>
                <w:b/>
              </w:rPr>
              <w:t>Weighting</w:t>
            </w:r>
          </w:p>
        </w:tc>
      </w:tr>
      <w:tr w:rsidR="003B4F9D" w14:paraId="0B487664" w14:textId="77777777" w:rsidTr="00C81B0F">
        <w:tc>
          <w:tcPr>
            <w:tcW w:w="2597" w:type="dxa"/>
          </w:tcPr>
          <w:p w14:paraId="38E1B3E3" w14:textId="77777777" w:rsidR="003B4F9D" w:rsidRPr="00633E71" w:rsidRDefault="003B4F9D">
            <w:pPr>
              <w:pStyle w:val="DJCSbody-landscape"/>
              <w:rPr>
                <w:b/>
                <w:bCs/>
              </w:rPr>
            </w:pPr>
            <w:r w:rsidRPr="00633E71">
              <w:rPr>
                <w:b/>
                <w:bCs/>
              </w:rPr>
              <w:t>Criteri</w:t>
            </w:r>
            <w:r>
              <w:rPr>
                <w:b/>
                <w:bCs/>
              </w:rPr>
              <w:t>on</w:t>
            </w:r>
            <w:r w:rsidRPr="00633E71">
              <w:rPr>
                <w:b/>
                <w:bCs/>
              </w:rPr>
              <w:t xml:space="preserve"> 1: </w:t>
            </w:r>
            <w:r>
              <w:rPr>
                <w:b/>
                <w:bCs/>
              </w:rPr>
              <w:br/>
            </w:r>
            <w:r w:rsidRPr="00633E71">
              <w:rPr>
                <w:b/>
                <w:bCs/>
              </w:rPr>
              <w:t>Fiscal Sustainability</w:t>
            </w:r>
          </w:p>
        </w:tc>
        <w:tc>
          <w:tcPr>
            <w:tcW w:w="5082" w:type="dxa"/>
          </w:tcPr>
          <w:p w14:paraId="6B7CF0AA" w14:textId="064886B9" w:rsidR="00214356" w:rsidRDefault="003B4F9D">
            <w:pPr>
              <w:pStyle w:val="DJCSbody-landscape"/>
            </w:pPr>
            <w:r>
              <w:t>Fees should seek to support the overall fiscal sustainability of VCAT.</w:t>
            </w:r>
          </w:p>
          <w:p w14:paraId="45BEF0C5" w14:textId="4F041A97" w:rsidR="003B4F9D" w:rsidRDefault="003B4F9D">
            <w:pPr>
              <w:pStyle w:val="DJCSbody-landscape"/>
            </w:pPr>
            <w:r>
              <w:t>This criterion is based on Pricing Principles 1, 7, 8 and 9.</w:t>
            </w:r>
          </w:p>
        </w:tc>
        <w:tc>
          <w:tcPr>
            <w:tcW w:w="1813" w:type="dxa"/>
          </w:tcPr>
          <w:p w14:paraId="49277F38" w14:textId="77777777" w:rsidR="003B4F9D" w:rsidRDefault="003B4F9D">
            <w:pPr>
              <w:pStyle w:val="DJCSbody-landscape"/>
              <w:jc w:val="center"/>
            </w:pPr>
            <w:r>
              <w:t>35%</w:t>
            </w:r>
          </w:p>
        </w:tc>
      </w:tr>
      <w:tr w:rsidR="003B4F9D" w14:paraId="7CBD47E8" w14:textId="77777777" w:rsidTr="00C81B0F">
        <w:tc>
          <w:tcPr>
            <w:tcW w:w="2597" w:type="dxa"/>
          </w:tcPr>
          <w:p w14:paraId="75F29525" w14:textId="77777777" w:rsidR="003B4F9D" w:rsidRPr="00633E71" w:rsidRDefault="003B4F9D">
            <w:pPr>
              <w:pStyle w:val="DJCSbody-landscape"/>
              <w:rPr>
                <w:b/>
                <w:bCs/>
              </w:rPr>
            </w:pPr>
            <w:r w:rsidRPr="00633E71">
              <w:rPr>
                <w:b/>
                <w:bCs/>
              </w:rPr>
              <w:t xml:space="preserve">Criterion 2: </w:t>
            </w:r>
            <w:r>
              <w:rPr>
                <w:b/>
                <w:bCs/>
              </w:rPr>
              <w:br/>
              <w:t>Equity</w:t>
            </w:r>
          </w:p>
        </w:tc>
        <w:tc>
          <w:tcPr>
            <w:tcW w:w="5082" w:type="dxa"/>
          </w:tcPr>
          <w:p w14:paraId="76509CD5" w14:textId="36B2D28F" w:rsidR="003B4F9D" w:rsidRDefault="003B4F9D">
            <w:pPr>
              <w:pStyle w:val="DJCSbody-landscape"/>
            </w:pPr>
            <w:r>
              <w:t xml:space="preserve">Fees </w:t>
            </w:r>
            <w:r w:rsidRPr="00A02393">
              <w:t xml:space="preserve">should reflect the capacity of different tribunal users to pay court fees. </w:t>
            </w:r>
            <w:r w:rsidR="00526FC8">
              <w:t>VCAT</w:t>
            </w:r>
            <w:r w:rsidRPr="00A02393">
              <w:t xml:space="preserve"> fees should provide access to justice for those with limited ability to pay fees.</w:t>
            </w:r>
          </w:p>
          <w:p w14:paraId="0D9D82E8" w14:textId="77777777" w:rsidR="003B4F9D" w:rsidRDefault="003B4F9D">
            <w:pPr>
              <w:pStyle w:val="DJCSbody-landscape"/>
            </w:pPr>
            <w:r>
              <w:t>This criterion is based on Pricing Principle 5 and 7.</w:t>
            </w:r>
          </w:p>
        </w:tc>
        <w:tc>
          <w:tcPr>
            <w:tcW w:w="1813" w:type="dxa"/>
          </w:tcPr>
          <w:p w14:paraId="6EB3A491" w14:textId="31FF90ED" w:rsidR="003B4F9D" w:rsidRDefault="00985630">
            <w:pPr>
              <w:pStyle w:val="DJCSbody-landscape"/>
              <w:jc w:val="center"/>
            </w:pPr>
            <w:r>
              <w:t>40</w:t>
            </w:r>
            <w:r w:rsidR="003B4F9D">
              <w:t>%</w:t>
            </w:r>
          </w:p>
        </w:tc>
      </w:tr>
      <w:tr w:rsidR="003B4F9D" w14:paraId="5FE0E7F2" w14:textId="77777777" w:rsidTr="00C81B0F">
        <w:tc>
          <w:tcPr>
            <w:tcW w:w="2597" w:type="dxa"/>
          </w:tcPr>
          <w:p w14:paraId="047C8B97" w14:textId="77777777" w:rsidR="003B4F9D" w:rsidRPr="00633E71" w:rsidRDefault="003B4F9D">
            <w:pPr>
              <w:pStyle w:val="DJCSbody-landscape"/>
              <w:rPr>
                <w:b/>
                <w:bCs/>
              </w:rPr>
            </w:pPr>
            <w:r w:rsidRPr="00633E71">
              <w:rPr>
                <w:b/>
                <w:bCs/>
              </w:rPr>
              <w:t>Criteri</w:t>
            </w:r>
            <w:r>
              <w:rPr>
                <w:b/>
                <w:bCs/>
              </w:rPr>
              <w:t>on</w:t>
            </w:r>
            <w:r w:rsidRPr="00633E71">
              <w:rPr>
                <w:b/>
                <w:bCs/>
              </w:rPr>
              <w:t xml:space="preserve"> 3:</w:t>
            </w:r>
            <w:r>
              <w:rPr>
                <w:b/>
                <w:bCs/>
              </w:rPr>
              <w:br/>
              <w:t>Efficiency</w:t>
            </w:r>
          </w:p>
        </w:tc>
        <w:tc>
          <w:tcPr>
            <w:tcW w:w="5082" w:type="dxa"/>
          </w:tcPr>
          <w:p w14:paraId="3903E085" w14:textId="77777777" w:rsidR="003B4F9D" w:rsidRPr="00FE27C5" w:rsidRDefault="003B4F9D">
            <w:pPr>
              <w:pStyle w:val="DJCSbody-landscape"/>
            </w:pPr>
            <w:r w:rsidRPr="00FE27C5">
              <w:t xml:space="preserve">Fees should </w:t>
            </w:r>
            <w:r w:rsidRPr="004F6539">
              <w:rPr>
                <w:lang w:val="en-GB"/>
              </w:rPr>
              <w:t>reflect the cost of the underlying VCAT services.</w:t>
            </w:r>
          </w:p>
          <w:p w14:paraId="64C91ECA" w14:textId="77777777" w:rsidR="003B4F9D" w:rsidRDefault="003B4F9D">
            <w:pPr>
              <w:pStyle w:val="DJCSbody-landscape"/>
            </w:pPr>
            <w:r>
              <w:t>This criterion is based on Pricing Principle 2.</w:t>
            </w:r>
          </w:p>
        </w:tc>
        <w:tc>
          <w:tcPr>
            <w:tcW w:w="1813" w:type="dxa"/>
          </w:tcPr>
          <w:p w14:paraId="12AF085F" w14:textId="2E751A9E" w:rsidR="003B4F9D" w:rsidRDefault="008C173A">
            <w:pPr>
              <w:pStyle w:val="DJCSbody-landscape"/>
              <w:jc w:val="center"/>
            </w:pPr>
            <w:r>
              <w:t>1</w:t>
            </w:r>
            <w:r w:rsidR="003B4F9D">
              <w:t>5%</w:t>
            </w:r>
          </w:p>
        </w:tc>
      </w:tr>
      <w:tr w:rsidR="003B4F9D" w14:paraId="6143DA9D" w14:textId="77777777" w:rsidTr="00C81B0F">
        <w:tc>
          <w:tcPr>
            <w:tcW w:w="2597" w:type="dxa"/>
          </w:tcPr>
          <w:p w14:paraId="522F1B09" w14:textId="77777777" w:rsidR="003B4F9D" w:rsidRDefault="003B4F9D">
            <w:pPr>
              <w:pStyle w:val="DJCSbody-landscape"/>
              <w:rPr>
                <w:b/>
                <w:bCs/>
              </w:rPr>
            </w:pPr>
            <w:r>
              <w:rPr>
                <w:b/>
                <w:bCs/>
              </w:rPr>
              <w:t>Criterion 4:</w:t>
            </w:r>
            <w:r>
              <w:rPr>
                <w:b/>
                <w:bCs/>
              </w:rPr>
              <w:br/>
              <w:t>Simplicity</w:t>
            </w:r>
          </w:p>
          <w:p w14:paraId="742D063A" w14:textId="77777777" w:rsidR="003B4F9D" w:rsidRPr="00633E71" w:rsidRDefault="003B4F9D">
            <w:pPr>
              <w:pStyle w:val="DJCSbody-landscape"/>
              <w:rPr>
                <w:b/>
                <w:bCs/>
              </w:rPr>
            </w:pPr>
          </w:p>
        </w:tc>
        <w:tc>
          <w:tcPr>
            <w:tcW w:w="5082" w:type="dxa"/>
          </w:tcPr>
          <w:p w14:paraId="7E54D6BA" w14:textId="77777777" w:rsidR="003B4F9D" w:rsidRDefault="003B4F9D">
            <w:pPr>
              <w:pStyle w:val="DJCSbody-landscape"/>
            </w:pPr>
            <w:r w:rsidRPr="009977A9">
              <w:t xml:space="preserve">Fee structures </w:t>
            </w:r>
            <w:r w:rsidRPr="004F6539">
              <w:rPr>
                <w:lang w:val="en-GB"/>
              </w:rPr>
              <w:t>should be simple to administer for VCAT and easy to navigate for VCAT users.</w:t>
            </w:r>
          </w:p>
          <w:p w14:paraId="17BEA0EC" w14:textId="77777777" w:rsidR="003B4F9D" w:rsidRDefault="003B4F9D">
            <w:pPr>
              <w:pStyle w:val="DJCSbody-landscape"/>
            </w:pPr>
            <w:r>
              <w:t>This criterion is based on Pricing Principle 11.</w:t>
            </w:r>
          </w:p>
        </w:tc>
        <w:tc>
          <w:tcPr>
            <w:tcW w:w="1813" w:type="dxa"/>
          </w:tcPr>
          <w:p w14:paraId="07304140" w14:textId="77777777" w:rsidR="003B4F9D" w:rsidRDefault="003B4F9D">
            <w:pPr>
              <w:pStyle w:val="DJCSbody-landscape"/>
              <w:jc w:val="center"/>
            </w:pPr>
            <w:r>
              <w:t>10%</w:t>
            </w:r>
          </w:p>
        </w:tc>
      </w:tr>
    </w:tbl>
    <w:p w14:paraId="7439B32D" w14:textId="77777777" w:rsidR="003B4F9D" w:rsidRDefault="003B4F9D" w:rsidP="007C451A">
      <w:pPr>
        <w:pStyle w:val="DJCSbody"/>
        <w:ind w:left="0"/>
      </w:pPr>
    </w:p>
    <w:p w14:paraId="63EC9B59" w14:textId="05D048A3" w:rsidR="007C451A" w:rsidRPr="003B4F9D" w:rsidRDefault="007C451A" w:rsidP="00FA0CF5">
      <w:pPr>
        <w:pStyle w:val="DJCSbody"/>
        <w:ind w:left="680"/>
      </w:pPr>
      <w:r>
        <w:lastRenderedPageBreak/>
        <w:t>The MCA criteria were used to determine the preferred option for the fee changes.</w:t>
      </w:r>
      <w:r w:rsidR="00B35F4B">
        <w:t xml:space="preserve"> The results of the MCA are outlined in Table </w:t>
      </w:r>
      <w:r w:rsidR="00E35E72" w:rsidRPr="00E35E72">
        <w:t>3</w:t>
      </w:r>
      <w:r w:rsidR="00A875C4">
        <w:t xml:space="preserve"> below.</w:t>
      </w:r>
    </w:p>
    <w:p w14:paraId="34A115A8" w14:textId="6269A90A" w:rsidR="00FF5518" w:rsidRDefault="00B35F4B" w:rsidP="00FA0CF5">
      <w:pPr>
        <w:pStyle w:val="DJCSbody"/>
        <w:ind w:left="680"/>
      </w:pPr>
      <w:r>
        <w:t xml:space="preserve">Option 3 is the preferred option </w:t>
      </w:r>
      <w:r w:rsidR="00BC08F6">
        <w:t>because it</w:t>
      </w:r>
      <w:r>
        <w:t xml:space="preserve"> has the highest weight</w:t>
      </w:r>
      <w:r w:rsidR="004A7BC3">
        <w:t>ed score of all the options considered</w:t>
      </w:r>
      <w:r w:rsidR="002E1224">
        <w:t xml:space="preserve">. </w:t>
      </w:r>
      <w:r w:rsidR="00022EBD">
        <w:t xml:space="preserve">It has the best balance of </w:t>
      </w:r>
      <w:r w:rsidR="00E07971">
        <w:t>high</w:t>
      </w:r>
      <w:r w:rsidR="003A2967">
        <w:t>er</w:t>
      </w:r>
      <w:r w:rsidR="00E07971">
        <w:t xml:space="preserve"> fiscal sustainability</w:t>
      </w:r>
      <w:r w:rsidR="00C72402">
        <w:t xml:space="preserve"> and access to justice </w:t>
      </w:r>
      <w:r w:rsidR="003A2967">
        <w:t>with the trade-off being</w:t>
      </w:r>
      <w:r w:rsidR="00F15CBE">
        <w:t xml:space="preserve"> lower efficiency and higher administration costs.</w:t>
      </w:r>
    </w:p>
    <w:p w14:paraId="2890934C" w14:textId="1B89CD7E" w:rsidR="0054524C" w:rsidRDefault="0054524C" w:rsidP="00FA0CF5">
      <w:pPr>
        <w:pStyle w:val="DJCSbody"/>
        <w:ind w:left="680"/>
      </w:pPr>
      <w:r>
        <w:t xml:space="preserve">Option 2 has the </w:t>
      </w:r>
      <w:r w:rsidR="003413CB">
        <w:t>second highest overall score</w:t>
      </w:r>
      <w:r w:rsidR="00253670">
        <w:t>. Its</w:t>
      </w:r>
      <w:r w:rsidR="003413CB">
        <w:t xml:space="preserve"> level of fiscal sustainability is not as high as Option 3</w:t>
      </w:r>
      <w:r w:rsidR="006344CB">
        <w:t>,</w:t>
      </w:r>
      <w:r w:rsidR="003413CB">
        <w:t xml:space="preserve"> but it </w:t>
      </w:r>
      <w:r w:rsidR="00B342B7">
        <w:t>also adopts the new fee structure that is present in Option 3.</w:t>
      </w:r>
      <w:r w:rsidR="00175FB3">
        <w:t xml:space="preserve"> Option 1 has the same level of fee revenue as</w:t>
      </w:r>
      <w:r w:rsidR="00662D82">
        <w:t xml:space="preserve"> Option 2 but</w:t>
      </w:r>
      <w:r w:rsidR="0066007F">
        <w:t xml:space="preserve"> does not have the new fee structure</w:t>
      </w:r>
      <w:r w:rsidR="00F160E0">
        <w:t>,</w:t>
      </w:r>
      <w:r w:rsidR="0066007F">
        <w:t xml:space="preserve"> </w:t>
      </w:r>
      <w:r w:rsidR="006344CB">
        <w:t>which means it</w:t>
      </w:r>
      <w:r w:rsidR="0066007F">
        <w:t xml:space="preserve"> lac</w:t>
      </w:r>
      <w:r w:rsidR="006748FD">
        <w:t xml:space="preserve">ks the access to justice </w:t>
      </w:r>
      <w:r w:rsidR="006344CB">
        <w:t>benefits</w:t>
      </w:r>
      <w:r w:rsidR="00E30EA0">
        <w:t xml:space="preserve"> of Options 2 and 3.</w:t>
      </w:r>
    </w:p>
    <w:p w14:paraId="058BB12A" w14:textId="6C72C09B" w:rsidR="00317937" w:rsidRDefault="00317937" w:rsidP="00FA0CF5">
      <w:pPr>
        <w:pStyle w:val="DJCSbody"/>
        <w:ind w:left="680"/>
      </w:pPr>
      <w:r>
        <w:t xml:space="preserve">Option 1 scores more highly than Options 2 and 3 </w:t>
      </w:r>
      <w:r w:rsidR="001869FC">
        <w:t xml:space="preserve">in </w:t>
      </w:r>
      <w:r w:rsidR="008C02CD">
        <w:t xml:space="preserve">reflecting the costs of service delivery </w:t>
      </w:r>
      <w:r w:rsidR="006677B7">
        <w:t>in the fees charged for</w:t>
      </w:r>
      <w:r w:rsidR="008C02CD">
        <w:t xml:space="preserve"> concession and standard fee payers. </w:t>
      </w:r>
      <w:r w:rsidR="006677B7">
        <w:t>This</w:t>
      </w:r>
      <w:r w:rsidR="002F7557">
        <w:t xml:space="preserve"> </w:t>
      </w:r>
      <w:r w:rsidR="0096732E">
        <w:t>negatively impacts</w:t>
      </w:r>
      <w:r w:rsidR="006677B7">
        <w:t xml:space="preserve"> access to justice. </w:t>
      </w:r>
      <w:r w:rsidR="000D6B40">
        <w:t>Given the simpler fee structure for Option 1</w:t>
      </w:r>
      <w:r w:rsidR="002D4686">
        <w:t>, it has lower administration costs than Options 2 and 3.</w:t>
      </w:r>
      <w:r w:rsidR="008801F9">
        <w:t xml:space="preserve"> As efficiency and administration were not weighted as highly as sustainability and </w:t>
      </w:r>
      <w:r w:rsidR="00E070AA">
        <w:t>equity, Option 1 scored less overall than Options 2 and 3.</w:t>
      </w:r>
    </w:p>
    <w:p w14:paraId="6052ABDC" w14:textId="3FFD468D" w:rsidR="00FF5518" w:rsidRDefault="00FF5518" w:rsidP="00813208">
      <w:pPr>
        <w:pStyle w:val="DJCStablecaption"/>
      </w:pPr>
      <w:r>
        <w:t xml:space="preserve">Table </w:t>
      </w:r>
      <w:r w:rsidR="00BE3DB5">
        <w:t>3</w:t>
      </w:r>
      <w:r w:rsidR="007A69D3">
        <w:t>:</w:t>
      </w:r>
      <w:r w:rsidR="00025CB5">
        <w:t xml:space="preserve"> </w:t>
      </w:r>
      <w:r w:rsidR="00813208">
        <w:t>Completed MCA and identified preferred option</w:t>
      </w:r>
      <w:r w:rsidR="007046BD">
        <w:rPr>
          <w:rStyle w:val="FootnoteReference"/>
        </w:rPr>
        <w:footnoteReference w:id="4"/>
      </w: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156"/>
        <w:gridCol w:w="1537"/>
        <w:gridCol w:w="1177"/>
        <w:gridCol w:w="1739"/>
      </w:tblGrid>
      <w:tr w:rsidR="00FF5518" w:rsidRPr="002F3BB5" w14:paraId="33372CC4" w14:textId="77777777" w:rsidTr="00B418A5">
        <w:trPr>
          <w:trHeight w:val="886"/>
          <w:jc w:val="center"/>
        </w:trPr>
        <w:tc>
          <w:tcPr>
            <w:tcW w:w="1755" w:type="pct"/>
            <w:shd w:val="clear" w:color="000000" w:fill="002060"/>
            <w:noWrap/>
            <w:vAlign w:val="center"/>
            <w:hideMark/>
          </w:tcPr>
          <w:p w14:paraId="29F6E88C" w14:textId="77777777" w:rsidR="00FF5518" w:rsidRDefault="00FF5518">
            <w:pPr>
              <w:jc w:val="center"/>
              <w:rPr>
                <w:rFonts w:ascii="Calibri" w:hAnsi="Calibri" w:cs="Calibri"/>
                <w:b/>
                <w:bCs/>
                <w:color w:val="FFFFFF"/>
                <w:sz w:val="22"/>
                <w:szCs w:val="22"/>
                <w:lang w:eastAsia="ko-KR"/>
              </w:rPr>
            </w:pPr>
            <w:r w:rsidRPr="002F3BB5">
              <w:rPr>
                <w:rFonts w:ascii="Calibri" w:hAnsi="Calibri" w:cs="Calibri"/>
                <w:b/>
                <w:bCs/>
                <w:color w:val="FFFFFF"/>
                <w:sz w:val="22"/>
                <w:szCs w:val="22"/>
                <w:lang w:eastAsia="ko-KR"/>
              </w:rPr>
              <w:t>Criteria</w:t>
            </w:r>
          </w:p>
          <w:p w14:paraId="0043FA3C" w14:textId="77777777" w:rsidR="00FF5518" w:rsidRPr="002F3BB5" w:rsidRDefault="00FF5518" w:rsidP="003036D1">
            <w:pPr>
              <w:rPr>
                <w:rFonts w:ascii="Calibri" w:hAnsi="Calibri" w:cs="Calibri"/>
                <w:b/>
                <w:bCs/>
                <w:color w:val="FFFFFF"/>
                <w:sz w:val="22"/>
                <w:szCs w:val="22"/>
                <w:lang w:eastAsia="ko-KR"/>
              </w:rPr>
            </w:pPr>
          </w:p>
        </w:tc>
        <w:tc>
          <w:tcPr>
            <w:tcW w:w="669" w:type="pct"/>
            <w:shd w:val="clear" w:color="000000" w:fill="002060"/>
            <w:vAlign w:val="center"/>
            <w:hideMark/>
          </w:tcPr>
          <w:p w14:paraId="4AE38C30" w14:textId="77777777" w:rsidR="00FF5518" w:rsidRPr="002F3BB5" w:rsidRDefault="00FF5518">
            <w:pPr>
              <w:jc w:val="center"/>
              <w:rPr>
                <w:rFonts w:ascii="Calibri" w:hAnsi="Calibri" w:cs="Calibri"/>
                <w:b/>
                <w:bCs/>
                <w:color w:val="FFFFFF"/>
                <w:sz w:val="22"/>
                <w:szCs w:val="22"/>
                <w:lang w:eastAsia="ko-KR"/>
              </w:rPr>
            </w:pPr>
            <w:r w:rsidRPr="002F3BB5">
              <w:rPr>
                <w:rFonts w:ascii="Calibri" w:hAnsi="Calibri" w:cs="Calibri"/>
                <w:b/>
                <w:bCs/>
                <w:color w:val="FFFFFF"/>
                <w:sz w:val="22"/>
                <w:szCs w:val="22"/>
                <w:lang w:eastAsia="ko-KR"/>
              </w:rPr>
              <w:t>Weighting</w:t>
            </w:r>
          </w:p>
        </w:tc>
        <w:tc>
          <w:tcPr>
            <w:tcW w:w="889" w:type="pct"/>
            <w:shd w:val="clear" w:color="000000" w:fill="002060"/>
            <w:vAlign w:val="center"/>
            <w:hideMark/>
          </w:tcPr>
          <w:p w14:paraId="1685F6B7" w14:textId="77777777" w:rsidR="00FF5518" w:rsidRPr="002F3BB5" w:rsidRDefault="00FF5518">
            <w:pPr>
              <w:jc w:val="center"/>
              <w:rPr>
                <w:rFonts w:ascii="Aptos Narrow" w:hAnsi="Aptos Narrow"/>
                <w:b/>
                <w:bCs/>
                <w:color w:val="FFFFFF"/>
                <w:sz w:val="22"/>
                <w:szCs w:val="22"/>
                <w:lang w:eastAsia="ko-KR"/>
              </w:rPr>
            </w:pPr>
            <w:r w:rsidRPr="002F3BB5">
              <w:rPr>
                <w:rFonts w:ascii="Aptos Narrow" w:hAnsi="Aptos Narrow"/>
                <w:b/>
                <w:bCs/>
                <w:color w:val="FFFFFF"/>
                <w:sz w:val="22"/>
                <w:szCs w:val="22"/>
                <w:lang w:eastAsia="ko-KR"/>
              </w:rPr>
              <w:t>Option 1: Continue with Current Fees and Structure</w:t>
            </w:r>
          </w:p>
        </w:tc>
        <w:tc>
          <w:tcPr>
            <w:tcW w:w="681" w:type="pct"/>
            <w:shd w:val="clear" w:color="000000" w:fill="002060"/>
            <w:vAlign w:val="center"/>
            <w:hideMark/>
          </w:tcPr>
          <w:p w14:paraId="2C569436" w14:textId="77777777" w:rsidR="00FF5518" w:rsidRPr="002F3BB5" w:rsidRDefault="00FF5518">
            <w:pPr>
              <w:jc w:val="center"/>
              <w:rPr>
                <w:rFonts w:ascii="Aptos Narrow" w:hAnsi="Aptos Narrow"/>
                <w:b/>
                <w:bCs/>
                <w:color w:val="FFFFFF"/>
                <w:sz w:val="22"/>
                <w:szCs w:val="22"/>
                <w:lang w:eastAsia="ko-KR"/>
              </w:rPr>
            </w:pPr>
            <w:r w:rsidRPr="002F3BB5">
              <w:rPr>
                <w:rFonts w:ascii="Aptos Narrow" w:hAnsi="Aptos Narrow"/>
                <w:b/>
                <w:bCs/>
                <w:color w:val="FFFFFF"/>
                <w:sz w:val="22"/>
                <w:szCs w:val="22"/>
                <w:lang w:eastAsia="ko-KR"/>
              </w:rPr>
              <w:t>Option 2: New Fee Structure</w:t>
            </w:r>
          </w:p>
        </w:tc>
        <w:tc>
          <w:tcPr>
            <w:tcW w:w="1006" w:type="pct"/>
            <w:shd w:val="clear" w:color="000000" w:fill="002060"/>
            <w:vAlign w:val="center"/>
            <w:hideMark/>
          </w:tcPr>
          <w:p w14:paraId="1080AB45" w14:textId="77777777" w:rsidR="00FF5518" w:rsidRPr="002F3BB5" w:rsidRDefault="00FF5518">
            <w:pPr>
              <w:jc w:val="center"/>
              <w:rPr>
                <w:rFonts w:ascii="Aptos Narrow" w:hAnsi="Aptos Narrow"/>
                <w:b/>
                <w:bCs/>
                <w:color w:val="FFFFFF"/>
                <w:sz w:val="22"/>
                <w:szCs w:val="22"/>
                <w:lang w:eastAsia="ko-KR"/>
              </w:rPr>
            </w:pPr>
            <w:r w:rsidRPr="002F3BB5">
              <w:rPr>
                <w:rFonts w:ascii="Aptos Narrow" w:hAnsi="Aptos Narrow"/>
                <w:b/>
                <w:bCs/>
                <w:color w:val="FFFFFF"/>
                <w:sz w:val="22"/>
                <w:szCs w:val="22"/>
                <w:lang w:eastAsia="ko-KR"/>
              </w:rPr>
              <w:t xml:space="preserve">Option </w:t>
            </w:r>
            <w:r>
              <w:rPr>
                <w:rFonts w:ascii="Aptos Narrow" w:hAnsi="Aptos Narrow"/>
                <w:b/>
                <w:bCs/>
                <w:color w:val="FFFFFF"/>
                <w:sz w:val="22"/>
                <w:szCs w:val="22"/>
                <w:lang w:eastAsia="ko-KR"/>
              </w:rPr>
              <w:t xml:space="preserve">3 </w:t>
            </w:r>
            <w:r w:rsidRPr="002F3BB5">
              <w:rPr>
                <w:rFonts w:ascii="Aptos Narrow" w:hAnsi="Aptos Narrow"/>
                <w:b/>
                <w:bCs/>
                <w:color w:val="FFFFFF"/>
                <w:sz w:val="22"/>
                <w:szCs w:val="22"/>
                <w:lang w:eastAsia="ko-KR"/>
              </w:rPr>
              <w:t>: New Fee Structure and Increased Cost Recovery</w:t>
            </w:r>
          </w:p>
        </w:tc>
      </w:tr>
      <w:tr w:rsidR="00FF5518" w:rsidRPr="006C3CAF" w14:paraId="1F7FCFDA" w14:textId="77777777" w:rsidTr="00B418A5">
        <w:trPr>
          <w:trHeight w:val="1017"/>
          <w:jc w:val="center"/>
        </w:trPr>
        <w:tc>
          <w:tcPr>
            <w:tcW w:w="1755" w:type="pct"/>
            <w:shd w:val="clear" w:color="000000" w:fill="FFFFFF"/>
            <w:vAlign w:val="center"/>
            <w:hideMark/>
          </w:tcPr>
          <w:p w14:paraId="66BD259B" w14:textId="77777777" w:rsidR="00531A01" w:rsidRPr="002F3BB5" w:rsidRDefault="00531A01" w:rsidP="006C3CAF">
            <w:pPr>
              <w:jc w:val="center"/>
              <w:rPr>
                <w:rFonts w:ascii="Arial" w:hAnsi="Arial" w:cs="Arial"/>
                <w:b/>
                <w:bCs/>
                <w:color w:val="000000"/>
                <w:lang w:eastAsia="ko-KR"/>
              </w:rPr>
            </w:pPr>
            <w:r w:rsidRPr="002F3BB5">
              <w:rPr>
                <w:rFonts w:ascii="Arial" w:hAnsi="Arial" w:cs="Arial"/>
                <w:b/>
                <w:bCs/>
                <w:color w:val="000000"/>
                <w:lang w:eastAsia="ko-KR"/>
              </w:rPr>
              <w:t>Criterion 1 – Fiscal Sustainability</w:t>
            </w:r>
          </w:p>
          <w:p w14:paraId="01589350" w14:textId="77777777" w:rsidR="00FF5518" w:rsidRPr="002F3BB5" w:rsidRDefault="00FF5518">
            <w:pPr>
              <w:jc w:val="center"/>
              <w:rPr>
                <w:rFonts w:ascii="Arial" w:hAnsi="Arial" w:cs="Arial"/>
                <w:color w:val="000000"/>
                <w:lang w:eastAsia="ko-KR"/>
              </w:rPr>
            </w:pPr>
            <w:r w:rsidRPr="002F3BB5">
              <w:rPr>
                <w:rFonts w:ascii="Arial" w:hAnsi="Arial" w:cs="Arial"/>
                <w:color w:val="000000"/>
                <w:lang w:eastAsia="ko-KR"/>
              </w:rPr>
              <w:t>Fees should seek to support the overall fiscal sustainability of VCAT.</w:t>
            </w:r>
          </w:p>
        </w:tc>
        <w:tc>
          <w:tcPr>
            <w:tcW w:w="669" w:type="pct"/>
            <w:shd w:val="clear" w:color="000000" w:fill="FFFFFF"/>
            <w:noWrap/>
            <w:vAlign w:val="center"/>
            <w:hideMark/>
          </w:tcPr>
          <w:p w14:paraId="3E181C09" w14:textId="77777777" w:rsidR="00FF5518" w:rsidRPr="002F3BB5" w:rsidRDefault="00154DC7">
            <w:pPr>
              <w:jc w:val="center"/>
              <w:rPr>
                <w:rFonts w:ascii="Calibri" w:hAnsi="Calibri" w:cs="Calibri"/>
                <w:color w:val="000000"/>
                <w:sz w:val="22"/>
                <w:szCs w:val="22"/>
                <w:lang w:eastAsia="ko-KR"/>
              </w:rPr>
            </w:pPr>
            <w:r>
              <w:rPr>
                <w:rFonts w:ascii="Calibri" w:hAnsi="Calibri" w:cs="Calibri"/>
                <w:color w:val="000000"/>
                <w:sz w:val="22"/>
                <w:szCs w:val="22"/>
                <w:lang w:eastAsia="ko-KR"/>
              </w:rPr>
              <w:t>35%</w:t>
            </w:r>
          </w:p>
        </w:tc>
        <w:tc>
          <w:tcPr>
            <w:tcW w:w="889" w:type="pct"/>
            <w:shd w:val="clear" w:color="000000" w:fill="FFFFFF"/>
            <w:noWrap/>
            <w:vAlign w:val="center"/>
            <w:hideMark/>
          </w:tcPr>
          <w:p w14:paraId="3DF8530C" w14:textId="77777777" w:rsidR="00FF5518" w:rsidRPr="00EB4BEC" w:rsidRDefault="006C3CAF">
            <w:pPr>
              <w:jc w:val="center"/>
              <w:rPr>
                <w:rFonts w:ascii="Calibri" w:hAnsi="Calibri" w:cs="Calibri"/>
                <w:color w:val="000000"/>
                <w:sz w:val="22"/>
                <w:szCs w:val="22"/>
                <w:lang w:eastAsia="ko-KR"/>
              </w:rPr>
            </w:pPr>
            <w:r w:rsidRPr="006C3CAF">
              <w:rPr>
                <w:rFonts w:ascii="Calibri" w:hAnsi="Calibri" w:cs="Calibri"/>
                <w:sz w:val="22"/>
                <w:szCs w:val="22"/>
              </w:rPr>
              <w:t>5.0</w:t>
            </w:r>
          </w:p>
        </w:tc>
        <w:tc>
          <w:tcPr>
            <w:tcW w:w="681" w:type="pct"/>
            <w:shd w:val="clear" w:color="000000" w:fill="FFFFFF"/>
            <w:noWrap/>
            <w:vAlign w:val="center"/>
            <w:hideMark/>
          </w:tcPr>
          <w:p w14:paraId="7A96C720" w14:textId="77777777" w:rsidR="00FF5518" w:rsidRPr="00EB4BEC" w:rsidRDefault="006C3CAF">
            <w:pPr>
              <w:jc w:val="center"/>
              <w:rPr>
                <w:rFonts w:ascii="Calibri" w:hAnsi="Calibri" w:cs="Calibri"/>
                <w:color w:val="000000"/>
                <w:sz w:val="22"/>
                <w:szCs w:val="22"/>
                <w:lang w:eastAsia="ko-KR"/>
              </w:rPr>
            </w:pPr>
            <w:r w:rsidRPr="006C3CAF">
              <w:rPr>
                <w:rFonts w:ascii="Calibri" w:hAnsi="Calibri" w:cs="Calibri"/>
                <w:sz w:val="22"/>
                <w:szCs w:val="22"/>
              </w:rPr>
              <w:t>5.0</w:t>
            </w:r>
          </w:p>
        </w:tc>
        <w:tc>
          <w:tcPr>
            <w:tcW w:w="1006" w:type="pct"/>
            <w:shd w:val="clear" w:color="auto" w:fill="E9FBEC"/>
            <w:noWrap/>
            <w:vAlign w:val="center"/>
            <w:hideMark/>
          </w:tcPr>
          <w:p w14:paraId="056219AE" w14:textId="77777777" w:rsidR="00FF5518" w:rsidRPr="00EB4BEC" w:rsidRDefault="002D273E">
            <w:pPr>
              <w:jc w:val="center"/>
              <w:rPr>
                <w:rFonts w:ascii="Calibri" w:hAnsi="Calibri" w:cs="Calibri"/>
                <w:color w:val="000000"/>
                <w:sz w:val="22"/>
                <w:szCs w:val="22"/>
                <w:lang w:eastAsia="ko-KR"/>
              </w:rPr>
            </w:pPr>
            <w:r>
              <w:rPr>
                <w:rFonts w:ascii="Calibri" w:hAnsi="Calibri" w:cs="Calibri"/>
                <w:color w:val="000000"/>
                <w:sz w:val="22"/>
                <w:szCs w:val="22"/>
              </w:rPr>
              <w:t>9</w:t>
            </w:r>
          </w:p>
        </w:tc>
      </w:tr>
      <w:tr w:rsidR="00FF5518" w:rsidRPr="006C3CAF" w14:paraId="188BC8FF" w14:textId="77777777" w:rsidTr="00B418A5">
        <w:trPr>
          <w:trHeight w:val="1737"/>
          <w:jc w:val="center"/>
        </w:trPr>
        <w:tc>
          <w:tcPr>
            <w:tcW w:w="1755" w:type="pct"/>
            <w:shd w:val="clear" w:color="000000" w:fill="FFFFFF"/>
            <w:vAlign w:val="center"/>
            <w:hideMark/>
          </w:tcPr>
          <w:p w14:paraId="0555950C" w14:textId="77777777" w:rsidR="00531A01" w:rsidRPr="002F3BB5" w:rsidRDefault="00531A01" w:rsidP="006C3CAF">
            <w:pPr>
              <w:jc w:val="center"/>
              <w:rPr>
                <w:rFonts w:ascii="Arial" w:hAnsi="Arial" w:cs="Arial"/>
                <w:b/>
                <w:bCs/>
                <w:color w:val="000000"/>
                <w:lang w:eastAsia="ko-KR"/>
              </w:rPr>
            </w:pPr>
            <w:r w:rsidRPr="002F3BB5">
              <w:rPr>
                <w:rFonts w:ascii="Arial" w:hAnsi="Arial" w:cs="Arial"/>
                <w:b/>
                <w:bCs/>
                <w:color w:val="000000"/>
                <w:lang w:eastAsia="ko-KR"/>
              </w:rPr>
              <w:t>Criterion 2 – Equity</w:t>
            </w:r>
          </w:p>
          <w:p w14:paraId="3F439F56" w14:textId="738FDCB7" w:rsidR="00FF5518" w:rsidRPr="002F3BB5" w:rsidRDefault="00FF5518">
            <w:pPr>
              <w:jc w:val="center"/>
              <w:rPr>
                <w:rFonts w:ascii="Arial" w:hAnsi="Arial" w:cs="Arial"/>
                <w:color w:val="000000"/>
                <w:lang w:eastAsia="ko-KR"/>
              </w:rPr>
            </w:pPr>
            <w:r w:rsidRPr="002F3BB5">
              <w:rPr>
                <w:rFonts w:ascii="Arial" w:hAnsi="Arial" w:cs="Arial"/>
                <w:color w:val="000000"/>
                <w:lang w:eastAsia="ko-KR"/>
              </w:rPr>
              <w:t xml:space="preserve">Fees should reflect the capacity of different tribunal users to pay court fees. </w:t>
            </w:r>
            <w:r w:rsidR="0001081C">
              <w:rPr>
                <w:rFonts w:ascii="Arial" w:hAnsi="Arial" w:cs="Arial"/>
                <w:color w:val="000000"/>
                <w:lang w:eastAsia="ko-KR"/>
              </w:rPr>
              <w:t>VCAT</w:t>
            </w:r>
            <w:r w:rsidRPr="002F3BB5">
              <w:rPr>
                <w:rFonts w:ascii="Arial" w:hAnsi="Arial" w:cs="Arial"/>
                <w:color w:val="000000"/>
                <w:lang w:eastAsia="ko-KR"/>
              </w:rPr>
              <w:t xml:space="preserve"> fees should provide access to justice for those with limited ability to pay fees.</w:t>
            </w:r>
          </w:p>
        </w:tc>
        <w:tc>
          <w:tcPr>
            <w:tcW w:w="669" w:type="pct"/>
            <w:shd w:val="clear" w:color="000000" w:fill="FFFFFF"/>
            <w:noWrap/>
            <w:vAlign w:val="center"/>
            <w:hideMark/>
          </w:tcPr>
          <w:p w14:paraId="20448601" w14:textId="77777777" w:rsidR="00FF5518" w:rsidRPr="002F3BB5" w:rsidRDefault="00154DC7">
            <w:pPr>
              <w:jc w:val="center"/>
              <w:rPr>
                <w:rFonts w:ascii="Calibri" w:hAnsi="Calibri" w:cs="Calibri"/>
                <w:color w:val="000000"/>
                <w:sz w:val="22"/>
                <w:szCs w:val="22"/>
                <w:lang w:eastAsia="ko-KR"/>
              </w:rPr>
            </w:pPr>
            <w:r>
              <w:rPr>
                <w:rFonts w:ascii="Calibri" w:hAnsi="Calibri" w:cs="Calibri"/>
                <w:color w:val="000000"/>
                <w:sz w:val="22"/>
                <w:szCs w:val="22"/>
                <w:lang w:eastAsia="ko-KR"/>
              </w:rPr>
              <w:t>40%</w:t>
            </w:r>
          </w:p>
        </w:tc>
        <w:tc>
          <w:tcPr>
            <w:tcW w:w="889" w:type="pct"/>
            <w:shd w:val="clear" w:color="000000" w:fill="FFFFFF"/>
            <w:noWrap/>
            <w:vAlign w:val="center"/>
            <w:hideMark/>
          </w:tcPr>
          <w:p w14:paraId="7FD58D15" w14:textId="77777777" w:rsidR="00FF5518" w:rsidRPr="00EB4BEC" w:rsidRDefault="006C3CAF">
            <w:pPr>
              <w:jc w:val="center"/>
              <w:rPr>
                <w:rFonts w:ascii="Calibri" w:hAnsi="Calibri" w:cs="Calibri"/>
                <w:color w:val="000000"/>
                <w:sz w:val="22"/>
                <w:szCs w:val="22"/>
                <w:lang w:eastAsia="ko-KR"/>
              </w:rPr>
            </w:pPr>
            <w:r w:rsidRPr="006C3CAF">
              <w:rPr>
                <w:rFonts w:ascii="Calibri" w:hAnsi="Calibri" w:cs="Calibri"/>
                <w:sz w:val="22"/>
                <w:szCs w:val="22"/>
              </w:rPr>
              <w:t>2.3</w:t>
            </w:r>
          </w:p>
        </w:tc>
        <w:tc>
          <w:tcPr>
            <w:tcW w:w="681" w:type="pct"/>
            <w:shd w:val="clear" w:color="000000" w:fill="FFFFFF"/>
            <w:noWrap/>
            <w:vAlign w:val="center"/>
            <w:hideMark/>
          </w:tcPr>
          <w:p w14:paraId="3E924BBA" w14:textId="77777777" w:rsidR="00FF5518" w:rsidRPr="00EB4BEC" w:rsidRDefault="006C3CAF">
            <w:pPr>
              <w:jc w:val="center"/>
              <w:rPr>
                <w:rFonts w:ascii="Calibri" w:hAnsi="Calibri" w:cs="Calibri"/>
                <w:color w:val="000000"/>
                <w:sz w:val="22"/>
                <w:szCs w:val="22"/>
                <w:lang w:eastAsia="ko-KR"/>
              </w:rPr>
            </w:pPr>
            <w:r w:rsidRPr="006C3CAF">
              <w:rPr>
                <w:rFonts w:ascii="Calibri" w:hAnsi="Calibri" w:cs="Calibri"/>
                <w:sz w:val="22"/>
                <w:szCs w:val="22"/>
              </w:rPr>
              <w:t>6.</w:t>
            </w:r>
            <w:r w:rsidR="00FF5518" w:rsidRPr="00EB4BEC">
              <w:rPr>
                <w:rFonts w:ascii="Calibri" w:hAnsi="Calibri" w:cs="Calibri"/>
                <w:sz w:val="22"/>
                <w:szCs w:val="22"/>
              </w:rPr>
              <w:t>2</w:t>
            </w:r>
          </w:p>
        </w:tc>
        <w:tc>
          <w:tcPr>
            <w:tcW w:w="1006" w:type="pct"/>
            <w:shd w:val="clear" w:color="auto" w:fill="E9FBEC"/>
            <w:noWrap/>
            <w:vAlign w:val="center"/>
            <w:hideMark/>
          </w:tcPr>
          <w:p w14:paraId="0D6FE408" w14:textId="77777777" w:rsidR="00FF5518" w:rsidRPr="00EB4BEC" w:rsidRDefault="006C3CAF">
            <w:pPr>
              <w:jc w:val="center"/>
              <w:rPr>
                <w:rFonts w:ascii="Calibri" w:hAnsi="Calibri" w:cs="Calibri"/>
                <w:color w:val="000000"/>
                <w:sz w:val="22"/>
                <w:szCs w:val="22"/>
                <w:lang w:eastAsia="ko-KR"/>
              </w:rPr>
            </w:pPr>
            <w:r w:rsidRPr="006C3CAF">
              <w:rPr>
                <w:rFonts w:ascii="Calibri" w:hAnsi="Calibri" w:cs="Calibri"/>
                <w:sz w:val="22"/>
                <w:szCs w:val="22"/>
              </w:rPr>
              <w:t>6.</w:t>
            </w:r>
            <w:r w:rsidR="00FF5518" w:rsidRPr="00EB4BEC">
              <w:rPr>
                <w:rFonts w:ascii="Calibri" w:hAnsi="Calibri" w:cs="Calibri"/>
                <w:sz w:val="22"/>
                <w:szCs w:val="22"/>
              </w:rPr>
              <w:t>2</w:t>
            </w:r>
          </w:p>
        </w:tc>
      </w:tr>
      <w:tr w:rsidR="00FF5518" w:rsidRPr="006C3CAF" w14:paraId="0BDB6D74" w14:textId="77777777" w:rsidTr="00B418A5">
        <w:trPr>
          <w:trHeight w:val="1048"/>
          <w:jc w:val="center"/>
        </w:trPr>
        <w:tc>
          <w:tcPr>
            <w:tcW w:w="1755" w:type="pct"/>
            <w:shd w:val="clear" w:color="000000" w:fill="FFFFFF"/>
            <w:vAlign w:val="center"/>
            <w:hideMark/>
          </w:tcPr>
          <w:p w14:paraId="45AA9A0E" w14:textId="77777777" w:rsidR="00531A01" w:rsidRPr="002F3BB5" w:rsidRDefault="00531A01" w:rsidP="006C3CAF">
            <w:pPr>
              <w:jc w:val="center"/>
              <w:rPr>
                <w:rFonts w:ascii="Arial" w:hAnsi="Arial" w:cs="Arial"/>
                <w:b/>
                <w:bCs/>
                <w:color w:val="000000"/>
                <w:lang w:eastAsia="ko-KR"/>
              </w:rPr>
            </w:pPr>
            <w:r w:rsidRPr="002F3BB5">
              <w:rPr>
                <w:rFonts w:ascii="Arial" w:hAnsi="Arial" w:cs="Arial"/>
                <w:b/>
                <w:bCs/>
                <w:color w:val="000000"/>
                <w:lang w:eastAsia="ko-KR"/>
              </w:rPr>
              <w:t>Criterion 3 – Efficiency</w:t>
            </w:r>
          </w:p>
          <w:p w14:paraId="3CE4E680" w14:textId="77777777" w:rsidR="00FF5518" w:rsidRPr="002F3BB5" w:rsidRDefault="00FF5518">
            <w:pPr>
              <w:jc w:val="center"/>
              <w:rPr>
                <w:rFonts w:ascii="Arial" w:hAnsi="Arial" w:cs="Arial"/>
                <w:color w:val="000000"/>
                <w:lang w:eastAsia="ko-KR"/>
              </w:rPr>
            </w:pPr>
            <w:r w:rsidRPr="002F3BB5">
              <w:rPr>
                <w:rFonts w:ascii="Arial" w:hAnsi="Arial" w:cs="Arial"/>
                <w:color w:val="000000"/>
                <w:lang w:eastAsia="ko-KR"/>
              </w:rPr>
              <w:t>Fees should reflect the cost of the underlying VCAT services.</w:t>
            </w:r>
          </w:p>
        </w:tc>
        <w:tc>
          <w:tcPr>
            <w:tcW w:w="669" w:type="pct"/>
            <w:shd w:val="clear" w:color="000000" w:fill="FFFFFF"/>
            <w:noWrap/>
            <w:vAlign w:val="center"/>
            <w:hideMark/>
          </w:tcPr>
          <w:p w14:paraId="346B870E" w14:textId="77777777" w:rsidR="00FF5518" w:rsidRPr="002F3BB5" w:rsidRDefault="00154DC7">
            <w:pPr>
              <w:jc w:val="center"/>
              <w:rPr>
                <w:rFonts w:ascii="Calibri" w:hAnsi="Calibri" w:cs="Calibri"/>
                <w:color w:val="000000"/>
                <w:sz w:val="22"/>
                <w:szCs w:val="22"/>
                <w:lang w:eastAsia="ko-KR"/>
              </w:rPr>
            </w:pPr>
            <w:r>
              <w:rPr>
                <w:rFonts w:ascii="Calibri" w:hAnsi="Calibri" w:cs="Calibri"/>
                <w:color w:val="000000"/>
                <w:sz w:val="22"/>
                <w:szCs w:val="22"/>
                <w:lang w:eastAsia="ko-KR"/>
              </w:rPr>
              <w:t>15%</w:t>
            </w:r>
          </w:p>
        </w:tc>
        <w:tc>
          <w:tcPr>
            <w:tcW w:w="889" w:type="pct"/>
            <w:shd w:val="clear" w:color="000000" w:fill="FFFFFF"/>
            <w:noWrap/>
            <w:vAlign w:val="center"/>
            <w:hideMark/>
          </w:tcPr>
          <w:p w14:paraId="1C28F3AA" w14:textId="77777777" w:rsidR="00FF5518" w:rsidRPr="00EB4BEC" w:rsidRDefault="006C3CAF">
            <w:pPr>
              <w:jc w:val="center"/>
              <w:rPr>
                <w:rFonts w:ascii="Calibri" w:hAnsi="Calibri" w:cs="Calibri"/>
                <w:color w:val="000000"/>
                <w:sz w:val="22"/>
                <w:szCs w:val="22"/>
                <w:lang w:eastAsia="ko-KR"/>
              </w:rPr>
            </w:pPr>
            <w:r w:rsidRPr="006C3CAF">
              <w:rPr>
                <w:rFonts w:ascii="Calibri" w:hAnsi="Calibri" w:cs="Calibri"/>
                <w:sz w:val="22"/>
                <w:szCs w:val="22"/>
              </w:rPr>
              <w:t>5.</w:t>
            </w:r>
            <w:r w:rsidR="00FF5518" w:rsidRPr="00EB4BEC">
              <w:rPr>
                <w:rFonts w:ascii="Calibri" w:hAnsi="Calibri" w:cs="Calibri"/>
                <w:sz w:val="22"/>
                <w:szCs w:val="22"/>
              </w:rPr>
              <w:t>0</w:t>
            </w:r>
          </w:p>
        </w:tc>
        <w:tc>
          <w:tcPr>
            <w:tcW w:w="681" w:type="pct"/>
            <w:shd w:val="clear" w:color="000000" w:fill="FFFFFF"/>
            <w:noWrap/>
            <w:vAlign w:val="center"/>
            <w:hideMark/>
          </w:tcPr>
          <w:p w14:paraId="6A18707C" w14:textId="77777777" w:rsidR="00FF5518" w:rsidRPr="00EB4BEC" w:rsidRDefault="006C3CAF">
            <w:pPr>
              <w:jc w:val="center"/>
              <w:rPr>
                <w:rFonts w:ascii="Calibri" w:hAnsi="Calibri" w:cs="Calibri"/>
                <w:color w:val="000000"/>
                <w:sz w:val="22"/>
                <w:szCs w:val="22"/>
                <w:lang w:eastAsia="ko-KR"/>
              </w:rPr>
            </w:pPr>
            <w:r w:rsidRPr="006C3CAF">
              <w:rPr>
                <w:rFonts w:ascii="Calibri" w:hAnsi="Calibri" w:cs="Calibri"/>
                <w:sz w:val="22"/>
                <w:szCs w:val="22"/>
              </w:rPr>
              <w:t>4.5</w:t>
            </w:r>
          </w:p>
        </w:tc>
        <w:tc>
          <w:tcPr>
            <w:tcW w:w="1006" w:type="pct"/>
            <w:shd w:val="clear" w:color="auto" w:fill="E9FBEC"/>
            <w:noWrap/>
            <w:vAlign w:val="center"/>
            <w:hideMark/>
          </w:tcPr>
          <w:p w14:paraId="46A039EF" w14:textId="77777777" w:rsidR="00FF5518" w:rsidRPr="00EB4BEC" w:rsidRDefault="00AC4A00">
            <w:pPr>
              <w:jc w:val="center"/>
              <w:rPr>
                <w:rFonts w:ascii="Calibri" w:hAnsi="Calibri" w:cs="Calibri"/>
                <w:color w:val="000000"/>
                <w:sz w:val="22"/>
                <w:szCs w:val="22"/>
                <w:lang w:eastAsia="ko-KR"/>
              </w:rPr>
            </w:pPr>
            <w:r>
              <w:rPr>
                <w:rFonts w:ascii="Calibri" w:hAnsi="Calibri" w:cs="Calibri"/>
                <w:sz w:val="22"/>
                <w:szCs w:val="22"/>
              </w:rPr>
              <w:t>3</w:t>
            </w:r>
            <w:r w:rsidRPr="006C3CAF">
              <w:rPr>
                <w:rFonts w:ascii="Calibri" w:hAnsi="Calibri" w:cs="Calibri"/>
                <w:sz w:val="22"/>
                <w:szCs w:val="22"/>
              </w:rPr>
              <w:t>.</w:t>
            </w:r>
            <w:r>
              <w:rPr>
                <w:rFonts w:ascii="Calibri" w:hAnsi="Calibri" w:cs="Calibri"/>
                <w:sz w:val="22"/>
                <w:szCs w:val="22"/>
              </w:rPr>
              <w:t>5</w:t>
            </w:r>
          </w:p>
        </w:tc>
      </w:tr>
      <w:tr w:rsidR="00FF5518" w:rsidRPr="006C3CAF" w14:paraId="0E599D93" w14:textId="77777777" w:rsidTr="00B418A5">
        <w:trPr>
          <w:trHeight w:val="1625"/>
          <w:jc w:val="center"/>
        </w:trPr>
        <w:tc>
          <w:tcPr>
            <w:tcW w:w="1755" w:type="pct"/>
            <w:shd w:val="clear" w:color="000000" w:fill="FFFFFF"/>
            <w:vAlign w:val="center"/>
            <w:hideMark/>
          </w:tcPr>
          <w:p w14:paraId="7C02B6A1" w14:textId="77777777" w:rsidR="00531A01" w:rsidRPr="002F3BB5" w:rsidRDefault="00531A01" w:rsidP="006C3CAF">
            <w:pPr>
              <w:jc w:val="center"/>
              <w:rPr>
                <w:rFonts w:ascii="Arial" w:hAnsi="Arial" w:cs="Arial"/>
                <w:b/>
                <w:bCs/>
                <w:color w:val="000000"/>
                <w:lang w:eastAsia="ko-KR"/>
              </w:rPr>
            </w:pPr>
            <w:r w:rsidRPr="002F3BB5">
              <w:rPr>
                <w:rFonts w:ascii="Arial" w:hAnsi="Arial" w:cs="Arial"/>
                <w:b/>
                <w:bCs/>
                <w:color w:val="000000"/>
                <w:lang w:eastAsia="ko-KR"/>
              </w:rPr>
              <w:t>Criterion 4 – Simplicity</w:t>
            </w:r>
          </w:p>
          <w:p w14:paraId="0F25473C" w14:textId="77777777" w:rsidR="00FF5518" w:rsidRPr="002F3BB5" w:rsidRDefault="00FF5518">
            <w:pPr>
              <w:jc w:val="center"/>
              <w:rPr>
                <w:rFonts w:ascii="Arial" w:hAnsi="Arial" w:cs="Arial"/>
                <w:color w:val="000000"/>
                <w:lang w:eastAsia="ko-KR"/>
              </w:rPr>
            </w:pPr>
            <w:r w:rsidRPr="002F3BB5">
              <w:rPr>
                <w:rFonts w:ascii="Arial" w:hAnsi="Arial" w:cs="Arial"/>
                <w:color w:val="000000"/>
                <w:lang w:eastAsia="ko-KR"/>
              </w:rPr>
              <w:t>Fee structures should be simple to administer for VCAT and easy to navigate for VCAT users.</w:t>
            </w:r>
          </w:p>
        </w:tc>
        <w:tc>
          <w:tcPr>
            <w:tcW w:w="669" w:type="pct"/>
            <w:shd w:val="clear" w:color="000000" w:fill="FFFFFF"/>
            <w:noWrap/>
            <w:vAlign w:val="center"/>
            <w:hideMark/>
          </w:tcPr>
          <w:p w14:paraId="242A8F4E" w14:textId="77777777" w:rsidR="00FF5518" w:rsidRPr="002F3BB5" w:rsidRDefault="00154DC7">
            <w:pPr>
              <w:jc w:val="center"/>
              <w:rPr>
                <w:rFonts w:ascii="Calibri" w:hAnsi="Calibri" w:cs="Calibri"/>
                <w:color w:val="000000"/>
                <w:sz w:val="22"/>
                <w:szCs w:val="22"/>
                <w:lang w:eastAsia="ko-KR"/>
              </w:rPr>
            </w:pPr>
            <w:r>
              <w:rPr>
                <w:rFonts w:ascii="Calibri" w:hAnsi="Calibri" w:cs="Calibri"/>
                <w:color w:val="000000"/>
                <w:sz w:val="22"/>
                <w:szCs w:val="22"/>
                <w:lang w:eastAsia="ko-KR"/>
              </w:rPr>
              <w:t>10%</w:t>
            </w:r>
          </w:p>
        </w:tc>
        <w:tc>
          <w:tcPr>
            <w:tcW w:w="889" w:type="pct"/>
            <w:shd w:val="clear" w:color="000000" w:fill="FFFFFF"/>
            <w:noWrap/>
            <w:vAlign w:val="center"/>
            <w:hideMark/>
          </w:tcPr>
          <w:p w14:paraId="0FC87A42" w14:textId="77777777" w:rsidR="00FF5518" w:rsidRPr="00EB4BEC" w:rsidRDefault="00FF5518">
            <w:pPr>
              <w:jc w:val="center"/>
              <w:rPr>
                <w:rFonts w:ascii="Calibri" w:hAnsi="Calibri" w:cs="Calibri"/>
                <w:color w:val="000000"/>
                <w:sz w:val="22"/>
                <w:szCs w:val="22"/>
                <w:lang w:eastAsia="ko-KR"/>
              </w:rPr>
            </w:pPr>
            <w:r w:rsidRPr="00EB4BEC">
              <w:rPr>
                <w:rFonts w:ascii="Calibri" w:hAnsi="Calibri" w:cs="Calibri"/>
                <w:sz w:val="22"/>
                <w:szCs w:val="22"/>
              </w:rPr>
              <w:t>-</w:t>
            </w:r>
            <w:r w:rsidR="006C3CAF" w:rsidRPr="006C3CAF">
              <w:rPr>
                <w:rFonts w:ascii="Calibri" w:hAnsi="Calibri" w:cs="Calibri"/>
                <w:sz w:val="22"/>
                <w:szCs w:val="22"/>
              </w:rPr>
              <w:t>4.</w:t>
            </w:r>
            <w:r w:rsidRPr="00EB4BEC">
              <w:rPr>
                <w:rFonts w:ascii="Calibri" w:hAnsi="Calibri" w:cs="Calibri"/>
                <w:sz w:val="22"/>
                <w:szCs w:val="22"/>
              </w:rPr>
              <w:t>0</w:t>
            </w:r>
          </w:p>
        </w:tc>
        <w:tc>
          <w:tcPr>
            <w:tcW w:w="681" w:type="pct"/>
            <w:shd w:val="clear" w:color="000000" w:fill="FFFFFF"/>
            <w:noWrap/>
            <w:vAlign w:val="center"/>
            <w:hideMark/>
          </w:tcPr>
          <w:p w14:paraId="1906DE11" w14:textId="77777777" w:rsidR="00FF5518" w:rsidRPr="00EB4BEC" w:rsidRDefault="00FF5518">
            <w:pPr>
              <w:jc w:val="center"/>
              <w:rPr>
                <w:rFonts w:ascii="Calibri" w:hAnsi="Calibri" w:cs="Calibri"/>
                <w:color w:val="000000"/>
                <w:sz w:val="22"/>
                <w:szCs w:val="22"/>
                <w:lang w:eastAsia="ko-KR"/>
              </w:rPr>
            </w:pPr>
            <w:r w:rsidRPr="00EB4BEC">
              <w:rPr>
                <w:rFonts w:ascii="Calibri" w:hAnsi="Calibri" w:cs="Calibri"/>
                <w:sz w:val="22"/>
                <w:szCs w:val="22"/>
              </w:rPr>
              <w:t>-</w:t>
            </w:r>
            <w:r w:rsidR="006C3CAF" w:rsidRPr="006C3CAF">
              <w:rPr>
                <w:rFonts w:ascii="Calibri" w:hAnsi="Calibri" w:cs="Calibri"/>
                <w:sz w:val="22"/>
                <w:szCs w:val="22"/>
              </w:rPr>
              <w:t>6.</w:t>
            </w:r>
            <w:r w:rsidRPr="00EB4BEC">
              <w:rPr>
                <w:rFonts w:ascii="Calibri" w:hAnsi="Calibri" w:cs="Calibri"/>
                <w:sz w:val="22"/>
                <w:szCs w:val="22"/>
              </w:rPr>
              <w:t>0</w:t>
            </w:r>
          </w:p>
        </w:tc>
        <w:tc>
          <w:tcPr>
            <w:tcW w:w="1006" w:type="pct"/>
            <w:shd w:val="clear" w:color="auto" w:fill="E9FBEC"/>
            <w:noWrap/>
            <w:vAlign w:val="center"/>
            <w:hideMark/>
          </w:tcPr>
          <w:p w14:paraId="3781EC79" w14:textId="77777777" w:rsidR="00FF5518" w:rsidRPr="00EB4BEC" w:rsidRDefault="00FF5518">
            <w:pPr>
              <w:jc w:val="center"/>
              <w:rPr>
                <w:rFonts w:ascii="Calibri" w:hAnsi="Calibri" w:cs="Calibri"/>
                <w:color w:val="000000"/>
                <w:sz w:val="22"/>
                <w:szCs w:val="22"/>
                <w:lang w:eastAsia="ko-KR"/>
              </w:rPr>
            </w:pPr>
            <w:r w:rsidRPr="00EB4BEC">
              <w:rPr>
                <w:rFonts w:ascii="Calibri" w:hAnsi="Calibri" w:cs="Calibri"/>
                <w:sz w:val="22"/>
                <w:szCs w:val="22"/>
              </w:rPr>
              <w:t>-</w:t>
            </w:r>
            <w:r w:rsidR="006C3CAF" w:rsidRPr="006C3CAF">
              <w:rPr>
                <w:rFonts w:ascii="Calibri" w:hAnsi="Calibri" w:cs="Calibri"/>
                <w:sz w:val="22"/>
                <w:szCs w:val="22"/>
              </w:rPr>
              <w:t>6.</w:t>
            </w:r>
            <w:r w:rsidRPr="00EB4BEC">
              <w:rPr>
                <w:rFonts w:ascii="Calibri" w:hAnsi="Calibri" w:cs="Calibri"/>
                <w:sz w:val="22"/>
                <w:szCs w:val="22"/>
              </w:rPr>
              <w:t>0</w:t>
            </w:r>
          </w:p>
        </w:tc>
      </w:tr>
      <w:tr w:rsidR="00FF5518" w:rsidRPr="00CB74E6" w14:paraId="3E89051C" w14:textId="77777777" w:rsidTr="00B418A5">
        <w:trPr>
          <w:trHeight w:val="723"/>
          <w:jc w:val="center"/>
        </w:trPr>
        <w:tc>
          <w:tcPr>
            <w:tcW w:w="1755" w:type="pct"/>
            <w:shd w:val="clear" w:color="auto" w:fill="F2F2F2" w:themeFill="background1" w:themeFillShade="F2"/>
            <w:noWrap/>
            <w:vAlign w:val="center"/>
            <w:hideMark/>
          </w:tcPr>
          <w:p w14:paraId="1EFECC0C" w14:textId="77777777" w:rsidR="00FF5518" w:rsidRPr="002F3BB5" w:rsidRDefault="00FF5518">
            <w:pPr>
              <w:jc w:val="center"/>
              <w:rPr>
                <w:rFonts w:ascii="Arial" w:hAnsi="Arial" w:cs="Arial"/>
                <w:b/>
                <w:bCs/>
                <w:color w:val="000000"/>
                <w:lang w:eastAsia="ko-KR"/>
              </w:rPr>
            </w:pPr>
            <w:r w:rsidRPr="002F3BB5">
              <w:rPr>
                <w:rFonts w:ascii="Arial" w:hAnsi="Arial" w:cs="Arial"/>
                <w:b/>
                <w:bCs/>
                <w:color w:val="000000"/>
                <w:lang w:eastAsia="ko-KR"/>
              </w:rPr>
              <w:t>Weighted Score</w:t>
            </w:r>
          </w:p>
        </w:tc>
        <w:tc>
          <w:tcPr>
            <w:tcW w:w="669" w:type="pct"/>
            <w:shd w:val="clear" w:color="auto" w:fill="F2F2F2" w:themeFill="background1" w:themeFillShade="F2"/>
            <w:noWrap/>
            <w:vAlign w:val="center"/>
            <w:hideMark/>
          </w:tcPr>
          <w:p w14:paraId="2FE6B251" w14:textId="77777777" w:rsidR="00FF5518" w:rsidRPr="003036D1" w:rsidRDefault="00FF5518">
            <w:pPr>
              <w:jc w:val="center"/>
              <w:rPr>
                <w:rFonts w:ascii="Aptos Narrow" w:hAnsi="Aptos Narrow"/>
                <w:b/>
                <w:color w:val="000000"/>
                <w:sz w:val="22"/>
                <w:szCs w:val="22"/>
                <w:lang w:eastAsia="ko-KR"/>
              </w:rPr>
            </w:pPr>
            <w:r w:rsidRPr="003036D1">
              <w:rPr>
                <w:rFonts w:ascii="Aptos Narrow" w:hAnsi="Aptos Narrow"/>
                <w:b/>
                <w:color w:val="000000"/>
                <w:sz w:val="22"/>
                <w:szCs w:val="22"/>
                <w:lang w:eastAsia="ko-KR"/>
              </w:rPr>
              <w:t> </w:t>
            </w:r>
          </w:p>
        </w:tc>
        <w:tc>
          <w:tcPr>
            <w:tcW w:w="889" w:type="pct"/>
            <w:shd w:val="clear" w:color="auto" w:fill="F2F2F2" w:themeFill="background1" w:themeFillShade="F2"/>
            <w:noWrap/>
            <w:vAlign w:val="center"/>
            <w:hideMark/>
          </w:tcPr>
          <w:p w14:paraId="40538B9E" w14:textId="77777777" w:rsidR="00FF5518" w:rsidRPr="003036D1" w:rsidRDefault="00FF5518">
            <w:pPr>
              <w:jc w:val="center"/>
              <w:rPr>
                <w:rFonts w:ascii="Calibri" w:hAnsi="Calibri" w:cs="Calibri"/>
                <w:b/>
                <w:color w:val="000000"/>
                <w:sz w:val="22"/>
                <w:szCs w:val="22"/>
                <w:lang w:eastAsia="ko-KR"/>
              </w:rPr>
            </w:pPr>
            <w:r w:rsidRPr="003036D1">
              <w:rPr>
                <w:rFonts w:ascii="Calibri" w:hAnsi="Calibri" w:cs="Calibri"/>
                <w:b/>
                <w:sz w:val="22"/>
                <w:szCs w:val="22"/>
              </w:rPr>
              <w:t>2.8</w:t>
            </w:r>
          </w:p>
        </w:tc>
        <w:tc>
          <w:tcPr>
            <w:tcW w:w="681" w:type="pct"/>
            <w:shd w:val="clear" w:color="auto" w:fill="F2F2F2" w:themeFill="background1" w:themeFillShade="F2"/>
            <w:noWrap/>
            <w:vAlign w:val="center"/>
            <w:hideMark/>
          </w:tcPr>
          <w:p w14:paraId="601FFD18" w14:textId="77777777" w:rsidR="00FF5518" w:rsidRPr="003036D1" w:rsidRDefault="00FF5518">
            <w:pPr>
              <w:jc w:val="center"/>
              <w:rPr>
                <w:rFonts w:ascii="Calibri" w:hAnsi="Calibri" w:cs="Calibri"/>
                <w:b/>
                <w:color w:val="000000"/>
                <w:sz w:val="22"/>
                <w:szCs w:val="22"/>
                <w:lang w:eastAsia="ko-KR"/>
              </w:rPr>
            </w:pPr>
            <w:r w:rsidRPr="003036D1">
              <w:rPr>
                <w:rFonts w:ascii="Calibri" w:hAnsi="Calibri" w:cs="Calibri"/>
                <w:b/>
                <w:sz w:val="22"/>
                <w:szCs w:val="22"/>
              </w:rPr>
              <w:t>4.0</w:t>
            </w:r>
          </w:p>
        </w:tc>
        <w:tc>
          <w:tcPr>
            <w:tcW w:w="1006" w:type="pct"/>
            <w:shd w:val="clear" w:color="auto" w:fill="E9FBEC"/>
            <w:noWrap/>
            <w:vAlign w:val="center"/>
            <w:hideMark/>
          </w:tcPr>
          <w:p w14:paraId="463D739C" w14:textId="77777777" w:rsidR="00FF5518" w:rsidRPr="003036D1" w:rsidRDefault="002D273E">
            <w:pPr>
              <w:jc w:val="center"/>
              <w:rPr>
                <w:rFonts w:ascii="Calibri" w:hAnsi="Calibri" w:cs="Calibri"/>
                <w:b/>
                <w:color w:val="000000"/>
                <w:sz w:val="22"/>
                <w:szCs w:val="22"/>
                <w:lang w:eastAsia="ko-KR"/>
              </w:rPr>
            </w:pPr>
            <w:r>
              <w:rPr>
                <w:rFonts w:ascii="Calibri" w:hAnsi="Calibri" w:cs="Calibri"/>
                <w:b/>
                <w:sz w:val="22"/>
                <w:szCs w:val="22"/>
              </w:rPr>
              <w:t>5</w:t>
            </w:r>
            <w:r w:rsidR="00FF5518" w:rsidRPr="003036D1">
              <w:rPr>
                <w:rFonts w:ascii="Calibri" w:hAnsi="Calibri" w:cs="Calibri"/>
                <w:b/>
                <w:sz w:val="22"/>
                <w:szCs w:val="22"/>
              </w:rPr>
              <w:t>.</w:t>
            </w:r>
            <w:r w:rsidR="00AC4A00">
              <w:rPr>
                <w:rFonts w:ascii="Calibri" w:hAnsi="Calibri" w:cs="Calibri"/>
                <w:b/>
                <w:sz w:val="22"/>
                <w:szCs w:val="22"/>
              </w:rPr>
              <w:t>2</w:t>
            </w:r>
          </w:p>
        </w:tc>
      </w:tr>
    </w:tbl>
    <w:p w14:paraId="1557D53E" w14:textId="77777777" w:rsidR="00FF5518" w:rsidRPr="003B4F9D" w:rsidRDefault="00FF5518" w:rsidP="00D5303B">
      <w:pPr>
        <w:pStyle w:val="DJCSbody"/>
      </w:pPr>
    </w:p>
    <w:p w14:paraId="1FA231AF" w14:textId="6ABE5ABF" w:rsidR="006F3CC0" w:rsidRDefault="006F3CC0" w:rsidP="00E55C12">
      <w:pPr>
        <w:pStyle w:val="Heading3"/>
      </w:pPr>
      <w:bookmarkStart w:id="30" w:name="_Toc216179668"/>
      <w:r w:rsidRPr="006F3CC0">
        <w:lastRenderedPageBreak/>
        <w:t xml:space="preserve">Preferred </w:t>
      </w:r>
      <w:r w:rsidR="00813208">
        <w:t>o</w:t>
      </w:r>
      <w:r w:rsidRPr="006F3CC0">
        <w:t>ption</w:t>
      </w:r>
      <w:bookmarkEnd w:id="30"/>
    </w:p>
    <w:p w14:paraId="1A4A9B54" w14:textId="6A8D79E9" w:rsidR="00DF591B" w:rsidRPr="00F6697B" w:rsidRDefault="0009148D" w:rsidP="00F6697B">
      <w:pPr>
        <w:pStyle w:val="DJCSbodyafterbullets"/>
        <w:ind w:left="720"/>
      </w:pPr>
      <w:r w:rsidRPr="00F6697B">
        <w:t>Option 3 has the follow</w:t>
      </w:r>
      <w:r w:rsidR="00BD7ACF">
        <w:t>ing</w:t>
      </w:r>
      <w:r w:rsidR="000231A9" w:rsidRPr="00F6697B">
        <w:t xml:space="preserve"> characteristics when compared to the </w:t>
      </w:r>
      <w:r w:rsidR="009842D7">
        <w:t>R</w:t>
      </w:r>
      <w:r w:rsidR="003121B8" w:rsidRPr="00F6697B">
        <w:t>egulations:</w:t>
      </w:r>
    </w:p>
    <w:p w14:paraId="65EFEA07" w14:textId="3D42EC15" w:rsidR="003121B8" w:rsidRPr="00F6697B" w:rsidRDefault="003121B8" w:rsidP="003C4FE7">
      <w:pPr>
        <w:pStyle w:val="DJCSbodyafterbullets"/>
        <w:numPr>
          <w:ilvl w:val="0"/>
          <w:numId w:val="40"/>
        </w:numPr>
      </w:pPr>
      <w:r w:rsidRPr="000274F9">
        <w:rPr>
          <w:b/>
        </w:rPr>
        <w:t xml:space="preserve">New </w:t>
      </w:r>
      <w:r w:rsidR="009842D7">
        <w:rPr>
          <w:b/>
        </w:rPr>
        <w:t>f</w:t>
      </w:r>
      <w:r w:rsidR="009842D7" w:rsidRPr="000274F9">
        <w:rPr>
          <w:b/>
        </w:rPr>
        <w:t xml:space="preserve">ee </w:t>
      </w:r>
      <w:r w:rsidR="009842D7">
        <w:rPr>
          <w:b/>
        </w:rPr>
        <w:t>s</w:t>
      </w:r>
      <w:r w:rsidR="009842D7" w:rsidRPr="000274F9">
        <w:rPr>
          <w:b/>
        </w:rPr>
        <w:t>tructure</w:t>
      </w:r>
      <w:r w:rsidR="00942D0D" w:rsidRPr="00F6697B">
        <w:t>: introd</w:t>
      </w:r>
      <w:r w:rsidR="0015449E" w:rsidRPr="00F6697B">
        <w:t xml:space="preserve">uces a range of measures </w:t>
      </w:r>
      <w:r w:rsidR="00F4378B" w:rsidRPr="00F6697B">
        <w:t xml:space="preserve">as outlined in </w:t>
      </w:r>
      <w:hyperlink w:anchor="_Fee_Schedule_under" w:history="1">
        <w:r w:rsidR="00E57E7A" w:rsidRPr="00E57E7A">
          <w:rPr>
            <w:rStyle w:val="Hyperlink"/>
          </w:rPr>
          <w:t>Table 11- New Fee Structure for Options 2 and 3</w:t>
        </w:r>
      </w:hyperlink>
      <w:r w:rsidR="00F4378B" w:rsidRPr="00F6697B">
        <w:t xml:space="preserve"> to better reflect </w:t>
      </w:r>
      <w:r w:rsidR="007350BB" w:rsidRPr="00F6697B">
        <w:t>users’</w:t>
      </w:r>
      <w:r w:rsidR="00F4378B" w:rsidRPr="00F6697B">
        <w:t xml:space="preserve"> ability to pay</w:t>
      </w:r>
      <w:r w:rsidR="0015449E" w:rsidRPr="00F6697B">
        <w:t xml:space="preserve"> VCAT </w:t>
      </w:r>
      <w:r w:rsidR="00F4378B" w:rsidRPr="00F6697B">
        <w:t xml:space="preserve">fees, </w:t>
      </w:r>
      <w:r w:rsidR="006646C9" w:rsidRPr="00F6697B">
        <w:t xml:space="preserve">provide access </w:t>
      </w:r>
      <w:r w:rsidR="00594904" w:rsidRPr="00F6697B">
        <w:t>to VCAT</w:t>
      </w:r>
      <w:r w:rsidR="007229EB" w:rsidRPr="00F6697B">
        <w:t xml:space="preserve"> services </w:t>
      </w:r>
      <w:r w:rsidR="005E197B" w:rsidRPr="00F6697B">
        <w:t xml:space="preserve">to those with </w:t>
      </w:r>
      <w:r w:rsidR="009842D7">
        <w:t xml:space="preserve">less </w:t>
      </w:r>
      <w:r w:rsidR="005E197B" w:rsidRPr="00F6697B">
        <w:t xml:space="preserve">ability to pay and ensure the </w:t>
      </w:r>
      <w:r w:rsidR="008B04FF">
        <w:t xml:space="preserve">cost of </w:t>
      </w:r>
      <w:r w:rsidR="005E197B" w:rsidRPr="00F6697B">
        <w:t xml:space="preserve">dispute resolution </w:t>
      </w:r>
      <w:r w:rsidR="0064003B" w:rsidRPr="00F6697B">
        <w:t xml:space="preserve">is better reflected in the fee structure to encourage </w:t>
      </w:r>
      <w:r w:rsidR="008B04FF">
        <w:t xml:space="preserve">the </w:t>
      </w:r>
      <w:r w:rsidR="0064003B" w:rsidRPr="00F6697B">
        <w:t xml:space="preserve">earlier </w:t>
      </w:r>
      <w:r w:rsidR="008B04FF">
        <w:t>resolution of disputes</w:t>
      </w:r>
      <w:r w:rsidR="0064003B" w:rsidRPr="00F6697B">
        <w:t>.</w:t>
      </w:r>
    </w:p>
    <w:p w14:paraId="5E6ABD43" w14:textId="71134161" w:rsidR="00DD7C88" w:rsidRPr="00F6697B" w:rsidRDefault="00C819AB" w:rsidP="003C4FE7">
      <w:pPr>
        <w:pStyle w:val="DJCSbodyafterbullets"/>
        <w:numPr>
          <w:ilvl w:val="0"/>
          <w:numId w:val="40"/>
        </w:numPr>
      </w:pPr>
      <w:r w:rsidRPr="007350BB">
        <w:rPr>
          <w:b/>
        </w:rPr>
        <w:t>Fee</w:t>
      </w:r>
      <w:r w:rsidRPr="007350BB" w:rsidDel="00AC2423">
        <w:rPr>
          <w:b/>
        </w:rPr>
        <w:t xml:space="preserve"> </w:t>
      </w:r>
      <w:r w:rsidR="00AC2423">
        <w:rPr>
          <w:b/>
        </w:rPr>
        <w:t>l</w:t>
      </w:r>
      <w:r w:rsidR="00AC2423" w:rsidRPr="007350BB">
        <w:rPr>
          <w:b/>
        </w:rPr>
        <w:t>evels</w:t>
      </w:r>
      <w:r w:rsidRPr="007350BB">
        <w:rPr>
          <w:b/>
        </w:rPr>
        <w:t xml:space="preserve"> </w:t>
      </w:r>
      <w:r w:rsidR="000274F9" w:rsidRPr="007350BB">
        <w:rPr>
          <w:b/>
          <w:bCs/>
        </w:rPr>
        <w:t xml:space="preserve">that better </w:t>
      </w:r>
      <w:r w:rsidRPr="007350BB">
        <w:rPr>
          <w:b/>
        </w:rPr>
        <w:t xml:space="preserve">represent </w:t>
      </w:r>
      <w:r w:rsidR="000274F9" w:rsidRPr="007350BB">
        <w:rPr>
          <w:b/>
          <w:bCs/>
        </w:rPr>
        <w:t>costs</w:t>
      </w:r>
      <w:r w:rsidR="000274F9">
        <w:t>:</w:t>
      </w:r>
      <w:r w:rsidRPr="00F6697B">
        <w:t xml:space="preserve"> </w:t>
      </w:r>
      <w:r w:rsidR="000274F9">
        <w:t>increases to fee levels for corporate fee payers</w:t>
      </w:r>
      <w:r w:rsidR="007350BB">
        <w:t xml:space="preserve"> reflect</w:t>
      </w:r>
      <w:r w:rsidRPr="00F6697B">
        <w:t xml:space="preserve"> </w:t>
      </w:r>
      <w:r w:rsidR="0064003B" w:rsidRPr="00F6697B">
        <w:t xml:space="preserve">the </w:t>
      </w:r>
      <w:r w:rsidR="007350BB">
        <w:t>increase</w:t>
      </w:r>
      <w:r w:rsidR="0064003B" w:rsidRPr="00F6697B">
        <w:t xml:space="preserve"> in costs in VCAT services since 2016</w:t>
      </w:r>
      <w:r w:rsidR="005C1752" w:rsidRPr="00F6697B">
        <w:t xml:space="preserve">. This includes </w:t>
      </w:r>
      <w:r w:rsidR="00F6697B">
        <w:t xml:space="preserve">fees that </w:t>
      </w:r>
      <w:r w:rsidR="005C1752" w:rsidRPr="00F6697B">
        <w:t>better reflect the cost</w:t>
      </w:r>
      <w:r w:rsidR="00F6697B">
        <w:t>s</w:t>
      </w:r>
      <w:r w:rsidR="005C1752" w:rsidRPr="00F6697B">
        <w:t xml:space="preserve"> </w:t>
      </w:r>
      <w:r w:rsidR="00373CE9" w:rsidRPr="00F6697B">
        <w:t xml:space="preserve">of dispute resolution </w:t>
      </w:r>
      <w:r w:rsidR="00785C9C" w:rsidRPr="00F6697B">
        <w:t>and hearing</w:t>
      </w:r>
      <w:r w:rsidR="00F6697B">
        <w:t>s</w:t>
      </w:r>
      <w:r w:rsidR="00785C9C" w:rsidRPr="00F6697B">
        <w:t xml:space="preserve"> in line with VCAT resource usage</w:t>
      </w:r>
      <w:r w:rsidR="00F6697B">
        <w:t>, direct and indirect costs</w:t>
      </w:r>
      <w:r w:rsidR="00785C9C" w:rsidRPr="00F6697B">
        <w:t>.</w:t>
      </w:r>
    </w:p>
    <w:p w14:paraId="3E650452" w14:textId="674C82E5" w:rsidR="006155F9" w:rsidRPr="00F6697B" w:rsidRDefault="006155F9" w:rsidP="003C4FE7">
      <w:pPr>
        <w:pStyle w:val="DJCSbodyafterbullets"/>
        <w:numPr>
          <w:ilvl w:val="0"/>
          <w:numId w:val="40"/>
        </w:numPr>
      </w:pPr>
      <w:r w:rsidRPr="007350BB">
        <w:rPr>
          <w:b/>
        </w:rPr>
        <w:t xml:space="preserve">Increasing the </w:t>
      </w:r>
      <w:r>
        <w:rPr>
          <w:b/>
        </w:rPr>
        <w:t xml:space="preserve">overall </w:t>
      </w:r>
      <w:r w:rsidR="007350BB" w:rsidRPr="007350BB">
        <w:rPr>
          <w:b/>
          <w:bCs/>
        </w:rPr>
        <w:t>level of</w:t>
      </w:r>
      <w:r w:rsidR="00A03D5B" w:rsidRPr="007350BB">
        <w:rPr>
          <w:b/>
          <w:bCs/>
        </w:rPr>
        <w:t xml:space="preserve"> </w:t>
      </w:r>
      <w:r w:rsidR="008B1462" w:rsidRPr="007350BB">
        <w:rPr>
          <w:b/>
        </w:rPr>
        <w:t>fee revenue</w:t>
      </w:r>
      <w:r w:rsidR="005A5641">
        <w:rPr>
          <w:b/>
        </w:rPr>
        <w:t xml:space="preserve"> generated</w:t>
      </w:r>
      <w:r w:rsidR="00AC2423" w:rsidRPr="00C329DD">
        <w:rPr>
          <w:bCs/>
        </w:rPr>
        <w:t>:</w:t>
      </w:r>
      <w:r w:rsidR="00AC2423" w:rsidRPr="00F6697B">
        <w:t xml:space="preserve"> </w:t>
      </w:r>
      <w:r w:rsidR="00AC2423">
        <w:t>i</w:t>
      </w:r>
      <w:r w:rsidR="00502723">
        <w:t>ncreas</w:t>
      </w:r>
      <w:r w:rsidR="00BE4182">
        <w:t>e</w:t>
      </w:r>
      <w:r w:rsidR="00010669">
        <w:t>d</w:t>
      </w:r>
      <w:r w:rsidR="00502723">
        <w:t xml:space="preserve"> fee</w:t>
      </w:r>
      <w:r w:rsidR="00414964" w:rsidRPr="00F6697B">
        <w:t xml:space="preserve"> revenue help</w:t>
      </w:r>
      <w:r w:rsidR="00010669">
        <w:t>s</w:t>
      </w:r>
      <w:r w:rsidR="00414964" w:rsidRPr="00F6697B">
        <w:t xml:space="preserve"> to </w:t>
      </w:r>
      <w:r w:rsidR="007641DC">
        <w:t xml:space="preserve">ensure that </w:t>
      </w:r>
      <w:r w:rsidR="00283972">
        <w:t xml:space="preserve">the </w:t>
      </w:r>
      <w:r w:rsidR="00AC62AA">
        <w:t xml:space="preserve">amount of </w:t>
      </w:r>
      <w:r w:rsidR="00283972">
        <w:t xml:space="preserve">revenue </w:t>
      </w:r>
      <w:r w:rsidR="00FB097E">
        <w:t>is</w:t>
      </w:r>
      <w:r w:rsidR="00FC4E8D">
        <w:t xml:space="preserve"> </w:t>
      </w:r>
      <w:r w:rsidR="00C12C5C">
        <w:t xml:space="preserve">more reflective of </w:t>
      </w:r>
      <w:r w:rsidR="00FC4E8D">
        <w:t>VCAT operating costs. This ensures that</w:t>
      </w:r>
      <w:r w:rsidR="00010669">
        <w:t>,</w:t>
      </w:r>
      <w:r w:rsidR="00FC4E8D">
        <w:t xml:space="preserve"> together with</w:t>
      </w:r>
      <w:r w:rsidR="00414964" w:rsidRPr="00F6697B">
        <w:t xml:space="preserve"> other government funding </w:t>
      </w:r>
      <w:r w:rsidR="007350BB">
        <w:t>sources</w:t>
      </w:r>
      <w:r w:rsidR="00010669">
        <w:t>,</w:t>
      </w:r>
      <w:r w:rsidR="00414964" w:rsidRPr="00F6697B">
        <w:t xml:space="preserve"> VCAT can continue to </w:t>
      </w:r>
      <w:r w:rsidR="00F6697B" w:rsidRPr="00F6697B">
        <w:t>fund its service delivery</w:t>
      </w:r>
      <w:r w:rsidR="00ED620A">
        <w:t xml:space="preserve"> and resolve disputes for users</w:t>
      </w:r>
      <w:r w:rsidR="00F6697B" w:rsidRPr="00F6697B">
        <w:t>.</w:t>
      </w:r>
    </w:p>
    <w:p w14:paraId="77EFCF06" w14:textId="761E289C" w:rsidR="006F3CC0" w:rsidRDefault="00DD7C88" w:rsidP="00703834">
      <w:pPr>
        <w:pStyle w:val="DJCSbodyafterbullets"/>
        <w:ind w:left="720"/>
      </w:pPr>
      <w:r w:rsidRPr="00F6697B">
        <w:t>Under</w:t>
      </w:r>
      <w:r w:rsidR="00061049" w:rsidRPr="00F6697B">
        <w:t xml:space="preserve"> the preferred option, </w:t>
      </w:r>
      <w:r w:rsidR="000A6372" w:rsidRPr="00F6697B">
        <w:t xml:space="preserve">some users in VCAT will pay lower </w:t>
      </w:r>
      <w:r w:rsidR="00F53E38" w:rsidRPr="001761B8">
        <w:t>application</w:t>
      </w:r>
      <w:r w:rsidR="00F53E38">
        <w:t xml:space="preserve"> </w:t>
      </w:r>
      <w:r w:rsidR="000A6372" w:rsidRPr="00F6697B">
        <w:t xml:space="preserve">fees </w:t>
      </w:r>
      <w:r w:rsidR="00240A3C">
        <w:t>than</w:t>
      </w:r>
      <w:r w:rsidR="000A711D" w:rsidRPr="00F6697B">
        <w:t xml:space="preserve"> in </w:t>
      </w:r>
      <w:r w:rsidR="00E47B49">
        <w:t>NSW</w:t>
      </w:r>
      <w:r w:rsidR="00240A3C">
        <w:t>, for example residential tenancies</w:t>
      </w:r>
      <w:r w:rsidR="00FA42DB">
        <w:t xml:space="preserve"> applications where there are no fees</w:t>
      </w:r>
      <w:r w:rsidR="009779D9">
        <w:t xml:space="preserve">. </w:t>
      </w:r>
      <w:r w:rsidR="00FA42DB">
        <w:t xml:space="preserve">It is difficult to </w:t>
      </w:r>
      <w:r w:rsidR="009621A9">
        <w:t xml:space="preserve">perfectly </w:t>
      </w:r>
      <w:r w:rsidR="00FA42DB">
        <w:t xml:space="preserve">compare </w:t>
      </w:r>
      <w:r w:rsidR="009621A9">
        <w:t>all</w:t>
      </w:r>
      <w:r w:rsidR="00FA42DB">
        <w:t xml:space="preserve"> fees with other similar sized jurisdictions</w:t>
      </w:r>
      <w:r w:rsidR="009621A9">
        <w:t>, as</w:t>
      </w:r>
      <w:r w:rsidR="00363665">
        <w:t xml:space="preserve"> fee structur</w:t>
      </w:r>
      <w:r w:rsidR="00EB4D6A">
        <w:t>es are different between states</w:t>
      </w:r>
      <w:r w:rsidR="00A62CED" w:rsidRPr="001761B8">
        <w:t>.</w:t>
      </w:r>
      <w:r w:rsidR="00EB4D6A" w:rsidRPr="001761B8">
        <w:t xml:space="preserve"> </w:t>
      </w:r>
      <w:r w:rsidR="00A62CED" w:rsidRPr="001761B8">
        <w:t>F</w:t>
      </w:r>
      <w:r w:rsidR="00EB4D6A" w:rsidRPr="001761B8">
        <w:t>or</w:t>
      </w:r>
      <w:r w:rsidR="00EB4D6A">
        <w:t xml:space="preserve"> example</w:t>
      </w:r>
      <w:r w:rsidR="00A62CED">
        <w:t>,</w:t>
      </w:r>
      <w:r w:rsidR="00363665">
        <w:t xml:space="preserve"> VCAT </w:t>
      </w:r>
      <w:r w:rsidR="00926B8C">
        <w:t xml:space="preserve">includes fees for services which are </w:t>
      </w:r>
      <w:r w:rsidR="006B0D7C">
        <w:t xml:space="preserve">not charged in NSW </w:t>
      </w:r>
      <w:r w:rsidR="002E2CD3">
        <w:t>nor</w:t>
      </w:r>
      <w:r w:rsidR="006B0D7C">
        <w:t xml:space="preserve"> Queensland</w:t>
      </w:r>
      <w:r w:rsidR="00C72821">
        <w:t>,</w:t>
      </w:r>
      <w:r w:rsidR="00236358">
        <w:t xml:space="preserve"> such as</w:t>
      </w:r>
      <w:r w:rsidR="00221BAA">
        <w:t xml:space="preserve"> fees for</w:t>
      </w:r>
      <w:r w:rsidR="006B0D7C">
        <w:t xml:space="preserve"> hearings and dispute resolution</w:t>
      </w:r>
      <w:r w:rsidR="000C531D">
        <w:t xml:space="preserve">. Including these fees for VCAT </w:t>
      </w:r>
      <w:r w:rsidR="004C70B7">
        <w:t>allows for the structure of Victorian fees</w:t>
      </w:r>
      <w:r w:rsidR="00E42F13">
        <w:t xml:space="preserve"> to better reflect the cost of the underlying activities and helps to incentivise </w:t>
      </w:r>
      <w:r w:rsidR="00252877">
        <w:t>earlier dispute resolution.</w:t>
      </w:r>
      <w:r w:rsidR="003306FA">
        <w:t xml:space="preserve"> </w:t>
      </w:r>
      <w:r w:rsidR="00892E33">
        <w:t>Cases that take</w:t>
      </w:r>
      <w:r w:rsidR="003306FA">
        <w:t xml:space="preserve"> longer </w:t>
      </w:r>
      <w:r w:rsidR="00892E33">
        <w:t xml:space="preserve">to resolve carry </w:t>
      </w:r>
      <w:r w:rsidR="003306FA">
        <w:t xml:space="preserve">a </w:t>
      </w:r>
      <w:r w:rsidR="00892E33">
        <w:t xml:space="preserve">greater </w:t>
      </w:r>
      <w:r w:rsidR="005C180E">
        <w:t>cost to VCAT</w:t>
      </w:r>
      <w:r w:rsidR="00840C00">
        <w:t>,</w:t>
      </w:r>
      <w:r w:rsidR="005C180E">
        <w:t xml:space="preserve"> </w:t>
      </w:r>
      <w:r w:rsidR="00AE2D3A">
        <w:t>and in most cases</w:t>
      </w:r>
      <w:r w:rsidR="00F17A8A">
        <w:t xml:space="preserve"> </w:t>
      </w:r>
      <w:r w:rsidR="00FD598B">
        <w:t>mean</w:t>
      </w:r>
      <w:r w:rsidR="00F17A8A">
        <w:t xml:space="preserve"> </w:t>
      </w:r>
      <w:r w:rsidR="00D73810">
        <w:t xml:space="preserve">higher fees </w:t>
      </w:r>
      <w:r w:rsidR="00FD598B">
        <w:t xml:space="preserve">are </w:t>
      </w:r>
      <w:r w:rsidR="00D73810">
        <w:t xml:space="preserve">incurred </w:t>
      </w:r>
      <w:r w:rsidR="00FD598B">
        <w:t>by the user</w:t>
      </w:r>
      <w:r w:rsidR="00D73810">
        <w:t xml:space="preserve"> (especially for corporations</w:t>
      </w:r>
      <w:r w:rsidR="00221BAA">
        <w:t>)</w:t>
      </w:r>
      <w:r w:rsidR="00D73810">
        <w:t>.</w:t>
      </w:r>
      <w:r w:rsidR="00F5682B">
        <w:t xml:space="preserve"> An </w:t>
      </w:r>
      <w:r w:rsidR="0050619F">
        <w:t>interjurisdictional</w:t>
      </w:r>
      <w:r w:rsidR="00F5682B">
        <w:t xml:space="preserve"> comparison of fees can be found at </w:t>
      </w:r>
      <w:hyperlink w:anchor="_Appendix_E_–" w:history="1">
        <w:r w:rsidR="00F5682B" w:rsidRPr="001761B8">
          <w:rPr>
            <w:rStyle w:val="Hyperlink"/>
          </w:rPr>
          <w:t xml:space="preserve">Appendix </w:t>
        </w:r>
        <w:r w:rsidR="00A03C69" w:rsidRPr="001761B8">
          <w:rPr>
            <w:rStyle w:val="Hyperlink"/>
          </w:rPr>
          <w:t>E</w:t>
        </w:r>
        <w:r w:rsidR="0050619F" w:rsidRPr="00A03C69">
          <w:rPr>
            <w:rStyle w:val="Hyperlink"/>
          </w:rPr>
          <w:t>.</w:t>
        </w:r>
      </w:hyperlink>
    </w:p>
    <w:p w14:paraId="63F87729" w14:textId="22CBD629" w:rsidR="006F3CC0" w:rsidRPr="006F3CC0" w:rsidRDefault="006F3CC0" w:rsidP="00E55C12">
      <w:pPr>
        <w:pStyle w:val="Heading3"/>
      </w:pPr>
      <w:bookmarkStart w:id="31" w:name="_Toc216179669"/>
      <w:r w:rsidRPr="006F3CC0">
        <w:t xml:space="preserve">Implementation and </w:t>
      </w:r>
      <w:r w:rsidR="00813208">
        <w:t>e</w:t>
      </w:r>
      <w:r w:rsidRPr="006F3CC0">
        <w:t>valuation</w:t>
      </w:r>
      <w:bookmarkEnd w:id="31"/>
    </w:p>
    <w:p w14:paraId="7D538695" w14:textId="7D8D11FF" w:rsidR="00801951" w:rsidRDefault="00D846D4" w:rsidP="003036D1">
      <w:pPr>
        <w:pStyle w:val="DJCSbodyafterbullets"/>
        <w:tabs>
          <w:tab w:val="left" w:pos="709"/>
        </w:tabs>
        <w:ind w:left="709"/>
      </w:pPr>
      <w:r>
        <w:t>To</w:t>
      </w:r>
      <w:r w:rsidR="005A44D9">
        <w:t xml:space="preserve"> make changes consistent with the </w:t>
      </w:r>
      <w:r w:rsidR="00314E9B">
        <w:t>proposed</w:t>
      </w:r>
      <w:r w:rsidR="005A44D9">
        <w:t xml:space="preserve"> </w:t>
      </w:r>
      <w:r w:rsidR="00E627F9">
        <w:t>Regulations</w:t>
      </w:r>
      <w:r w:rsidR="005A44D9">
        <w:t>, VCAT will need to update systems a</w:t>
      </w:r>
      <w:r w:rsidR="00D17105">
        <w:t xml:space="preserve">nd undertake </w:t>
      </w:r>
      <w:r w:rsidR="00C146D0">
        <w:t>staff training</w:t>
      </w:r>
      <w:r w:rsidR="00E228A1">
        <w:t>. VC</w:t>
      </w:r>
      <w:r w:rsidR="00584C0E">
        <w:t xml:space="preserve">AT will also need to update its website to reflect changes to fees </w:t>
      </w:r>
      <w:r w:rsidR="0090509F">
        <w:t xml:space="preserve">rates and </w:t>
      </w:r>
      <w:r w:rsidR="00E54DAB">
        <w:t xml:space="preserve">fee </w:t>
      </w:r>
      <w:r w:rsidR="0090509F">
        <w:t>structure. The</w:t>
      </w:r>
      <w:r w:rsidR="0090509F" w:rsidDel="001E6334">
        <w:t xml:space="preserve"> </w:t>
      </w:r>
      <w:r w:rsidR="001E6334">
        <w:t>proposed Regulations</w:t>
      </w:r>
      <w:r w:rsidR="0090509F">
        <w:t xml:space="preserve"> are scheduled to commence </w:t>
      </w:r>
      <w:r w:rsidR="00FB6965">
        <w:t xml:space="preserve">in </w:t>
      </w:r>
      <w:r w:rsidR="00D03C93">
        <w:t>quarter four in 2025-26</w:t>
      </w:r>
      <w:r w:rsidR="0090509F">
        <w:t>.</w:t>
      </w:r>
    </w:p>
    <w:p w14:paraId="5CE1473A" w14:textId="37AC819B" w:rsidR="0090509F" w:rsidRDefault="00C85BBC" w:rsidP="003036D1">
      <w:pPr>
        <w:pStyle w:val="DJCSbodyafterbullets"/>
        <w:tabs>
          <w:tab w:val="left" w:pos="709"/>
        </w:tabs>
        <w:ind w:left="709"/>
      </w:pPr>
      <w:r>
        <w:t xml:space="preserve">To </w:t>
      </w:r>
      <w:r w:rsidR="00991538">
        <w:t>evaluate the effectiveness of changes to VCAT fees</w:t>
      </w:r>
      <w:r w:rsidR="00811573">
        <w:t xml:space="preserve"> against the objectives</w:t>
      </w:r>
      <w:r w:rsidR="00991538">
        <w:t>, DJCS will undertake a</w:t>
      </w:r>
      <w:r w:rsidR="0002087A">
        <w:t xml:space="preserve"> mid-term</w:t>
      </w:r>
      <w:r w:rsidR="00991538">
        <w:t xml:space="preserve"> evaluation in</w:t>
      </w:r>
      <w:r w:rsidR="0054507E">
        <w:t xml:space="preserve"> 2031</w:t>
      </w:r>
      <w:r w:rsidR="00E65CC6">
        <w:t>.</w:t>
      </w:r>
      <w:r w:rsidR="0002087A">
        <w:t xml:space="preserve"> This represents the half-way point </w:t>
      </w:r>
      <w:r w:rsidR="007162FC">
        <w:t xml:space="preserve">of the remade </w:t>
      </w:r>
      <w:r w:rsidR="009A77E4">
        <w:t>R</w:t>
      </w:r>
      <w:r w:rsidR="007162FC">
        <w:t>egulations.</w:t>
      </w:r>
      <w:r w:rsidR="00875256">
        <w:t xml:space="preserve"> This will allow for the </w:t>
      </w:r>
      <w:r w:rsidR="002314AB">
        <w:t>review of VCAT fees</w:t>
      </w:r>
      <w:r w:rsidR="005E7CDD">
        <w:t xml:space="preserve"> </w:t>
      </w:r>
      <w:r w:rsidR="00442DF2">
        <w:t>alongside</w:t>
      </w:r>
      <w:r w:rsidR="005E7CDD">
        <w:t xml:space="preserve"> the </w:t>
      </w:r>
      <w:r w:rsidR="00830AAE">
        <w:t>required</w:t>
      </w:r>
      <w:r w:rsidR="005E7CDD">
        <w:t xml:space="preserve"> remaking </w:t>
      </w:r>
      <w:r w:rsidR="00830AAE">
        <w:t xml:space="preserve">of </w:t>
      </w:r>
      <w:r w:rsidR="005E7CDD">
        <w:t>the Magistrates’ Court (Fees) Regulations 2022</w:t>
      </w:r>
      <w:r w:rsidR="00830AAE">
        <w:t xml:space="preserve"> (prior to their sunset</w:t>
      </w:r>
      <w:r w:rsidR="004B171F">
        <w:t>ting date).</w:t>
      </w:r>
    </w:p>
    <w:p w14:paraId="3A80580E" w14:textId="3EF66474" w:rsidR="008621A4" w:rsidRDefault="008621A4" w:rsidP="00BE6A62">
      <w:pPr>
        <w:pStyle w:val="DJCSbodyafterbullets"/>
      </w:pPr>
      <w:r>
        <w:br w:type="page"/>
      </w:r>
    </w:p>
    <w:p w14:paraId="085F0136" w14:textId="72B00A00" w:rsidR="00EC2AE9" w:rsidRPr="00BF4FBD" w:rsidRDefault="00A00994" w:rsidP="00BE6A62">
      <w:pPr>
        <w:pStyle w:val="Heading1"/>
      </w:pPr>
      <w:bookmarkStart w:id="32" w:name="_Toc216179670"/>
      <w:r w:rsidRPr="00BF4FBD">
        <w:lastRenderedPageBreak/>
        <w:t>Background</w:t>
      </w:r>
      <w:bookmarkEnd w:id="32"/>
    </w:p>
    <w:p w14:paraId="5A3CFA24" w14:textId="16E97EEA" w:rsidR="004A6317" w:rsidRDefault="004A6317" w:rsidP="004A6317">
      <w:pPr>
        <w:pStyle w:val="DJCSbody"/>
        <w:ind w:left="680"/>
      </w:pPr>
      <w:r>
        <w:t xml:space="preserve">This section provides </w:t>
      </w:r>
      <w:r w:rsidR="00A15DF8">
        <w:t>relevant background</w:t>
      </w:r>
      <w:r>
        <w:t xml:space="preserve"> information about:</w:t>
      </w:r>
    </w:p>
    <w:p w14:paraId="1AF5CF0F" w14:textId="3D7E1D01" w:rsidR="004A6317" w:rsidRDefault="00FA4B81" w:rsidP="003C0E1C">
      <w:pPr>
        <w:pStyle w:val="DJCSbody"/>
        <w:numPr>
          <w:ilvl w:val="0"/>
          <w:numId w:val="19"/>
        </w:numPr>
      </w:pPr>
      <w:r>
        <w:t xml:space="preserve">the court </w:t>
      </w:r>
      <w:r w:rsidR="00E83F7C">
        <w:t>system and hierarchy</w:t>
      </w:r>
      <w:r w:rsidR="004A6317">
        <w:t xml:space="preserve"> </w:t>
      </w:r>
      <w:r w:rsidR="00E83F7C">
        <w:t>in Victoria</w:t>
      </w:r>
    </w:p>
    <w:p w14:paraId="459A01F2" w14:textId="62CE267A" w:rsidR="00153108" w:rsidRDefault="00153108" w:rsidP="003C0E1C">
      <w:pPr>
        <w:pStyle w:val="DJCSbody"/>
        <w:numPr>
          <w:ilvl w:val="0"/>
          <w:numId w:val="19"/>
        </w:numPr>
      </w:pPr>
      <w:r>
        <w:t>VCAT</w:t>
      </w:r>
      <w:r w:rsidR="00D6250E">
        <w:t xml:space="preserve">, including current fee structure, payer </w:t>
      </w:r>
      <w:r w:rsidR="00037D83">
        <w:t>categories</w:t>
      </w:r>
      <w:r w:rsidR="00D6250E">
        <w:t xml:space="preserve"> and </w:t>
      </w:r>
      <w:r w:rsidR="00037D83">
        <w:t>funding arrangements.</w:t>
      </w:r>
    </w:p>
    <w:p w14:paraId="1BFF0C77" w14:textId="416C6C27" w:rsidR="00A00994" w:rsidRPr="008303F1" w:rsidRDefault="00A00994" w:rsidP="00A00994">
      <w:pPr>
        <w:pStyle w:val="Heading2"/>
      </w:pPr>
      <w:bookmarkStart w:id="33" w:name="_Toc216179671"/>
      <w:r w:rsidRPr="008303F1">
        <w:t>Court system and hierarchy in Victoria</w:t>
      </w:r>
      <w:bookmarkEnd w:id="33"/>
    </w:p>
    <w:p w14:paraId="2D76C059" w14:textId="23AE86A6" w:rsidR="00112406" w:rsidRDefault="00112406" w:rsidP="0076385E">
      <w:pPr>
        <w:pStyle w:val="DJCSbody"/>
        <w:ind w:left="720"/>
      </w:pPr>
      <w:r>
        <w:t>Victoria’s court system comprises the Magistrates’ Court, the County Court, the Supreme Court</w:t>
      </w:r>
      <w:r w:rsidR="00A046EE">
        <w:t xml:space="preserve"> and various </w:t>
      </w:r>
      <w:r w:rsidR="00C7051A">
        <w:t xml:space="preserve">specialist </w:t>
      </w:r>
      <w:r w:rsidR="00A046EE">
        <w:t>courts and tribunals</w:t>
      </w:r>
      <w:r>
        <w:t xml:space="preserve">. The Supreme Court is the </w:t>
      </w:r>
      <w:r w:rsidR="0004235C">
        <w:t>highest</w:t>
      </w:r>
      <w:r>
        <w:t xml:space="preserve"> court in Victoria. Each court and tribunal has rules about </w:t>
      </w:r>
      <w:r w:rsidR="001D7014">
        <w:t xml:space="preserve">which </w:t>
      </w:r>
      <w:r w:rsidR="00EC0952">
        <w:t>matters</w:t>
      </w:r>
      <w:r w:rsidR="00B756CA">
        <w:t xml:space="preserve"> it can consider.</w:t>
      </w:r>
      <w:r>
        <w:t xml:space="preserve"> This includes where a case may commence, and to where a decision can be appealed.</w:t>
      </w:r>
    </w:p>
    <w:p w14:paraId="3FBDF318" w14:textId="77777777" w:rsidR="00112406" w:rsidRDefault="00112406" w:rsidP="0076385E">
      <w:pPr>
        <w:pStyle w:val="DJCSbody"/>
        <w:ind w:left="720"/>
      </w:pPr>
      <w:r>
        <w:t>The cases that can be heard in each court (known as the court’s ‘jurisdiction’) are as follows:</w:t>
      </w:r>
    </w:p>
    <w:p w14:paraId="7523B49C" w14:textId="77777777" w:rsidR="00112406" w:rsidRDefault="00112406" w:rsidP="00112406">
      <w:pPr>
        <w:pStyle w:val="DJCSlist-bulletlevel1"/>
        <w:spacing w:after="120"/>
        <w:ind w:left="1135"/>
      </w:pPr>
      <w:r>
        <w:t xml:space="preserve">the </w:t>
      </w:r>
      <w:r w:rsidRPr="00376497">
        <w:rPr>
          <w:b/>
          <w:bCs/>
        </w:rPr>
        <w:t>Magistrates’ Court</w:t>
      </w:r>
      <w:r>
        <w:t xml:space="preserve"> </w:t>
      </w:r>
      <w:r w:rsidRPr="00095E84">
        <w:t>handles</w:t>
      </w:r>
      <w:r>
        <w:t xml:space="preserve"> less serious criminal matters and civil disputes up to the value of $100,000. </w:t>
      </w:r>
    </w:p>
    <w:p w14:paraId="75D4BD27" w14:textId="7970618C" w:rsidR="00112406" w:rsidRDefault="00112406" w:rsidP="00112406">
      <w:pPr>
        <w:pStyle w:val="DJCSlist-bulletlevel2"/>
      </w:pPr>
      <w:r>
        <w:t>The Court’s criminal jurisdiction hears 'summary offences' (less serious charges which are heard and decided by a magistrate), including traffic offences, minor assaults, property damage and offensive behaviour. Some 'indictable offences' (more serious charges that are heard by a judge and jury of a higher court) may also be heard and decided by a magistrate if the accused agrees</w:t>
      </w:r>
      <w:r w:rsidR="00CB4D2E">
        <w:t xml:space="preserve"> beforehand</w:t>
      </w:r>
      <w:r>
        <w:t xml:space="preserve">. </w:t>
      </w:r>
      <w:r w:rsidR="00CB4D2E">
        <w:t xml:space="preserve">Indictable </w:t>
      </w:r>
      <w:r>
        <w:t xml:space="preserve">offences </w:t>
      </w:r>
      <w:r w:rsidR="00CB4D2E">
        <w:t xml:space="preserve">that can be </w:t>
      </w:r>
      <w:r w:rsidR="004F054E">
        <w:t>decided</w:t>
      </w:r>
      <w:r w:rsidR="00CB4D2E">
        <w:t xml:space="preserve"> in the Magistrates’ Court </w:t>
      </w:r>
      <w:r>
        <w:t xml:space="preserve">include burglary and theft. </w:t>
      </w:r>
    </w:p>
    <w:p w14:paraId="7D69845D" w14:textId="7A1B4E4C" w:rsidR="00112406" w:rsidRDefault="00112406" w:rsidP="00112406">
      <w:pPr>
        <w:pStyle w:val="DJCSlist-bulletlevel2"/>
      </w:pPr>
      <w:r>
        <w:t>In civil disputes, such as negligence claims, contract disputes and claims for repair and injury from car accidents, the Magistrates' Court can decide most disputes about money or property up to the value of $100,000</w:t>
      </w:r>
      <w:r w:rsidR="0003694A">
        <w:t>.</w:t>
      </w:r>
      <w:r w:rsidR="00D208DA">
        <w:t xml:space="preserve"> </w:t>
      </w:r>
      <w:r w:rsidR="0003694A">
        <w:t>I</w:t>
      </w:r>
      <w:r>
        <w:t>n some cases</w:t>
      </w:r>
      <w:r w:rsidR="0003694A">
        <w:t>,</w:t>
      </w:r>
      <w:r>
        <w:t xml:space="preserve"> the </w:t>
      </w:r>
      <w:r w:rsidR="00EC0647">
        <w:t xml:space="preserve">Court </w:t>
      </w:r>
      <w:r>
        <w:t xml:space="preserve">can deal with </w:t>
      </w:r>
      <w:r w:rsidR="00EC0647">
        <w:t>matters of</w:t>
      </w:r>
      <w:r>
        <w:t xml:space="preserve"> unlimited value.</w:t>
      </w:r>
    </w:p>
    <w:p w14:paraId="5407E616" w14:textId="23630337" w:rsidR="00112406" w:rsidRDefault="00112406" w:rsidP="008303F1">
      <w:pPr>
        <w:pStyle w:val="DJCSlist-bulletlevel1"/>
        <w:tabs>
          <w:tab w:val="left" w:pos="10206"/>
        </w:tabs>
        <w:spacing w:after="120"/>
        <w:ind w:left="1135"/>
      </w:pPr>
      <w:r>
        <w:t xml:space="preserve">the </w:t>
      </w:r>
      <w:r w:rsidRPr="00376497">
        <w:rPr>
          <w:b/>
          <w:bCs/>
        </w:rPr>
        <w:t>County Court</w:t>
      </w:r>
      <w:r>
        <w:t xml:space="preserve"> deals with more serious crimes and civil dispute claims for amounts over $100,000. Cases in the County Court may be heard by a judge alone, or a judge and jury. If a decision of the Magistrates' Court is appealed, it usually goes to the County Court.</w:t>
      </w:r>
    </w:p>
    <w:p w14:paraId="4E12AF09" w14:textId="317BA1EA" w:rsidR="00112406" w:rsidRDefault="00112406" w:rsidP="00112406">
      <w:pPr>
        <w:pStyle w:val="DJCSlist-bulletlevel1"/>
        <w:spacing w:after="120"/>
        <w:ind w:left="1135"/>
      </w:pPr>
      <w:r>
        <w:t xml:space="preserve">the </w:t>
      </w:r>
      <w:r w:rsidRPr="00376497">
        <w:rPr>
          <w:b/>
          <w:bCs/>
        </w:rPr>
        <w:t>Supreme Court</w:t>
      </w:r>
      <w:r>
        <w:t xml:space="preserve"> hears the most serious criminal and civil matters. It is divided into the Trial Division (hearing cases for the first time) and the Court of Appeal. Cases in the Supreme Court may be heard by a judge alone or by a judge and jury.</w:t>
      </w:r>
    </w:p>
    <w:p w14:paraId="3DD1CC54" w14:textId="53600E1F" w:rsidR="00112406" w:rsidRDefault="00112406" w:rsidP="00112406">
      <w:pPr>
        <w:pStyle w:val="DJCSlist-bulletlevel2"/>
      </w:pPr>
      <w:r>
        <w:t xml:space="preserve">The Trial Division hears very serious criminal cases like murder and deals with large disputes over money and business. Claims for $200,000 and above in civil matters are heard in the Supreme Court. </w:t>
      </w:r>
    </w:p>
    <w:p w14:paraId="1BE82929" w14:textId="69104F55" w:rsidR="00156BFF" w:rsidRDefault="00156BFF" w:rsidP="00112406">
      <w:pPr>
        <w:pStyle w:val="DJCSlist-bulletlevel2"/>
      </w:pPr>
      <w:r>
        <w:t>A</w:t>
      </w:r>
      <w:r w:rsidRPr="00156BFF">
        <w:t xml:space="preserve">ppeals from the Magistrates’ Court </w:t>
      </w:r>
      <w:r>
        <w:t xml:space="preserve">are also heard through </w:t>
      </w:r>
      <w:r w:rsidRPr="00156BFF">
        <w:t>the Trial Division of the Supreme Cour</w:t>
      </w:r>
      <w:r>
        <w:t>t</w:t>
      </w:r>
      <w:r w:rsidR="00163DD8">
        <w:t>.</w:t>
      </w:r>
    </w:p>
    <w:p w14:paraId="3498871C" w14:textId="77777777" w:rsidR="00112406" w:rsidRDefault="00112406" w:rsidP="00112406">
      <w:pPr>
        <w:pStyle w:val="DJCSlist-bulletlevel2"/>
      </w:pPr>
      <w:r>
        <w:t xml:space="preserve">The Court of Appeal hears appeals about decisions made in the County Court and in the Trial Division of the Supreme Court. </w:t>
      </w:r>
    </w:p>
    <w:p w14:paraId="5A8419C8" w14:textId="270A970D" w:rsidR="00112406" w:rsidRDefault="00112406" w:rsidP="00112406">
      <w:pPr>
        <w:pStyle w:val="DJCSlist-bulletlevel1"/>
        <w:spacing w:after="120"/>
        <w:ind w:left="1135"/>
      </w:pPr>
      <w:r>
        <w:t xml:space="preserve">the </w:t>
      </w:r>
      <w:r w:rsidRPr="00376497">
        <w:rPr>
          <w:b/>
          <w:bCs/>
        </w:rPr>
        <w:t>Children’s Court</w:t>
      </w:r>
      <w:r w:rsidR="00053309">
        <w:t xml:space="preserve"> </w:t>
      </w:r>
      <w:r>
        <w:t>deals with matters relating to children and young people. The Children's Court operates like the Magistrates' Court but specialises in children's matters.</w:t>
      </w:r>
      <w:r>
        <w:rPr>
          <w:rStyle w:val="FootnoteReference"/>
        </w:rPr>
        <w:footnoteReference w:id="5"/>
      </w:r>
      <w:r>
        <w:t xml:space="preserve"> </w:t>
      </w:r>
    </w:p>
    <w:p w14:paraId="18DDFAFB" w14:textId="5C5194C1" w:rsidR="00112406" w:rsidRDefault="00112406" w:rsidP="00112406">
      <w:pPr>
        <w:pStyle w:val="DJCSlist-bulletlevel1"/>
        <w:spacing w:after="120"/>
        <w:ind w:left="1135"/>
      </w:pPr>
      <w:r>
        <w:t xml:space="preserve">the </w:t>
      </w:r>
      <w:r w:rsidRPr="00376497">
        <w:rPr>
          <w:b/>
          <w:bCs/>
        </w:rPr>
        <w:t>Coroners Court</w:t>
      </w:r>
      <w:r w:rsidR="00053309">
        <w:t xml:space="preserve"> </w:t>
      </w:r>
      <w:r>
        <w:t>investigates all reportable deaths</w:t>
      </w:r>
      <w:r w:rsidR="008C5C7D">
        <w:t xml:space="preserve"> and fires</w:t>
      </w:r>
      <w:r>
        <w:t>.</w:t>
      </w:r>
    </w:p>
    <w:p w14:paraId="43C3D7FF" w14:textId="500C9A61" w:rsidR="00D34931" w:rsidRDefault="00112406" w:rsidP="00FA0CF5">
      <w:pPr>
        <w:pStyle w:val="DJCSlist-bulletlevel1"/>
        <w:numPr>
          <w:ilvl w:val="0"/>
          <w:numId w:val="0"/>
        </w:numPr>
        <w:ind w:left="851"/>
      </w:pPr>
      <w:r>
        <w:lastRenderedPageBreak/>
        <w:t>There are also a number of tribunals</w:t>
      </w:r>
      <w:r w:rsidR="007D3D1A">
        <w:t>, including VCAT</w:t>
      </w:r>
      <w:r>
        <w:t xml:space="preserve">. </w:t>
      </w:r>
      <w:r w:rsidR="009529BB">
        <w:t xml:space="preserve">While </w:t>
      </w:r>
      <w:r w:rsidR="00E628A8">
        <w:t>tribunals</w:t>
      </w:r>
      <w:r>
        <w:t xml:space="preserve"> are </w:t>
      </w:r>
      <w:r w:rsidR="006F7EAC">
        <w:t>legal processes, they are generally</w:t>
      </w:r>
      <w:r>
        <w:t xml:space="preserve"> less formal than courts and resolve a broad range of disputes</w:t>
      </w:r>
      <w:r w:rsidR="00D34931">
        <w:t>.</w:t>
      </w:r>
    </w:p>
    <w:p w14:paraId="60052C98" w14:textId="28E051F5" w:rsidR="005E4312" w:rsidRDefault="00D34931" w:rsidP="00FA0CF5">
      <w:pPr>
        <w:pStyle w:val="DJCSlist-bulletlevel1"/>
        <w:numPr>
          <w:ilvl w:val="0"/>
          <w:numId w:val="0"/>
        </w:numPr>
        <w:ind w:left="851"/>
      </w:pPr>
      <w:r>
        <w:t>VCAT</w:t>
      </w:r>
      <w:r w:rsidR="00112406">
        <w:t xml:space="preserve"> hears and determines disputes, </w:t>
      </w:r>
      <w:r w:rsidR="00112406" w:rsidRPr="00B727F0">
        <w:t>including</w:t>
      </w:r>
      <w:r w:rsidR="00112406">
        <w:t xml:space="preserve"> disputes about the purchase and supply of goods and services, consumer credit, discrimination, and residential and retail tenancies. It also deals with disputes between people and the state or local government in areas such as planning and business licensing. VCAT decisions can be appealed to the Supreme Court but only on questions </w:t>
      </w:r>
      <w:r w:rsidR="00813232">
        <w:t>of law.</w:t>
      </w:r>
    </w:p>
    <w:p w14:paraId="4B6A1B48" w14:textId="40B39BA1" w:rsidR="00D3606A" w:rsidRPr="00A711F0" w:rsidRDefault="00A711F0" w:rsidP="005744E5">
      <w:pPr>
        <w:pStyle w:val="DJCSbodyafterbullets"/>
        <w:rPr>
          <w:i/>
        </w:rPr>
      </w:pPr>
      <w:r w:rsidRPr="00813208">
        <w:rPr>
          <w:i/>
        </w:rPr>
        <w:t xml:space="preserve">Figure </w:t>
      </w:r>
      <w:r w:rsidR="00FF3C98">
        <w:rPr>
          <w:i/>
        </w:rPr>
        <w:t>1</w:t>
      </w:r>
      <w:r w:rsidR="00060806" w:rsidRPr="007A69D3">
        <w:rPr>
          <w:i/>
        </w:rPr>
        <w:t>:</w:t>
      </w:r>
      <w:r w:rsidR="004653E8" w:rsidRPr="00813208">
        <w:rPr>
          <w:i/>
        </w:rPr>
        <w:t xml:space="preserve"> Victoria</w:t>
      </w:r>
      <w:r w:rsidR="00AE4044" w:rsidRPr="00813208">
        <w:rPr>
          <w:i/>
        </w:rPr>
        <w:t>’s court and tribunal jurisdictions</w:t>
      </w:r>
    </w:p>
    <w:p w14:paraId="29F623FC" w14:textId="6178A69E" w:rsidR="00D3606A" w:rsidRDefault="003511F9" w:rsidP="00D3606A">
      <w:pPr>
        <w:pStyle w:val="DJCSbodyafterbullets"/>
        <w:ind w:left="680"/>
      </w:pPr>
      <w:r>
        <w:rPr>
          <w:noProof/>
        </w:rPr>
        <mc:AlternateContent>
          <mc:Choice Requires="wps">
            <w:drawing>
              <wp:anchor distT="0" distB="0" distL="114300" distR="114300" simplePos="0" relativeHeight="251658241" behindDoc="0" locked="0" layoutInCell="1" allowOverlap="1" wp14:anchorId="15133539" wp14:editId="5E3ED0C9">
                <wp:simplePos x="0" y="0"/>
                <wp:positionH relativeFrom="column">
                  <wp:posOffset>1464311</wp:posOffset>
                </wp:positionH>
                <wp:positionV relativeFrom="paragraph">
                  <wp:posOffset>359410</wp:posOffset>
                </wp:positionV>
                <wp:extent cx="45719" cy="2514600"/>
                <wp:effectExtent l="1009650" t="76200" r="12065" b="19050"/>
                <wp:wrapNone/>
                <wp:docPr id="390002148" name="Connector: Elbow 2"/>
                <wp:cNvGraphicFramePr/>
                <a:graphic xmlns:a="http://schemas.openxmlformats.org/drawingml/2006/main">
                  <a:graphicData uri="http://schemas.microsoft.com/office/word/2010/wordprocessingShape">
                    <wps:wsp>
                      <wps:cNvCnPr/>
                      <wps:spPr>
                        <a:xfrm flipV="1">
                          <a:off x="0" y="0"/>
                          <a:ext cx="45719" cy="2514600"/>
                        </a:xfrm>
                        <a:prstGeom prst="bentConnector3">
                          <a:avLst>
                            <a:gd name="adj1" fmla="val -2205081"/>
                          </a:avLst>
                        </a:prstGeom>
                        <a:ln w="63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82DCF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 o:spid="_x0000_s1026" type="#_x0000_t34" style="position:absolute;margin-left:115.3pt;margin-top:28.3pt;width:3.6pt;height:198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" adj="-476297" strokecolor="black [3213]" strokeweight=".5pt">
                <v:stroke endarrow="open" endarrowwidth="narrow" endarrowlength="short"/>
              </v:shape>
            </w:pict>
          </mc:Fallback>
        </mc:AlternateContent>
      </w:r>
      <w:r w:rsidR="00D3606A">
        <w:rPr>
          <w:noProof/>
        </w:rPr>
        <w:drawing>
          <wp:inline distT="0" distB="0" distL="0" distR="0" wp14:anchorId="6C9CE4BF" wp14:editId="37C9E9BF">
            <wp:extent cx="5273009" cy="3714750"/>
            <wp:effectExtent l="0" t="0" r="4445" b="0"/>
            <wp:docPr id="54976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65167" name=""/>
                    <pic:cNvPicPr/>
                  </pic:nvPicPr>
                  <pic:blipFill>
                    <a:blip r:embed="rId35"/>
                    <a:stretch>
                      <a:fillRect/>
                    </a:stretch>
                  </pic:blipFill>
                  <pic:spPr>
                    <a:xfrm>
                      <a:off x="0" y="0"/>
                      <a:ext cx="5277856" cy="3718164"/>
                    </a:xfrm>
                    <a:prstGeom prst="rect">
                      <a:avLst/>
                    </a:prstGeom>
                  </pic:spPr>
                </pic:pic>
              </a:graphicData>
            </a:graphic>
          </wp:inline>
        </w:drawing>
      </w:r>
    </w:p>
    <w:p w14:paraId="5D2C73C8" w14:textId="0E8B5E86" w:rsidR="00681D76" w:rsidRPr="00813208" w:rsidRDefault="00681D76" w:rsidP="00567B52">
      <w:pPr>
        <w:pStyle w:val="DJCSbodyafterbullets"/>
        <w:ind w:left="0" w:right="320"/>
        <w:rPr>
          <w:i/>
          <w:sz w:val="16"/>
          <w:szCs w:val="16"/>
        </w:rPr>
      </w:pPr>
      <w:r w:rsidRPr="00813208">
        <w:rPr>
          <w:i/>
          <w:sz w:val="16"/>
          <w:szCs w:val="16"/>
        </w:rPr>
        <w:t>Source: Victorian Auditor-General’s Office (2025)</w:t>
      </w:r>
      <w:r w:rsidR="00567B52">
        <w:rPr>
          <w:i/>
          <w:sz w:val="16"/>
          <w:szCs w:val="16"/>
        </w:rPr>
        <w:t xml:space="preserve">, </w:t>
      </w:r>
      <w:r w:rsidR="00B02364">
        <w:rPr>
          <w:i/>
          <w:sz w:val="16"/>
          <w:szCs w:val="16"/>
        </w:rPr>
        <w:t>a</w:t>
      </w:r>
      <w:r w:rsidR="00567B52">
        <w:rPr>
          <w:i/>
          <w:sz w:val="16"/>
          <w:szCs w:val="16"/>
        </w:rPr>
        <w:t>dditional arrow added to show appeal from VCAT to the Supreme Court of Victoria</w:t>
      </w:r>
    </w:p>
    <w:p w14:paraId="657D7C76" w14:textId="0499322F" w:rsidR="00A00994" w:rsidRPr="008303F1" w:rsidRDefault="00A00994" w:rsidP="00A00994">
      <w:pPr>
        <w:pStyle w:val="Heading2"/>
      </w:pPr>
      <w:bookmarkStart w:id="34" w:name="_Toc216179672"/>
      <w:r w:rsidRPr="008303F1">
        <w:t>The Victorian Civil and Administrative Tribunal</w:t>
      </w:r>
      <w:r w:rsidR="00FB5ACA" w:rsidRPr="008303F1">
        <w:t xml:space="preserve"> </w:t>
      </w:r>
      <w:r w:rsidR="00277263">
        <w:t>(VCAT)</w:t>
      </w:r>
      <w:bookmarkEnd w:id="34"/>
    </w:p>
    <w:p w14:paraId="7FF51F1E" w14:textId="42A33AE0" w:rsidR="000B34F1" w:rsidRDefault="00C410FA" w:rsidP="0076385E">
      <w:pPr>
        <w:pStyle w:val="DJCSbodyafterbullets"/>
        <w:ind w:left="720"/>
      </w:pPr>
      <w:r>
        <w:t>VCAT is intended</w:t>
      </w:r>
      <w:r w:rsidR="000B34F1">
        <w:t xml:space="preserve"> to provide an independent review of government decision-making, and a low-cost, accessible and efficient avenue for resolving civil disputes. It hears and determines a broad spectrum of matters, ranging from civil claims and residential tenancies to planning, guardianship and administrative reviews.</w:t>
      </w:r>
    </w:p>
    <w:p w14:paraId="79B7D188" w14:textId="3DC9D7E6" w:rsidR="000B34F1" w:rsidRDefault="000B34F1" w:rsidP="0076385E">
      <w:pPr>
        <w:pStyle w:val="DJCSbodyafterbullets"/>
        <w:ind w:left="720"/>
      </w:pPr>
      <w:r>
        <w:t xml:space="preserve">VCAT </w:t>
      </w:r>
      <w:r w:rsidR="00550C93" w:rsidRPr="004F0838">
        <w:t>offer</w:t>
      </w:r>
      <w:r w:rsidR="0095264A">
        <w:t>s</w:t>
      </w:r>
      <w:r w:rsidR="00550C93" w:rsidRPr="004F0838">
        <w:t xml:space="preserve"> a less formal alternative to courts, play</w:t>
      </w:r>
      <w:r w:rsidR="00550C93" w:rsidRPr="00550C93">
        <w:t xml:space="preserve">ing </w:t>
      </w:r>
      <w:r w:rsidR="00550C93" w:rsidRPr="004F0838">
        <w:t>a critical role in upholding justice and ensuring timely, cost-effective outcomes for individuals, businesses</w:t>
      </w:r>
      <w:r>
        <w:t>,</w:t>
      </w:r>
      <w:r w:rsidR="00550C93" w:rsidRPr="00550C93">
        <w:t xml:space="preserve"> </w:t>
      </w:r>
      <w:r w:rsidR="00550C93" w:rsidRPr="004F0838">
        <w:t>and government bodies</w:t>
      </w:r>
      <w:r w:rsidR="00550C93" w:rsidRPr="00550C93">
        <w:t xml:space="preserve"> in Victoria.</w:t>
      </w:r>
    </w:p>
    <w:p w14:paraId="2438AA71" w14:textId="77777777" w:rsidR="00805EBC" w:rsidRPr="000378D0" w:rsidRDefault="00805EBC" w:rsidP="00805EBC">
      <w:pPr>
        <w:pStyle w:val="Heading3"/>
      </w:pPr>
      <w:bookmarkStart w:id="35" w:name="_Toc216179673"/>
      <w:r w:rsidRPr="000378D0">
        <w:t>VCAT’s role in civil justice</w:t>
      </w:r>
      <w:bookmarkEnd w:id="35"/>
    </w:p>
    <w:p w14:paraId="2CEF802D" w14:textId="1DEC8F49" w:rsidR="00805EBC" w:rsidRDefault="00805EBC" w:rsidP="0076385E">
      <w:pPr>
        <w:pStyle w:val="DJCSbodyafterbullets"/>
        <w:ind w:left="720"/>
      </w:pPr>
      <w:r>
        <w:t xml:space="preserve">In Victoria, several complaint and dispute-handling bodies exist as </w:t>
      </w:r>
      <w:r w:rsidR="00C410FA">
        <w:t xml:space="preserve">a </w:t>
      </w:r>
      <w:r>
        <w:t>first port-of-call for those with a grievance including:</w:t>
      </w:r>
    </w:p>
    <w:p w14:paraId="7B1510FE" w14:textId="77777777" w:rsidR="00805EBC" w:rsidRDefault="00805EBC" w:rsidP="003C4FE7">
      <w:pPr>
        <w:pStyle w:val="DJCSbodyafterbullets"/>
        <w:numPr>
          <w:ilvl w:val="0"/>
          <w:numId w:val="25"/>
        </w:numPr>
      </w:pPr>
      <w:r>
        <w:t>Various ombudsmen</w:t>
      </w:r>
      <w:r w:rsidRPr="000715A1">
        <w:t xml:space="preserve"> investigate complaints related to government departments</w:t>
      </w:r>
      <w:r>
        <w:t xml:space="preserve"> and agencies</w:t>
      </w:r>
    </w:p>
    <w:p w14:paraId="7239C786" w14:textId="7449AAEA" w:rsidR="00805EBC" w:rsidRDefault="00C01B3F" w:rsidP="003C4FE7">
      <w:pPr>
        <w:pStyle w:val="DJCSbodyafterbullets"/>
        <w:numPr>
          <w:ilvl w:val="0"/>
          <w:numId w:val="25"/>
        </w:numPr>
      </w:pPr>
      <w:r>
        <w:lastRenderedPageBreak/>
        <w:t xml:space="preserve">Victorian </w:t>
      </w:r>
      <w:r w:rsidR="00805EBC">
        <w:t xml:space="preserve">Legal Services Board and Commissioner </w:t>
      </w:r>
      <w:r w:rsidR="00805EBC" w:rsidRPr="00976E3F">
        <w:t>consider</w:t>
      </w:r>
      <w:r w:rsidR="00805EBC">
        <w:t>s</w:t>
      </w:r>
      <w:r w:rsidR="00805EBC" w:rsidRPr="00976E3F">
        <w:t xml:space="preserve"> complaints about the behaviour of legal professionals</w:t>
      </w:r>
    </w:p>
    <w:p w14:paraId="2DA84535" w14:textId="13B5E1A5" w:rsidR="00805EBC" w:rsidRDefault="00805EBC" w:rsidP="003C4FE7">
      <w:pPr>
        <w:pStyle w:val="DJCSbodyafterbullets"/>
        <w:numPr>
          <w:ilvl w:val="0"/>
          <w:numId w:val="25"/>
        </w:numPr>
      </w:pPr>
      <w:r>
        <w:t>Independent Broad-based Anti-</w:t>
      </w:r>
      <w:r w:rsidR="00CA6FEB">
        <w:t>c</w:t>
      </w:r>
      <w:r>
        <w:t>orruption Commission (IBAC) is</w:t>
      </w:r>
      <w:r w:rsidRPr="003C48F2">
        <w:t xml:space="preserve"> responsible for preventing and exposing public sector corruption and police misconduct</w:t>
      </w:r>
    </w:p>
    <w:p w14:paraId="2B73E0E4" w14:textId="77777777" w:rsidR="00805EBC" w:rsidRPr="003374AC" w:rsidRDefault="00805EBC" w:rsidP="003C4FE7">
      <w:pPr>
        <w:pStyle w:val="DJCSbodyafterbullets"/>
        <w:numPr>
          <w:ilvl w:val="0"/>
          <w:numId w:val="25"/>
        </w:numPr>
      </w:pPr>
      <w:r w:rsidRPr="003374AC">
        <w:t>Victorian Information Commissioner considers complaints about government departments’ handling of freedom of information requests</w:t>
      </w:r>
    </w:p>
    <w:p w14:paraId="17874E1E" w14:textId="2033FEBC" w:rsidR="00805EBC" w:rsidRDefault="00805EBC" w:rsidP="003C4FE7">
      <w:pPr>
        <w:pStyle w:val="DJCSbodyafterbullets"/>
        <w:numPr>
          <w:ilvl w:val="0"/>
          <w:numId w:val="25"/>
        </w:numPr>
      </w:pPr>
      <w:r>
        <w:t>Dispute Settlement Centre of Victoria provides</w:t>
      </w:r>
      <w:r w:rsidRPr="006939FF">
        <w:t xml:space="preserve"> free dispute resolution service</w:t>
      </w:r>
      <w:r w:rsidR="00836BB1">
        <w:t>s</w:t>
      </w:r>
      <w:r w:rsidRPr="006939FF">
        <w:t xml:space="preserve"> funded by the Victorian Government</w:t>
      </w:r>
    </w:p>
    <w:p w14:paraId="3CCC8CB8" w14:textId="0C75F80D" w:rsidR="00805EBC" w:rsidRDefault="00805EBC" w:rsidP="003C4FE7">
      <w:pPr>
        <w:pStyle w:val="DJCSbodyafterbullets"/>
        <w:numPr>
          <w:ilvl w:val="0"/>
          <w:numId w:val="25"/>
        </w:numPr>
      </w:pPr>
      <w:r>
        <w:t xml:space="preserve">Rental Dispute Resolution Victoria (RDRV) provides </w:t>
      </w:r>
      <w:r w:rsidRPr="00B637CF">
        <w:t>dispute resolution service</w:t>
      </w:r>
      <w:r w:rsidR="007D4EDF">
        <w:t>s</w:t>
      </w:r>
      <w:r w:rsidRPr="00B637CF">
        <w:t xml:space="preserve"> to help settle disputes over bonds, compensation, repairs, and excessive rents</w:t>
      </w:r>
      <w:r>
        <w:t>.</w:t>
      </w:r>
    </w:p>
    <w:p w14:paraId="0E3F550D" w14:textId="2868FE8B" w:rsidR="00805EBC" w:rsidRPr="00566242" w:rsidRDefault="007D4EDF" w:rsidP="003C4FE7">
      <w:pPr>
        <w:pStyle w:val="DJCSbodyafterbullets"/>
        <w:numPr>
          <w:ilvl w:val="0"/>
          <w:numId w:val="25"/>
        </w:numPr>
      </w:pPr>
      <w:r>
        <w:t>V</w:t>
      </w:r>
      <w:r w:rsidR="00805EBC" w:rsidRPr="00566242">
        <w:t>arious occupational licensing and professional registration bodies can consider complaints about service providers</w:t>
      </w:r>
      <w:r w:rsidR="00B34951">
        <w:t>.</w:t>
      </w:r>
    </w:p>
    <w:p w14:paraId="3A0F6891" w14:textId="30C156BC" w:rsidR="001875DA" w:rsidRDefault="001875DA" w:rsidP="0076385E">
      <w:pPr>
        <w:pStyle w:val="DJCSbodyafterbullets"/>
        <w:ind w:left="720"/>
      </w:pPr>
      <w:r w:rsidRPr="001875DA">
        <w:t>When individuals or businesses are unable to resolve their disputes through these options, they may consider taking the matter to court. In some cases, applicants may be eligible to lodge their matter with VCAT instead, particularly if they wish to avoid the cost of legal representation. VCAT generally encourages self-representation and aims to keep proceedings relatively informal. However,</w:t>
      </w:r>
      <w:r w:rsidRPr="001875DA" w:rsidDel="00F52026">
        <w:t xml:space="preserve"> </w:t>
      </w:r>
      <w:r w:rsidR="00F52026">
        <w:t>it is</w:t>
      </w:r>
      <w:r w:rsidRPr="001875DA">
        <w:t xml:space="preserve"> important to note that not all disputes fall within VCAT’s jurisdiction.</w:t>
      </w:r>
    </w:p>
    <w:p w14:paraId="7721113C" w14:textId="0B1673C7" w:rsidR="00805EBC" w:rsidRDefault="00805EBC" w:rsidP="0076385E">
      <w:pPr>
        <w:pStyle w:val="DJCSbodyafterbullets"/>
        <w:ind w:left="720"/>
      </w:pPr>
      <w:r>
        <w:t xml:space="preserve">VCAT functions independently within Victoria’s civil justice system, resolving disputes and making rulings under more than 150 </w:t>
      </w:r>
      <w:r w:rsidR="0001445A">
        <w:t>Victorian Acts</w:t>
      </w:r>
      <w:r>
        <w:t xml:space="preserve">. Most VCAT </w:t>
      </w:r>
      <w:r w:rsidR="006E5527">
        <w:t>Member</w:t>
      </w:r>
      <w:r>
        <w:t>s are not judges and many are not lawyers</w:t>
      </w:r>
      <w:r w:rsidR="002B4A6E">
        <w:t xml:space="preserve"> but have expertise</w:t>
      </w:r>
      <w:r w:rsidR="002B4A6E" w:rsidRPr="0009284F">
        <w:t xml:space="preserve"> in areas such as planning, tenancy, and guardianship</w:t>
      </w:r>
      <w:r>
        <w:t xml:space="preserve">. </w:t>
      </w:r>
      <w:r w:rsidR="006B6EE9">
        <w:t>VCAT has a focus on</w:t>
      </w:r>
      <w:r>
        <w:t xml:space="preserve"> help</w:t>
      </w:r>
      <w:r w:rsidR="006B6EE9">
        <w:t>ing</w:t>
      </w:r>
      <w:r>
        <w:t xml:space="preserve"> Victorians reach just outcomes as swiftly and inexpensively as possible, working with tribunal users to solve problems</w:t>
      </w:r>
      <w:r w:rsidR="00F01DDB">
        <w:t>,</w:t>
      </w:r>
      <w:r>
        <w:t xml:space="preserve"> and offer practical and sustainable solutions</w:t>
      </w:r>
      <w:r w:rsidR="008F7CCC">
        <w:t>,</w:t>
      </w:r>
      <w:r>
        <w:t xml:space="preserve"> while being as informal as fairness permits.</w:t>
      </w:r>
    </w:p>
    <w:p w14:paraId="4A9F1079" w14:textId="77777777" w:rsidR="00805EBC" w:rsidRDefault="00805EBC" w:rsidP="0076385E">
      <w:pPr>
        <w:pStyle w:val="DJCSbodyafterbullets"/>
        <w:ind w:left="720"/>
      </w:pPr>
      <w:r>
        <w:t>There may also be significant financial implications for matters resolved through VCAT including building and planning permits, and housing development applications, which corporate entities gain benefit from.</w:t>
      </w:r>
    </w:p>
    <w:p w14:paraId="5347DE87" w14:textId="2DB312B2" w:rsidR="00805EBC" w:rsidRDefault="00805EBC" w:rsidP="00805EBC">
      <w:pPr>
        <w:pStyle w:val="Heading3"/>
      </w:pPr>
      <w:bookmarkStart w:id="36" w:name="_Toc216179674"/>
      <w:r>
        <w:t>Fee payer categories</w:t>
      </w:r>
      <w:bookmarkEnd w:id="36"/>
    </w:p>
    <w:p w14:paraId="0730C274" w14:textId="5D4F59D5" w:rsidR="00805EBC" w:rsidRDefault="00284CB0" w:rsidP="0076385E">
      <w:pPr>
        <w:pStyle w:val="DJCSbody"/>
        <w:ind w:left="720"/>
      </w:pPr>
      <w:r w:rsidRPr="00284CB0">
        <w:t>In 2016</w:t>
      </w:r>
      <w:r w:rsidR="00C93402">
        <w:t xml:space="preserve">, </w:t>
      </w:r>
      <w:r w:rsidRPr="00284CB0">
        <w:t>the Regulations were revised to include three distinct fee payer categories</w:t>
      </w:r>
      <w:r w:rsidR="0019155C">
        <w:t>. Th</w:t>
      </w:r>
      <w:r w:rsidR="005A7BAD">
        <w:t>ese</w:t>
      </w:r>
      <w:r w:rsidR="0019155C">
        <w:t xml:space="preserve"> </w:t>
      </w:r>
      <w:r w:rsidR="00DB1CB5">
        <w:t>fee payer</w:t>
      </w:r>
      <w:r w:rsidR="00F15EF5">
        <w:t xml:space="preserve"> </w:t>
      </w:r>
      <w:r w:rsidR="00DB1CB5">
        <w:t xml:space="preserve">categories were </w:t>
      </w:r>
      <w:r w:rsidR="00647738">
        <w:t xml:space="preserve">added </w:t>
      </w:r>
      <w:r w:rsidR="00E84DBF">
        <w:t xml:space="preserve">so that fees </w:t>
      </w:r>
      <w:r w:rsidR="00C26A89">
        <w:t xml:space="preserve">were </w:t>
      </w:r>
      <w:r w:rsidR="00DB1CB5">
        <w:t xml:space="preserve">better </w:t>
      </w:r>
      <w:r w:rsidR="00C26A89">
        <w:t xml:space="preserve">able to </w:t>
      </w:r>
      <w:r w:rsidR="00DB1CB5">
        <w:t xml:space="preserve">reflect the capacity of larger corporates and government </w:t>
      </w:r>
      <w:r w:rsidR="00C26A89">
        <w:t>to pay</w:t>
      </w:r>
      <w:r w:rsidR="00F15EF5">
        <w:t>, and to he</w:t>
      </w:r>
      <w:r w:rsidR="00E204CA">
        <w:t>lp</w:t>
      </w:r>
      <w:r w:rsidR="00C26A89">
        <w:t xml:space="preserve"> minimise the barriers to accessing justice for those with a lower capacity to pay. </w:t>
      </w:r>
      <w:r w:rsidR="004D1AD8">
        <w:t>F</w:t>
      </w:r>
      <w:r w:rsidR="00E204CA" w:rsidRPr="00E204CA">
        <w:t xml:space="preserve">ee payer categories are used across the Magistrates’, County and Supreme Court Fees Regulations. </w:t>
      </w:r>
      <w:r w:rsidR="00C26A89">
        <w:t xml:space="preserve">These fee payer categories </w:t>
      </w:r>
      <w:r w:rsidR="008E2596">
        <w:t>are</w:t>
      </w:r>
      <w:r w:rsidR="00C26A89">
        <w:t>:</w:t>
      </w:r>
    </w:p>
    <w:p w14:paraId="74A094B5" w14:textId="3A56705C" w:rsidR="00805EBC" w:rsidRPr="00703834" w:rsidRDefault="00805EBC" w:rsidP="003C4FE7">
      <w:pPr>
        <w:pStyle w:val="DJCSbody"/>
        <w:numPr>
          <w:ilvl w:val="0"/>
          <w:numId w:val="41"/>
        </w:numPr>
      </w:pPr>
      <w:r w:rsidRPr="000378D0">
        <w:rPr>
          <w:b/>
          <w:bCs/>
        </w:rPr>
        <w:t>Concession</w:t>
      </w:r>
      <w:r w:rsidR="00123B05">
        <w:rPr>
          <w:b/>
          <w:bCs/>
        </w:rPr>
        <w:t>,</w:t>
      </w:r>
      <w:r w:rsidR="008939C6">
        <w:rPr>
          <w:b/>
          <w:bCs/>
        </w:rPr>
        <w:t xml:space="preserve"> </w:t>
      </w:r>
      <w:r w:rsidR="008939C6">
        <w:t>which provide</w:t>
      </w:r>
      <w:r w:rsidR="004D1AD8">
        <w:t>s</w:t>
      </w:r>
      <w:r w:rsidR="008939C6">
        <w:t xml:space="preserve"> lower fees to low</w:t>
      </w:r>
      <w:r w:rsidR="00BC3E40">
        <w:t>-</w:t>
      </w:r>
      <w:r w:rsidR="008939C6">
        <w:t>income health care holders.</w:t>
      </w:r>
    </w:p>
    <w:p w14:paraId="4F75E947" w14:textId="21214088" w:rsidR="00805EBC" w:rsidRPr="00703834" w:rsidRDefault="00805EBC" w:rsidP="003C4FE7">
      <w:pPr>
        <w:pStyle w:val="DJCSbody"/>
        <w:numPr>
          <w:ilvl w:val="0"/>
          <w:numId w:val="41"/>
        </w:numPr>
      </w:pPr>
      <w:r w:rsidRPr="000378D0">
        <w:rPr>
          <w:b/>
          <w:bCs/>
        </w:rPr>
        <w:t>Standard</w:t>
      </w:r>
      <w:r w:rsidR="00123B05">
        <w:rPr>
          <w:b/>
          <w:bCs/>
        </w:rPr>
        <w:t>,</w:t>
      </w:r>
      <w:r w:rsidR="00314B9F">
        <w:rPr>
          <w:b/>
          <w:bCs/>
        </w:rPr>
        <w:t xml:space="preserve"> </w:t>
      </w:r>
      <w:r w:rsidR="00314B9F" w:rsidRPr="00703834">
        <w:t>which provides lower fees for individuals</w:t>
      </w:r>
      <w:r w:rsidR="000A0F9D">
        <w:t>, no</w:t>
      </w:r>
      <w:r w:rsidR="001745A2">
        <w:t>t</w:t>
      </w:r>
      <w:r w:rsidR="000A0F9D">
        <w:t xml:space="preserve">-for-profit organisations and businesses with a turnover of $200,000 </w:t>
      </w:r>
      <w:r w:rsidR="00191616">
        <w:t>excl. GST</w:t>
      </w:r>
      <w:r w:rsidR="000A0F9D">
        <w:t xml:space="preserve"> or less</w:t>
      </w:r>
      <w:r w:rsidR="00314B9F" w:rsidRPr="00703834">
        <w:t>.</w:t>
      </w:r>
    </w:p>
    <w:p w14:paraId="798316A4" w14:textId="2DF13847" w:rsidR="00805EBC" w:rsidRPr="00703834" w:rsidRDefault="00805EBC" w:rsidP="003C4FE7">
      <w:pPr>
        <w:pStyle w:val="DJCSbody"/>
        <w:numPr>
          <w:ilvl w:val="0"/>
          <w:numId w:val="41"/>
        </w:numPr>
      </w:pPr>
      <w:r w:rsidRPr="000378D0">
        <w:rPr>
          <w:b/>
          <w:bCs/>
        </w:rPr>
        <w:t>Corporate</w:t>
      </w:r>
      <w:r w:rsidR="00123B05">
        <w:rPr>
          <w:b/>
          <w:bCs/>
        </w:rPr>
        <w:t>,</w:t>
      </w:r>
      <w:r w:rsidR="00314B9F">
        <w:rPr>
          <w:b/>
          <w:bCs/>
        </w:rPr>
        <w:t xml:space="preserve"> </w:t>
      </w:r>
      <w:r w:rsidR="00314B9F" w:rsidRPr="00703834">
        <w:t xml:space="preserve">which </w:t>
      </w:r>
      <w:r w:rsidR="00AF6C67" w:rsidRPr="00703834">
        <w:t>charge</w:t>
      </w:r>
      <w:r w:rsidR="00AF6C67">
        <w:t>s</w:t>
      </w:r>
      <w:r w:rsidR="00AF6C67" w:rsidRPr="00703834">
        <w:t xml:space="preserve"> </w:t>
      </w:r>
      <w:r w:rsidR="00314B9F" w:rsidRPr="00703834">
        <w:t>higher fees for larger corporates</w:t>
      </w:r>
      <w:r w:rsidR="00680679">
        <w:t xml:space="preserve"> (turnover of $200,000 </w:t>
      </w:r>
      <w:r w:rsidR="00191616">
        <w:t>excl. GST</w:t>
      </w:r>
      <w:r w:rsidR="00680679">
        <w:t xml:space="preserve"> and greater)</w:t>
      </w:r>
      <w:r w:rsidR="00314B9F" w:rsidRPr="00703834">
        <w:t xml:space="preserve"> and government users. </w:t>
      </w:r>
    </w:p>
    <w:p w14:paraId="0873310D" w14:textId="13B56359" w:rsidR="00C54422" w:rsidRDefault="00DA1C90" w:rsidP="0076385E">
      <w:pPr>
        <w:pStyle w:val="DJCSbody"/>
        <w:ind w:left="720"/>
      </w:pPr>
      <w:r w:rsidRPr="00AE444B">
        <w:t xml:space="preserve">The corporate </w:t>
      </w:r>
      <w:r w:rsidR="00BC3E40">
        <w:t>fee</w:t>
      </w:r>
      <w:r w:rsidRPr="00AE444B">
        <w:t xml:space="preserve"> rate was set to broadly reflect the full efficient cost of VCAT providing its services.</w:t>
      </w:r>
      <w:r>
        <w:t xml:space="preserve"> </w:t>
      </w:r>
      <w:r w:rsidR="004C1C62">
        <w:t>Against this cost recovery rate</w:t>
      </w:r>
      <w:r w:rsidR="00E94ABB">
        <w:t xml:space="preserve">, </w:t>
      </w:r>
      <w:r w:rsidR="00DD6A9B">
        <w:t xml:space="preserve">the </w:t>
      </w:r>
      <w:r w:rsidR="00E94ABB">
        <w:t xml:space="preserve">standard </w:t>
      </w:r>
      <w:r w:rsidR="00835D59">
        <w:t xml:space="preserve">rate </w:t>
      </w:r>
      <w:r w:rsidR="00E94ABB">
        <w:t>was set at 70</w:t>
      </w:r>
      <w:r w:rsidR="00F13F21">
        <w:t>%</w:t>
      </w:r>
      <w:r w:rsidR="00E94ABB">
        <w:t xml:space="preserve"> of the corporate rate and </w:t>
      </w:r>
      <w:r w:rsidR="00835D59">
        <w:t xml:space="preserve">the </w:t>
      </w:r>
      <w:r w:rsidR="00E94ABB">
        <w:t xml:space="preserve">concession </w:t>
      </w:r>
      <w:r w:rsidR="00835D59">
        <w:t xml:space="preserve">rate </w:t>
      </w:r>
      <w:r w:rsidR="00E94ABB">
        <w:t>at 35</w:t>
      </w:r>
      <w:r w:rsidR="00F51BEA">
        <w:t>%</w:t>
      </w:r>
      <w:r w:rsidR="00E94ABB">
        <w:t xml:space="preserve"> of the corporate rate. </w:t>
      </w:r>
    </w:p>
    <w:p w14:paraId="4B29E72B" w14:textId="7A7B42B1" w:rsidR="00805EBC" w:rsidRDefault="000A5870" w:rsidP="0076385E">
      <w:pPr>
        <w:pStyle w:val="DJCSbody"/>
        <w:ind w:left="720"/>
      </w:pPr>
      <w:r>
        <w:t xml:space="preserve">Fee waivers are </w:t>
      </w:r>
      <w:r w:rsidR="0021616A">
        <w:t xml:space="preserve">also </w:t>
      </w:r>
      <w:r>
        <w:t xml:space="preserve">available within VCAT </w:t>
      </w:r>
      <w:r w:rsidR="00866ED7">
        <w:t>through</w:t>
      </w:r>
      <w:r w:rsidR="007E64F1">
        <w:t xml:space="preserve"> two main </w:t>
      </w:r>
      <w:r w:rsidR="00C26A89">
        <w:t>mechanisms</w:t>
      </w:r>
      <w:r w:rsidR="007E64F1">
        <w:t>:</w:t>
      </w:r>
    </w:p>
    <w:p w14:paraId="35624F23" w14:textId="1092E138" w:rsidR="007E64F1" w:rsidRDefault="007E64F1" w:rsidP="003C4FE7">
      <w:pPr>
        <w:pStyle w:val="DJCSbody"/>
        <w:numPr>
          <w:ilvl w:val="0"/>
          <w:numId w:val="39"/>
        </w:numPr>
      </w:pPr>
      <w:r>
        <w:lastRenderedPageBreak/>
        <w:t>Discretionary fee waivers</w:t>
      </w:r>
      <w:r w:rsidR="008117D6">
        <w:rPr>
          <w:rStyle w:val="FootnoteReference"/>
        </w:rPr>
        <w:footnoteReference w:id="6"/>
      </w:r>
      <w:r w:rsidR="005774CA">
        <w:t xml:space="preserve">: under </w:t>
      </w:r>
      <w:r w:rsidR="00D6757E">
        <w:t>s</w:t>
      </w:r>
      <w:r w:rsidR="009A49A0">
        <w:t xml:space="preserve">ection </w:t>
      </w:r>
      <w:r w:rsidR="00D6757E">
        <w:t xml:space="preserve">132 of </w:t>
      </w:r>
      <w:r w:rsidR="005774CA">
        <w:t xml:space="preserve">the </w:t>
      </w:r>
      <w:r w:rsidR="005774CA" w:rsidRPr="00C329DD">
        <w:t>Act</w:t>
      </w:r>
      <w:r w:rsidR="00084A93">
        <w:t>,</w:t>
      </w:r>
      <w:r w:rsidR="005774CA" w:rsidRPr="00C329DD">
        <w:t xml:space="preserve"> </w:t>
      </w:r>
      <w:r w:rsidR="00D6757E">
        <w:t xml:space="preserve">the </w:t>
      </w:r>
      <w:r w:rsidR="009A49A0">
        <w:t>Principal</w:t>
      </w:r>
      <w:r w:rsidR="00D6757E" w:rsidDel="009A49A0">
        <w:t xml:space="preserve"> </w:t>
      </w:r>
      <w:r w:rsidR="00E94A8F">
        <w:t xml:space="preserve">Registrar </w:t>
      </w:r>
      <w:r w:rsidR="00D6757E">
        <w:t>may reduce, waive, postpone, remit or refund fees</w:t>
      </w:r>
      <w:r w:rsidR="007B1D2E">
        <w:t xml:space="preserve"> if it is considered that the payment of the fee would cause </w:t>
      </w:r>
      <w:r w:rsidR="00B9347D">
        <w:t xml:space="preserve">financial </w:t>
      </w:r>
      <w:r w:rsidR="007B1D2E">
        <w:t>hardship.</w:t>
      </w:r>
      <w:r w:rsidR="00B9347D">
        <w:t xml:space="preserve"> The applicant needs to provide VCAT with information in support of their fee relief.</w:t>
      </w:r>
    </w:p>
    <w:p w14:paraId="76A0A1A3" w14:textId="55AD7ABB" w:rsidR="007E64F1" w:rsidRDefault="007E64F1" w:rsidP="003C4FE7">
      <w:pPr>
        <w:pStyle w:val="DJCSbody"/>
        <w:numPr>
          <w:ilvl w:val="0"/>
          <w:numId w:val="39"/>
        </w:numPr>
      </w:pPr>
      <w:r>
        <w:t>Automatic fee waivers</w:t>
      </w:r>
      <w:r w:rsidR="00B43362">
        <w:t>:</w:t>
      </w:r>
      <w:r w:rsidR="00C74FBD" w:rsidRPr="00C74FBD">
        <w:t xml:space="preserve"> apply in </w:t>
      </w:r>
      <w:r w:rsidR="00B9347D">
        <w:t>certain pro</w:t>
      </w:r>
      <w:r w:rsidR="00D426F5">
        <w:t>ceedings under regulation 15</w:t>
      </w:r>
      <w:r w:rsidR="00230303">
        <w:t xml:space="preserve"> </w:t>
      </w:r>
      <w:r w:rsidR="00C74FBD" w:rsidRPr="00C74FBD">
        <w:t xml:space="preserve">of the </w:t>
      </w:r>
      <w:r w:rsidR="00C74FBD" w:rsidRPr="00C74FBD" w:rsidDel="00F0606C">
        <w:t>Regulations</w:t>
      </w:r>
      <w:r w:rsidR="00C74FBD" w:rsidRPr="00C74FBD">
        <w:t xml:space="preserve">, as well as for matters that attract no fee </w:t>
      </w:r>
      <w:r w:rsidR="00230303">
        <w:t xml:space="preserve">under </w:t>
      </w:r>
      <w:r w:rsidR="00C74FBD" w:rsidRPr="00C74FBD">
        <w:t>Fee Schedule</w:t>
      </w:r>
      <w:r w:rsidR="00230303">
        <w:t xml:space="preserve"> 1 of the Regulations. </w:t>
      </w:r>
      <w:r w:rsidR="00C74FBD" w:rsidRPr="00C74FBD">
        <w:t>VCAT also waives fees for specific groups, including people under 18, those in prison or public institutions, individuals represented by Victoria Legal Aid or a community legal centre, and applicants in residential tenancies cases arising from family violence. A full list of eligible categories is available on the VCAT website.</w:t>
      </w:r>
      <w:r w:rsidR="001639D4">
        <w:rPr>
          <w:rStyle w:val="FootnoteReference"/>
        </w:rPr>
        <w:footnoteReference w:id="7"/>
      </w:r>
      <w:r w:rsidR="006734D1">
        <w:t>.</w:t>
      </w:r>
    </w:p>
    <w:p w14:paraId="013417A8" w14:textId="7AB8C99D" w:rsidR="00C60FC8" w:rsidRDefault="00C60FC8" w:rsidP="0076385E">
      <w:pPr>
        <w:pStyle w:val="DJCSbody"/>
        <w:ind w:left="720"/>
      </w:pPr>
      <w:r>
        <w:t>These fee waivers provide an additional layer of support for those fee payers with a lower</w:t>
      </w:r>
      <w:r w:rsidR="00C56A85">
        <w:t xml:space="preserve"> capacity to pay VCAT fees. These waivers complement the fee payer categor</w:t>
      </w:r>
      <w:r w:rsidR="007B08CE">
        <w:t xml:space="preserve">ies to balance </w:t>
      </w:r>
      <w:r w:rsidR="008E3CCC">
        <w:t>having sufficient</w:t>
      </w:r>
      <w:r w:rsidR="007B08CE">
        <w:t xml:space="preserve"> </w:t>
      </w:r>
      <w:r w:rsidR="008E3CCC">
        <w:t>fee revenue</w:t>
      </w:r>
      <w:r w:rsidR="007B08CE">
        <w:t xml:space="preserve"> to </w:t>
      </w:r>
      <w:r w:rsidR="008E3CCC">
        <w:t>fund</w:t>
      </w:r>
      <w:r w:rsidR="007B08CE">
        <w:t xml:space="preserve"> VCAT services and minimising </w:t>
      </w:r>
      <w:r w:rsidR="008E3CCC">
        <w:t>barriers</w:t>
      </w:r>
      <w:r w:rsidR="007B08CE">
        <w:t xml:space="preserve"> to access VCAT services.</w:t>
      </w:r>
    </w:p>
    <w:p w14:paraId="5492E11D" w14:textId="77777777" w:rsidR="004173A3" w:rsidRPr="000378D0" w:rsidRDefault="004173A3" w:rsidP="004173A3">
      <w:pPr>
        <w:pStyle w:val="Heading3"/>
      </w:pPr>
      <w:bookmarkStart w:id="37" w:name="_Toc216179675"/>
      <w:r w:rsidRPr="000378D0">
        <w:t>VCAT lists</w:t>
      </w:r>
      <w:bookmarkEnd w:id="37"/>
    </w:p>
    <w:p w14:paraId="21D300D6" w14:textId="58293515" w:rsidR="004173A3" w:rsidRDefault="004173A3" w:rsidP="0076385E">
      <w:pPr>
        <w:pStyle w:val="DJCSbodyafterbullets"/>
        <w:ind w:left="720"/>
      </w:pPr>
      <w:r>
        <w:t>VCAT operates</w:t>
      </w:r>
      <w:r w:rsidRPr="004F0838">
        <w:t xml:space="preserve"> through specialised divisions and lists</w:t>
      </w:r>
      <w:r>
        <w:t xml:space="preserve">. It has </w:t>
      </w:r>
      <w:r w:rsidR="007C05C7" w:rsidRPr="00703834">
        <w:t xml:space="preserve">three </w:t>
      </w:r>
      <w:r w:rsidRPr="00703834">
        <w:t>divisions:</w:t>
      </w:r>
      <w:r w:rsidR="00DB0828" w:rsidRPr="002E0A8A">
        <w:t xml:space="preserve"> C</w:t>
      </w:r>
      <w:r w:rsidR="00DB0828">
        <w:t>onsumer, Land &amp; Environment</w:t>
      </w:r>
      <w:r w:rsidR="0080415B">
        <w:t>,</w:t>
      </w:r>
      <w:r w:rsidR="00DB0828">
        <w:t xml:space="preserve"> and People’s Rights &amp; Responsibilities</w:t>
      </w:r>
      <w:r>
        <w:t xml:space="preserve">. Each </w:t>
      </w:r>
      <w:r w:rsidR="000F4446" w:rsidRPr="000F4446">
        <w:t xml:space="preserve">VCAT </w:t>
      </w:r>
      <w:r>
        <w:t xml:space="preserve">division </w:t>
      </w:r>
      <w:r w:rsidR="000F4446" w:rsidRPr="000F4446">
        <w:t>contains lists</w:t>
      </w:r>
      <w:r>
        <w:t xml:space="preserve"> that group </w:t>
      </w:r>
      <w:r w:rsidR="00A60512">
        <w:t xml:space="preserve">similar </w:t>
      </w:r>
      <w:r>
        <w:t>case types</w:t>
      </w:r>
      <w:r w:rsidR="000F4446" w:rsidRPr="000F4446">
        <w:t xml:space="preserve">. These lists help allocate matters to </w:t>
      </w:r>
      <w:r w:rsidR="006E5527">
        <w:t>Member</w:t>
      </w:r>
      <w:r w:rsidR="000F4446" w:rsidRPr="000F4446">
        <w:t>s with relevant</w:t>
      </w:r>
      <w:r>
        <w:t xml:space="preserve"> expertise </w:t>
      </w:r>
      <w:r w:rsidR="000F4446" w:rsidRPr="000F4446">
        <w:t>and support efficient, fair decision-making.</w:t>
      </w:r>
      <w:r>
        <w:t xml:space="preserve"> The following </w:t>
      </w:r>
      <w:r w:rsidR="00790386">
        <w:t>table</w:t>
      </w:r>
      <w:r>
        <w:t xml:space="preserve"> </w:t>
      </w:r>
      <w:r w:rsidR="000F4446" w:rsidRPr="000F4446">
        <w:t>outlines</w:t>
      </w:r>
      <w:r>
        <w:t xml:space="preserve"> the lists and case types </w:t>
      </w:r>
      <w:r w:rsidR="000F4446" w:rsidRPr="000F4446">
        <w:t>within</w:t>
      </w:r>
      <w:r>
        <w:t xml:space="preserve"> each division.</w:t>
      </w:r>
      <w:r w:rsidR="004D73D5">
        <w:t xml:space="preserve"> </w:t>
      </w:r>
    </w:p>
    <w:p w14:paraId="36D3C96A" w14:textId="33E2B059" w:rsidR="004173A3" w:rsidRDefault="00937339" w:rsidP="0076385E">
      <w:pPr>
        <w:pStyle w:val="DJCSbodyafterbullets"/>
        <w:ind w:left="720"/>
      </w:pPr>
      <w:r>
        <w:t>As mentioned prior</w:t>
      </w:r>
      <w:r w:rsidR="001F675A">
        <w:t>, this RIS does not include consideration</w:t>
      </w:r>
      <w:r w:rsidR="004173A3">
        <w:t xml:space="preserve"> of the Guardianship and Administration (Fees) Regulations 2022</w:t>
      </w:r>
      <w:r w:rsidR="001F675A" w:rsidRPr="001F675A">
        <w:t xml:space="preserve">, which determine the fees for proceedings under the </w:t>
      </w:r>
      <w:r w:rsidR="001F675A" w:rsidRPr="00C329DD">
        <w:rPr>
          <w:i/>
        </w:rPr>
        <w:t>Guardianship and Administration Act 2019</w:t>
      </w:r>
      <w:r w:rsidR="001F675A" w:rsidRPr="001F675A">
        <w:t xml:space="preserve">. </w:t>
      </w:r>
      <w:r w:rsidR="005456A7">
        <w:t>F</w:t>
      </w:r>
      <w:r w:rsidR="001F675A">
        <w:t xml:space="preserve">ees </w:t>
      </w:r>
      <w:r w:rsidR="009241D1">
        <w:t>applicable under</w:t>
      </w:r>
      <w:r w:rsidR="00FD5952">
        <w:t xml:space="preserve"> these regulations</w:t>
      </w:r>
      <w:r w:rsidR="009241D1">
        <w:t xml:space="preserve"> </w:t>
      </w:r>
      <w:r w:rsidR="002C089D">
        <w:t xml:space="preserve">(primarily heard in the </w:t>
      </w:r>
      <w:r w:rsidR="007A47E9" w:rsidRPr="007A47E9">
        <w:t>Guardianship List</w:t>
      </w:r>
      <w:r w:rsidR="002C089D">
        <w:t>) wil</w:t>
      </w:r>
      <w:r w:rsidR="00FD5952">
        <w:t xml:space="preserve">l be considered through a </w:t>
      </w:r>
      <w:r w:rsidR="002C089D">
        <w:t>separate</w:t>
      </w:r>
      <w:r w:rsidR="00FD5952">
        <w:t xml:space="preserve"> mid-term review</w:t>
      </w:r>
      <w:r w:rsidR="002C089D">
        <w:t xml:space="preserve">. </w:t>
      </w:r>
      <w:hyperlink w:anchor="_Appendix_D" w:history="1">
        <w:r w:rsidR="004173A3" w:rsidRPr="006E6BC9">
          <w:rPr>
            <w:rStyle w:val="Hyperlink"/>
          </w:rPr>
          <w:t>Appendix</w:t>
        </w:r>
        <w:r w:rsidR="00C81B0F">
          <w:rPr>
            <w:rStyle w:val="Hyperlink"/>
          </w:rPr>
          <w:t> </w:t>
        </w:r>
        <w:r w:rsidR="00EC671C" w:rsidRPr="006E6BC9">
          <w:rPr>
            <w:rStyle w:val="Hyperlink"/>
          </w:rPr>
          <w:t>D</w:t>
        </w:r>
      </w:hyperlink>
      <w:r w:rsidR="004173A3" w:rsidRPr="006E6BC9">
        <w:t xml:space="preserve"> includes </w:t>
      </w:r>
      <w:r w:rsidR="00DD163F" w:rsidRPr="006E6BC9">
        <w:t>an outline of th</w:t>
      </w:r>
      <w:r w:rsidR="002C089D" w:rsidRPr="006E6BC9">
        <w:t>is</w:t>
      </w:r>
      <w:r w:rsidR="00DD163F" w:rsidRPr="006E6BC9">
        <w:t xml:space="preserve"> mid-term</w:t>
      </w:r>
      <w:r w:rsidR="004173A3" w:rsidRPr="006E6BC9">
        <w:t xml:space="preserve"> review</w:t>
      </w:r>
      <w:r w:rsidR="00DC6880" w:rsidRPr="006E6BC9">
        <w:t xml:space="preserve"> for reference</w:t>
      </w:r>
      <w:r w:rsidR="004173A3">
        <w:t xml:space="preserve">. </w:t>
      </w:r>
      <w:r w:rsidR="00DA63E4">
        <w:t xml:space="preserve"> </w:t>
      </w:r>
    </w:p>
    <w:p w14:paraId="75E2BFC5" w14:textId="7FE14FA4" w:rsidR="004173A3" w:rsidRPr="003D20F7" w:rsidRDefault="004173A3" w:rsidP="004173A3">
      <w:pPr>
        <w:pStyle w:val="DJCSbodyafterbullets"/>
        <w:rPr>
          <w:i/>
        </w:rPr>
      </w:pPr>
      <w:r w:rsidRPr="00813208">
        <w:rPr>
          <w:i/>
        </w:rPr>
        <w:t>Table</w:t>
      </w:r>
      <w:r w:rsidRPr="006C20A0">
        <w:rPr>
          <w:i/>
        </w:rPr>
        <w:t xml:space="preserve"> </w:t>
      </w:r>
      <w:r w:rsidR="006F461F">
        <w:rPr>
          <w:i/>
          <w:iCs/>
        </w:rPr>
        <w:t>4</w:t>
      </w:r>
      <w:r w:rsidRPr="006C20A0">
        <w:rPr>
          <w:i/>
        </w:rPr>
        <w:t xml:space="preserve">: </w:t>
      </w:r>
      <w:r w:rsidRPr="00813208">
        <w:rPr>
          <w:i/>
        </w:rPr>
        <w:t xml:space="preserve">Lists and case types for VCAT </w:t>
      </w:r>
    </w:p>
    <w:tbl>
      <w:tblPr>
        <w:tblStyle w:val="TableGrid"/>
        <w:tblW w:w="9497" w:type="dxa"/>
        <w:tblInd w:w="8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45"/>
        <w:gridCol w:w="2507"/>
        <w:gridCol w:w="5245"/>
      </w:tblGrid>
      <w:tr w:rsidR="00D849F6" w:rsidRPr="008F3E9E" w14:paraId="266997D3" w14:textId="77777777" w:rsidTr="00781169">
        <w:tc>
          <w:tcPr>
            <w:tcW w:w="1745" w:type="dxa"/>
            <w:shd w:val="clear" w:color="auto" w:fill="002060"/>
          </w:tcPr>
          <w:p w14:paraId="226052CC" w14:textId="77777777" w:rsidR="00D849F6" w:rsidRPr="008F3E9E" w:rsidRDefault="00D849F6">
            <w:pPr>
              <w:rPr>
                <w:rFonts w:ascii="Arial" w:hAnsi="Arial" w:cs="Arial"/>
                <w:b/>
                <w:bCs/>
                <w:sz w:val="22"/>
                <w:szCs w:val="22"/>
              </w:rPr>
            </w:pPr>
            <w:r w:rsidRPr="008F3E9E">
              <w:rPr>
                <w:rFonts w:ascii="Arial" w:hAnsi="Arial" w:cs="Arial"/>
                <w:b/>
                <w:bCs/>
                <w:sz w:val="22"/>
                <w:szCs w:val="22"/>
              </w:rPr>
              <w:t>Division</w:t>
            </w:r>
          </w:p>
        </w:tc>
        <w:tc>
          <w:tcPr>
            <w:tcW w:w="2507" w:type="dxa"/>
            <w:shd w:val="clear" w:color="auto" w:fill="002060"/>
          </w:tcPr>
          <w:p w14:paraId="64553319" w14:textId="77777777" w:rsidR="00D849F6" w:rsidRPr="008F3E9E" w:rsidRDefault="00D849F6">
            <w:pPr>
              <w:rPr>
                <w:rFonts w:ascii="Arial" w:hAnsi="Arial" w:cs="Arial"/>
                <w:b/>
                <w:bCs/>
                <w:sz w:val="22"/>
                <w:szCs w:val="22"/>
              </w:rPr>
            </w:pPr>
            <w:r w:rsidRPr="008F3E9E">
              <w:rPr>
                <w:rFonts w:ascii="Arial" w:hAnsi="Arial" w:cs="Arial"/>
                <w:b/>
                <w:bCs/>
                <w:sz w:val="22"/>
                <w:szCs w:val="22"/>
              </w:rPr>
              <w:t>List</w:t>
            </w:r>
          </w:p>
        </w:tc>
        <w:tc>
          <w:tcPr>
            <w:tcW w:w="5245" w:type="dxa"/>
            <w:shd w:val="clear" w:color="auto" w:fill="002060"/>
          </w:tcPr>
          <w:p w14:paraId="339641DD" w14:textId="77777777" w:rsidR="00D849F6" w:rsidRPr="008F3E9E" w:rsidRDefault="00D849F6">
            <w:pPr>
              <w:rPr>
                <w:rFonts w:ascii="Arial" w:hAnsi="Arial" w:cs="Arial"/>
                <w:b/>
                <w:bCs/>
                <w:sz w:val="22"/>
                <w:szCs w:val="22"/>
              </w:rPr>
            </w:pPr>
            <w:r w:rsidRPr="008F3E9E">
              <w:rPr>
                <w:rFonts w:ascii="Arial" w:hAnsi="Arial" w:cs="Arial"/>
                <w:b/>
                <w:bCs/>
                <w:sz w:val="22"/>
                <w:szCs w:val="22"/>
              </w:rPr>
              <w:t>Practice Areas</w:t>
            </w:r>
          </w:p>
        </w:tc>
      </w:tr>
      <w:tr w:rsidR="00D849F6" w:rsidRPr="008F3E9E" w14:paraId="54C12E8C" w14:textId="77777777" w:rsidTr="00781169">
        <w:tc>
          <w:tcPr>
            <w:tcW w:w="1745" w:type="dxa"/>
            <w:vMerge w:val="restart"/>
            <w:shd w:val="clear" w:color="auto" w:fill="D9D9D9" w:themeFill="background1" w:themeFillShade="D9"/>
          </w:tcPr>
          <w:p w14:paraId="3BF239A4" w14:textId="77777777" w:rsidR="00D849F6" w:rsidRPr="008F3E9E" w:rsidRDefault="00D849F6">
            <w:pPr>
              <w:jc w:val="center"/>
              <w:rPr>
                <w:rFonts w:ascii="Arial" w:hAnsi="Arial" w:cs="Arial"/>
                <w:b/>
                <w:bCs/>
                <w:sz w:val="22"/>
                <w:szCs w:val="22"/>
              </w:rPr>
            </w:pPr>
          </w:p>
          <w:p w14:paraId="569A2710" w14:textId="77777777" w:rsidR="00D849F6" w:rsidRPr="008F3E9E" w:rsidRDefault="00D849F6">
            <w:pPr>
              <w:jc w:val="center"/>
              <w:rPr>
                <w:rFonts w:ascii="Arial" w:hAnsi="Arial" w:cs="Arial"/>
                <w:b/>
                <w:bCs/>
                <w:sz w:val="22"/>
                <w:szCs w:val="22"/>
              </w:rPr>
            </w:pPr>
          </w:p>
          <w:p w14:paraId="72D96C86" w14:textId="77777777" w:rsidR="00D849F6" w:rsidRPr="008F3E9E" w:rsidRDefault="00D849F6">
            <w:pPr>
              <w:jc w:val="center"/>
              <w:rPr>
                <w:rFonts w:ascii="Arial" w:hAnsi="Arial" w:cs="Arial"/>
                <w:b/>
                <w:bCs/>
                <w:sz w:val="22"/>
                <w:szCs w:val="22"/>
              </w:rPr>
            </w:pPr>
          </w:p>
          <w:p w14:paraId="1A25371C" w14:textId="77777777" w:rsidR="00D849F6" w:rsidRPr="008F3E9E" w:rsidRDefault="00D849F6">
            <w:pPr>
              <w:jc w:val="center"/>
              <w:rPr>
                <w:rFonts w:ascii="Arial" w:hAnsi="Arial" w:cs="Arial"/>
                <w:b/>
                <w:bCs/>
                <w:sz w:val="22"/>
                <w:szCs w:val="22"/>
              </w:rPr>
            </w:pPr>
            <w:r w:rsidRPr="008F3E9E">
              <w:rPr>
                <w:rFonts w:ascii="Arial" w:hAnsi="Arial" w:cs="Arial"/>
                <w:b/>
                <w:bCs/>
                <w:sz w:val="22"/>
                <w:szCs w:val="22"/>
              </w:rPr>
              <w:t>Administrative</w:t>
            </w:r>
          </w:p>
        </w:tc>
        <w:tc>
          <w:tcPr>
            <w:tcW w:w="2507" w:type="dxa"/>
          </w:tcPr>
          <w:p w14:paraId="20BFEC57" w14:textId="77777777" w:rsidR="00D849F6" w:rsidRDefault="00D849F6">
            <w:pPr>
              <w:rPr>
                <w:rFonts w:ascii="Arial" w:hAnsi="Arial" w:cs="Arial"/>
              </w:rPr>
            </w:pPr>
          </w:p>
          <w:p w14:paraId="7DDA7DCC" w14:textId="77777777" w:rsidR="00D849F6" w:rsidRPr="008F3E9E" w:rsidRDefault="00D849F6">
            <w:pPr>
              <w:rPr>
                <w:rFonts w:ascii="Arial" w:hAnsi="Arial" w:cs="Arial"/>
                <w:sz w:val="22"/>
                <w:szCs w:val="22"/>
              </w:rPr>
            </w:pPr>
            <w:r w:rsidRPr="008F3E9E">
              <w:rPr>
                <w:rFonts w:ascii="Arial" w:hAnsi="Arial" w:cs="Arial"/>
                <w:sz w:val="22"/>
                <w:szCs w:val="22"/>
              </w:rPr>
              <w:t>Legal Practice List</w:t>
            </w:r>
          </w:p>
        </w:tc>
        <w:tc>
          <w:tcPr>
            <w:tcW w:w="5245" w:type="dxa"/>
          </w:tcPr>
          <w:p w14:paraId="42190427" w14:textId="77777777" w:rsidR="00D849F6" w:rsidRPr="008F3E9E" w:rsidRDefault="00D849F6" w:rsidP="003C4FE7">
            <w:pPr>
              <w:pStyle w:val="ListParagraph"/>
              <w:numPr>
                <w:ilvl w:val="0"/>
                <w:numId w:val="45"/>
              </w:numPr>
              <w:spacing w:after="0" w:line="240" w:lineRule="auto"/>
              <w:ind w:left="488" w:hanging="425"/>
              <w:rPr>
                <w:rFonts w:ascii="Arial" w:hAnsi="Arial" w:cs="Arial"/>
              </w:rPr>
            </w:pPr>
            <w:r w:rsidRPr="008F3E9E">
              <w:rPr>
                <w:rFonts w:ascii="Arial" w:hAnsi="Arial" w:cs="Arial"/>
              </w:rPr>
              <w:t>Resolves disputes between legal practitioners and clients regarding services and fees.</w:t>
            </w:r>
          </w:p>
        </w:tc>
      </w:tr>
      <w:tr w:rsidR="00D849F6" w:rsidRPr="008F3E9E" w14:paraId="6D2F0C8B" w14:textId="77777777" w:rsidTr="00781169">
        <w:tc>
          <w:tcPr>
            <w:tcW w:w="1745" w:type="dxa"/>
            <w:vMerge/>
            <w:shd w:val="clear" w:color="auto" w:fill="D9D9D9" w:themeFill="background1" w:themeFillShade="D9"/>
          </w:tcPr>
          <w:p w14:paraId="12239DA9" w14:textId="77777777" w:rsidR="00D849F6" w:rsidRPr="008F3E9E" w:rsidRDefault="00D849F6">
            <w:pPr>
              <w:jc w:val="center"/>
              <w:rPr>
                <w:rFonts w:ascii="Arial" w:hAnsi="Arial" w:cs="Arial"/>
                <w:b/>
                <w:bCs/>
                <w:sz w:val="22"/>
                <w:szCs w:val="22"/>
              </w:rPr>
            </w:pPr>
          </w:p>
        </w:tc>
        <w:tc>
          <w:tcPr>
            <w:tcW w:w="2507" w:type="dxa"/>
          </w:tcPr>
          <w:p w14:paraId="7B6405FA" w14:textId="77777777" w:rsidR="00D849F6" w:rsidRPr="008F3E9E" w:rsidRDefault="00D849F6">
            <w:pPr>
              <w:rPr>
                <w:rFonts w:ascii="Arial" w:hAnsi="Arial" w:cs="Arial"/>
                <w:sz w:val="22"/>
                <w:szCs w:val="22"/>
              </w:rPr>
            </w:pPr>
            <w:r w:rsidRPr="008F3E9E">
              <w:rPr>
                <w:rFonts w:ascii="Arial" w:hAnsi="Arial" w:cs="Arial"/>
                <w:sz w:val="22"/>
                <w:szCs w:val="22"/>
              </w:rPr>
              <w:t>Review and Regulation List</w:t>
            </w:r>
          </w:p>
        </w:tc>
        <w:tc>
          <w:tcPr>
            <w:tcW w:w="5245" w:type="dxa"/>
          </w:tcPr>
          <w:p w14:paraId="474640C1" w14:textId="77777777" w:rsidR="00D849F6" w:rsidRPr="008F3E9E" w:rsidRDefault="00D849F6" w:rsidP="003C4FE7">
            <w:pPr>
              <w:pStyle w:val="ListParagraph"/>
              <w:numPr>
                <w:ilvl w:val="0"/>
                <w:numId w:val="45"/>
              </w:numPr>
              <w:spacing w:after="0" w:line="240" w:lineRule="auto"/>
              <w:ind w:left="488" w:hanging="425"/>
              <w:rPr>
                <w:rFonts w:ascii="Arial" w:hAnsi="Arial" w:cs="Arial"/>
              </w:rPr>
            </w:pPr>
            <w:r w:rsidRPr="008F3E9E">
              <w:rPr>
                <w:rFonts w:ascii="Arial" w:hAnsi="Arial" w:cs="Arial"/>
              </w:rPr>
              <w:t>Examines administrative decisions made by government agencies.</w:t>
            </w:r>
          </w:p>
        </w:tc>
      </w:tr>
      <w:tr w:rsidR="00D849F6" w:rsidRPr="008F3E9E" w14:paraId="5E556685" w14:textId="77777777" w:rsidTr="00781169">
        <w:tc>
          <w:tcPr>
            <w:tcW w:w="1745" w:type="dxa"/>
            <w:vMerge w:val="restart"/>
            <w:shd w:val="clear" w:color="auto" w:fill="BFBFBF" w:themeFill="background1" w:themeFillShade="BF"/>
          </w:tcPr>
          <w:p w14:paraId="410127EF" w14:textId="77777777" w:rsidR="00D849F6" w:rsidRPr="008F3E9E" w:rsidRDefault="00D849F6">
            <w:pPr>
              <w:jc w:val="center"/>
              <w:rPr>
                <w:rFonts w:ascii="Arial" w:hAnsi="Arial" w:cs="Arial"/>
                <w:b/>
                <w:bCs/>
                <w:sz w:val="22"/>
                <w:szCs w:val="22"/>
              </w:rPr>
            </w:pPr>
          </w:p>
          <w:p w14:paraId="6465C3FA" w14:textId="77777777" w:rsidR="00D849F6" w:rsidRPr="008F3E9E" w:rsidRDefault="00D849F6">
            <w:pPr>
              <w:jc w:val="center"/>
              <w:rPr>
                <w:rFonts w:ascii="Arial" w:hAnsi="Arial" w:cs="Arial"/>
                <w:b/>
                <w:bCs/>
                <w:sz w:val="22"/>
                <w:szCs w:val="22"/>
              </w:rPr>
            </w:pPr>
          </w:p>
          <w:p w14:paraId="2F1C4AF4" w14:textId="77777777" w:rsidR="00D849F6" w:rsidRPr="008F3E9E" w:rsidRDefault="00D849F6">
            <w:pPr>
              <w:jc w:val="center"/>
              <w:rPr>
                <w:rFonts w:ascii="Arial" w:hAnsi="Arial" w:cs="Arial"/>
                <w:b/>
                <w:bCs/>
                <w:sz w:val="22"/>
                <w:szCs w:val="22"/>
              </w:rPr>
            </w:pPr>
          </w:p>
          <w:p w14:paraId="6B743327" w14:textId="77777777" w:rsidR="00D849F6" w:rsidRPr="008F3E9E" w:rsidRDefault="00D849F6">
            <w:pPr>
              <w:jc w:val="center"/>
              <w:rPr>
                <w:rFonts w:ascii="Arial" w:hAnsi="Arial" w:cs="Arial"/>
                <w:b/>
                <w:bCs/>
                <w:sz w:val="22"/>
                <w:szCs w:val="22"/>
              </w:rPr>
            </w:pPr>
          </w:p>
          <w:p w14:paraId="63DB4811" w14:textId="77777777" w:rsidR="00D849F6" w:rsidRPr="008F3E9E" w:rsidRDefault="00D849F6">
            <w:pPr>
              <w:jc w:val="center"/>
              <w:rPr>
                <w:rFonts w:ascii="Arial" w:hAnsi="Arial" w:cs="Arial"/>
                <w:b/>
                <w:bCs/>
                <w:sz w:val="22"/>
                <w:szCs w:val="22"/>
              </w:rPr>
            </w:pPr>
          </w:p>
          <w:p w14:paraId="6E689967" w14:textId="77777777" w:rsidR="00D849F6" w:rsidRPr="008F3E9E" w:rsidRDefault="00D849F6">
            <w:pPr>
              <w:jc w:val="center"/>
              <w:rPr>
                <w:rFonts w:ascii="Arial" w:hAnsi="Arial" w:cs="Arial"/>
                <w:b/>
                <w:bCs/>
                <w:sz w:val="22"/>
                <w:szCs w:val="22"/>
              </w:rPr>
            </w:pPr>
          </w:p>
          <w:p w14:paraId="3DD1ED78" w14:textId="77777777" w:rsidR="00D849F6" w:rsidRPr="008F3E9E" w:rsidRDefault="00D849F6">
            <w:pPr>
              <w:jc w:val="center"/>
              <w:rPr>
                <w:rFonts w:ascii="Arial" w:hAnsi="Arial" w:cs="Arial"/>
                <w:b/>
                <w:bCs/>
                <w:sz w:val="22"/>
                <w:szCs w:val="22"/>
              </w:rPr>
            </w:pPr>
          </w:p>
          <w:p w14:paraId="398FE18C" w14:textId="77777777" w:rsidR="00D849F6" w:rsidRPr="008F3E9E" w:rsidRDefault="00D849F6">
            <w:pPr>
              <w:jc w:val="center"/>
              <w:rPr>
                <w:rFonts w:ascii="Arial" w:hAnsi="Arial" w:cs="Arial"/>
                <w:b/>
                <w:bCs/>
                <w:sz w:val="22"/>
                <w:szCs w:val="22"/>
              </w:rPr>
            </w:pPr>
          </w:p>
          <w:p w14:paraId="5FCC803D" w14:textId="77777777" w:rsidR="00D849F6" w:rsidRPr="008F3E9E" w:rsidRDefault="00D849F6">
            <w:pPr>
              <w:jc w:val="center"/>
              <w:rPr>
                <w:rFonts w:ascii="Arial" w:hAnsi="Arial" w:cs="Arial"/>
                <w:b/>
                <w:bCs/>
                <w:sz w:val="22"/>
                <w:szCs w:val="22"/>
              </w:rPr>
            </w:pPr>
            <w:r w:rsidRPr="008F3E9E">
              <w:rPr>
                <w:rFonts w:ascii="Arial" w:hAnsi="Arial" w:cs="Arial"/>
                <w:b/>
                <w:bCs/>
                <w:sz w:val="22"/>
                <w:szCs w:val="22"/>
              </w:rPr>
              <w:t>Civil</w:t>
            </w:r>
          </w:p>
          <w:p w14:paraId="43608FD5" w14:textId="77777777" w:rsidR="00D849F6" w:rsidRPr="008F3E9E" w:rsidRDefault="00D849F6">
            <w:pPr>
              <w:jc w:val="center"/>
              <w:rPr>
                <w:rFonts w:ascii="Arial" w:hAnsi="Arial" w:cs="Arial"/>
                <w:b/>
                <w:bCs/>
                <w:sz w:val="22"/>
                <w:szCs w:val="22"/>
              </w:rPr>
            </w:pPr>
          </w:p>
        </w:tc>
        <w:tc>
          <w:tcPr>
            <w:tcW w:w="2507" w:type="dxa"/>
          </w:tcPr>
          <w:p w14:paraId="6A7AB8E4" w14:textId="77777777" w:rsidR="00D849F6" w:rsidRDefault="00D849F6">
            <w:pPr>
              <w:rPr>
                <w:rFonts w:ascii="Arial" w:hAnsi="Arial" w:cs="Arial"/>
              </w:rPr>
            </w:pPr>
          </w:p>
          <w:p w14:paraId="0113ECDB" w14:textId="77777777" w:rsidR="00D849F6" w:rsidRPr="008F3E9E" w:rsidRDefault="00D849F6">
            <w:pPr>
              <w:rPr>
                <w:rFonts w:ascii="Arial" w:hAnsi="Arial" w:cs="Arial"/>
                <w:sz w:val="22"/>
                <w:szCs w:val="22"/>
              </w:rPr>
            </w:pPr>
            <w:r w:rsidRPr="008F3E9E">
              <w:rPr>
                <w:rFonts w:ascii="Arial" w:hAnsi="Arial" w:cs="Arial"/>
                <w:sz w:val="22"/>
                <w:szCs w:val="22"/>
              </w:rPr>
              <w:t>Civil Claims List</w:t>
            </w:r>
          </w:p>
        </w:tc>
        <w:tc>
          <w:tcPr>
            <w:tcW w:w="5245" w:type="dxa"/>
          </w:tcPr>
          <w:p w14:paraId="747241DB" w14:textId="77777777" w:rsidR="00D849F6" w:rsidRPr="008F3E9E" w:rsidRDefault="00D849F6" w:rsidP="003C4FE7">
            <w:pPr>
              <w:pStyle w:val="ListParagraph"/>
              <w:numPr>
                <w:ilvl w:val="0"/>
                <w:numId w:val="45"/>
              </w:numPr>
              <w:spacing w:after="0" w:line="240" w:lineRule="auto"/>
              <w:ind w:left="488" w:hanging="425"/>
              <w:rPr>
                <w:rFonts w:ascii="Arial" w:hAnsi="Arial" w:cs="Arial"/>
              </w:rPr>
            </w:pPr>
            <w:r w:rsidRPr="008F3E9E">
              <w:rPr>
                <w:rFonts w:ascii="Arial" w:hAnsi="Arial" w:cs="Arial"/>
              </w:rPr>
              <w:t>Handles consumer complaints and small claims involving the purchase or sale of goods and services.</w:t>
            </w:r>
          </w:p>
        </w:tc>
      </w:tr>
      <w:tr w:rsidR="00D849F6" w:rsidRPr="008F3E9E" w14:paraId="625C72CA" w14:textId="77777777" w:rsidTr="00781169">
        <w:tc>
          <w:tcPr>
            <w:tcW w:w="1745" w:type="dxa"/>
            <w:vMerge/>
            <w:shd w:val="clear" w:color="auto" w:fill="BFBFBF" w:themeFill="background1" w:themeFillShade="BF"/>
          </w:tcPr>
          <w:p w14:paraId="0D4ADA5B" w14:textId="77777777" w:rsidR="00D849F6" w:rsidRPr="008F3E9E" w:rsidRDefault="00D849F6">
            <w:pPr>
              <w:jc w:val="center"/>
              <w:rPr>
                <w:rFonts w:ascii="Arial" w:hAnsi="Arial" w:cs="Arial"/>
                <w:b/>
                <w:bCs/>
                <w:sz w:val="22"/>
                <w:szCs w:val="22"/>
              </w:rPr>
            </w:pPr>
          </w:p>
        </w:tc>
        <w:tc>
          <w:tcPr>
            <w:tcW w:w="2507" w:type="dxa"/>
          </w:tcPr>
          <w:p w14:paraId="0BA786F7" w14:textId="77777777" w:rsidR="00D849F6" w:rsidRDefault="00D849F6">
            <w:pPr>
              <w:rPr>
                <w:rFonts w:ascii="Arial" w:hAnsi="Arial" w:cs="Arial"/>
              </w:rPr>
            </w:pPr>
          </w:p>
          <w:p w14:paraId="34F16429" w14:textId="77777777" w:rsidR="00D849F6" w:rsidRDefault="00D849F6">
            <w:pPr>
              <w:rPr>
                <w:rFonts w:ascii="Arial" w:hAnsi="Arial" w:cs="Arial"/>
              </w:rPr>
            </w:pPr>
          </w:p>
          <w:p w14:paraId="2B9C35BD" w14:textId="77777777" w:rsidR="00D849F6" w:rsidRDefault="00D849F6">
            <w:pPr>
              <w:rPr>
                <w:rFonts w:ascii="Arial" w:hAnsi="Arial" w:cs="Arial"/>
              </w:rPr>
            </w:pPr>
          </w:p>
          <w:p w14:paraId="22C65A05" w14:textId="77777777" w:rsidR="00D849F6" w:rsidRDefault="00D849F6">
            <w:pPr>
              <w:rPr>
                <w:rFonts w:ascii="Arial" w:hAnsi="Arial" w:cs="Arial"/>
              </w:rPr>
            </w:pPr>
          </w:p>
          <w:p w14:paraId="2E783ACC" w14:textId="77777777" w:rsidR="00D849F6" w:rsidRPr="008F3E9E" w:rsidRDefault="00D849F6">
            <w:pPr>
              <w:rPr>
                <w:rFonts w:ascii="Arial" w:hAnsi="Arial" w:cs="Arial"/>
                <w:sz w:val="22"/>
                <w:szCs w:val="22"/>
              </w:rPr>
            </w:pPr>
            <w:r w:rsidRPr="008F3E9E">
              <w:rPr>
                <w:rFonts w:ascii="Arial" w:hAnsi="Arial" w:cs="Arial"/>
                <w:sz w:val="22"/>
                <w:szCs w:val="22"/>
              </w:rPr>
              <w:t>Building and Property List</w:t>
            </w:r>
          </w:p>
        </w:tc>
        <w:tc>
          <w:tcPr>
            <w:tcW w:w="5245" w:type="dxa"/>
          </w:tcPr>
          <w:p w14:paraId="55747ACD" w14:textId="0C3E2C30"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Domestic and commercial building disputes</w:t>
            </w:r>
          </w:p>
          <w:p w14:paraId="7097EA61"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Conflicts involving builders, architects, engineers, and warranty insurers</w:t>
            </w:r>
          </w:p>
          <w:p w14:paraId="0F077843"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Disputes over retail and commercial leases</w:t>
            </w:r>
          </w:p>
          <w:p w14:paraId="2C9D60E8"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Water flow disputes between properties</w:t>
            </w:r>
          </w:p>
          <w:p w14:paraId="2C9B7175"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Division or sale of co-owned land and goods</w:t>
            </w:r>
          </w:p>
        </w:tc>
      </w:tr>
      <w:tr w:rsidR="00D849F6" w:rsidRPr="008F3E9E" w14:paraId="267E5084" w14:textId="77777777" w:rsidTr="00781169">
        <w:tc>
          <w:tcPr>
            <w:tcW w:w="1745" w:type="dxa"/>
            <w:vMerge/>
            <w:shd w:val="clear" w:color="auto" w:fill="BFBFBF" w:themeFill="background1" w:themeFillShade="BF"/>
          </w:tcPr>
          <w:p w14:paraId="0FAC8EB2" w14:textId="77777777" w:rsidR="00D849F6" w:rsidRPr="008F3E9E" w:rsidRDefault="00D849F6">
            <w:pPr>
              <w:jc w:val="center"/>
              <w:rPr>
                <w:rFonts w:ascii="Arial" w:hAnsi="Arial" w:cs="Arial"/>
                <w:b/>
                <w:bCs/>
                <w:sz w:val="22"/>
                <w:szCs w:val="22"/>
              </w:rPr>
            </w:pPr>
          </w:p>
        </w:tc>
        <w:tc>
          <w:tcPr>
            <w:tcW w:w="2507" w:type="dxa"/>
          </w:tcPr>
          <w:p w14:paraId="69EAF7F0" w14:textId="77777777" w:rsidR="00D849F6" w:rsidRPr="008F3E9E" w:rsidRDefault="00D849F6">
            <w:pPr>
              <w:rPr>
                <w:rFonts w:ascii="Arial" w:hAnsi="Arial" w:cs="Arial"/>
                <w:sz w:val="22"/>
                <w:szCs w:val="22"/>
              </w:rPr>
            </w:pPr>
            <w:r w:rsidRPr="008F3E9E">
              <w:rPr>
                <w:rFonts w:ascii="Arial" w:hAnsi="Arial" w:cs="Arial"/>
                <w:sz w:val="22"/>
                <w:szCs w:val="22"/>
              </w:rPr>
              <w:t>Owners Corporations List</w:t>
            </w:r>
          </w:p>
        </w:tc>
        <w:tc>
          <w:tcPr>
            <w:tcW w:w="5245" w:type="dxa"/>
          </w:tcPr>
          <w:p w14:paraId="763691A5" w14:textId="6DD6EB25"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Manages disputes over the use and governance of common property in multi-unit developments</w:t>
            </w:r>
          </w:p>
        </w:tc>
      </w:tr>
      <w:tr w:rsidR="00D849F6" w:rsidRPr="008F3E9E" w14:paraId="7DABECBC" w14:textId="77777777" w:rsidTr="00781169">
        <w:tc>
          <w:tcPr>
            <w:tcW w:w="1745" w:type="dxa"/>
            <w:vMerge w:val="restart"/>
            <w:shd w:val="clear" w:color="auto" w:fill="D9D9D9" w:themeFill="background1" w:themeFillShade="D9"/>
          </w:tcPr>
          <w:p w14:paraId="56E3AF3E" w14:textId="77777777" w:rsidR="00D849F6" w:rsidRPr="008F3E9E" w:rsidRDefault="00D849F6">
            <w:pPr>
              <w:jc w:val="center"/>
              <w:rPr>
                <w:rFonts w:ascii="Arial" w:hAnsi="Arial" w:cs="Arial"/>
                <w:b/>
                <w:bCs/>
                <w:sz w:val="22"/>
                <w:szCs w:val="22"/>
              </w:rPr>
            </w:pPr>
          </w:p>
          <w:p w14:paraId="77C6CED0" w14:textId="77777777" w:rsidR="00D849F6" w:rsidRPr="008F3E9E" w:rsidRDefault="00D849F6">
            <w:pPr>
              <w:jc w:val="center"/>
              <w:rPr>
                <w:rFonts w:ascii="Arial" w:hAnsi="Arial" w:cs="Arial"/>
                <w:b/>
                <w:bCs/>
                <w:sz w:val="22"/>
                <w:szCs w:val="22"/>
              </w:rPr>
            </w:pPr>
          </w:p>
          <w:p w14:paraId="20F8F3FB" w14:textId="77777777" w:rsidR="00D849F6" w:rsidRPr="008F3E9E" w:rsidRDefault="00D849F6">
            <w:pPr>
              <w:jc w:val="center"/>
              <w:rPr>
                <w:rFonts w:ascii="Arial" w:hAnsi="Arial" w:cs="Arial"/>
                <w:b/>
                <w:bCs/>
                <w:sz w:val="22"/>
                <w:szCs w:val="22"/>
              </w:rPr>
            </w:pPr>
          </w:p>
          <w:p w14:paraId="09B4A5C0" w14:textId="77777777" w:rsidR="00D849F6" w:rsidRPr="008F3E9E" w:rsidRDefault="00D849F6">
            <w:pPr>
              <w:jc w:val="center"/>
              <w:rPr>
                <w:rFonts w:ascii="Arial" w:hAnsi="Arial" w:cs="Arial"/>
                <w:b/>
                <w:bCs/>
                <w:sz w:val="22"/>
                <w:szCs w:val="22"/>
              </w:rPr>
            </w:pPr>
          </w:p>
          <w:p w14:paraId="724767C0" w14:textId="77777777" w:rsidR="00D849F6" w:rsidRPr="008F3E9E" w:rsidRDefault="00D849F6">
            <w:pPr>
              <w:jc w:val="center"/>
              <w:rPr>
                <w:rFonts w:ascii="Arial" w:hAnsi="Arial" w:cs="Arial"/>
                <w:b/>
                <w:bCs/>
                <w:sz w:val="22"/>
                <w:szCs w:val="22"/>
              </w:rPr>
            </w:pPr>
          </w:p>
          <w:p w14:paraId="38642903" w14:textId="77777777" w:rsidR="00D849F6" w:rsidRPr="008F3E9E" w:rsidRDefault="00D849F6">
            <w:pPr>
              <w:jc w:val="center"/>
              <w:rPr>
                <w:rFonts w:ascii="Arial" w:hAnsi="Arial" w:cs="Arial"/>
                <w:b/>
                <w:bCs/>
                <w:sz w:val="22"/>
                <w:szCs w:val="22"/>
              </w:rPr>
            </w:pPr>
          </w:p>
          <w:p w14:paraId="75862018" w14:textId="77777777" w:rsidR="00D849F6" w:rsidRPr="008F3E9E" w:rsidRDefault="00D849F6">
            <w:pPr>
              <w:jc w:val="center"/>
              <w:rPr>
                <w:rFonts w:ascii="Arial" w:hAnsi="Arial" w:cs="Arial"/>
                <w:b/>
                <w:bCs/>
                <w:sz w:val="22"/>
                <w:szCs w:val="22"/>
              </w:rPr>
            </w:pPr>
          </w:p>
          <w:p w14:paraId="358A27EA" w14:textId="77777777" w:rsidR="00D849F6" w:rsidRPr="008F3E9E" w:rsidRDefault="00D849F6">
            <w:pPr>
              <w:jc w:val="center"/>
              <w:rPr>
                <w:rFonts w:ascii="Arial" w:hAnsi="Arial" w:cs="Arial"/>
                <w:b/>
                <w:bCs/>
                <w:sz w:val="22"/>
                <w:szCs w:val="22"/>
              </w:rPr>
            </w:pPr>
            <w:r w:rsidRPr="008F3E9E">
              <w:rPr>
                <w:rFonts w:ascii="Arial" w:hAnsi="Arial" w:cs="Arial"/>
                <w:b/>
                <w:bCs/>
                <w:sz w:val="22"/>
                <w:szCs w:val="22"/>
              </w:rPr>
              <w:t>Human Rights</w:t>
            </w:r>
          </w:p>
          <w:p w14:paraId="102A04C4" w14:textId="77777777" w:rsidR="00D849F6" w:rsidRPr="008F3E9E" w:rsidRDefault="00D849F6">
            <w:pPr>
              <w:jc w:val="center"/>
              <w:rPr>
                <w:rFonts w:ascii="Arial" w:hAnsi="Arial" w:cs="Arial"/>
                <w:b/>
                <w:bCs/>
                <w:sz w:val="22"/>
                <w:szCs w:val="22"/>
              </w:rPr>
            </w:pPr>
          </w:p>
        </w:tc>
        <w:tc>
          <w:tcPr>
            <w:tcW w:w="2507" w:type="dxa"/>
          </w:tcPr>
          <w:p w14:paraId="370594FE" w14:textId="77777777" w:rsidR="00D849F6" w:rsidRDefault="00D849F6">
            <w:pPr>
              <w:rPr>
                <w:rFonts w:ascii="Arial" w:hAnsi="Arial" w:cs="Arial"/>
              </w:rPr>
            </w:pPr>
          </w:p>
          <w:p w14:paraId="6C319A2E" w14:textId="77777777" w:rsidR="00D849F6" w:rsidRDefault="00D849F6">
            <w:pPr>
              <w:rPr>
                <w:rFonts w:ascii="Arial" w:hAnsi="Arial" w:cs="Arial"/>
              </w:rPr>
            </w:pPr>
          </w:p>
          <w:p w14:paraId="45F4C29C" w14:textId="77777777" w:rsidR="00D849F6" w:rsidRPr="008F3E9E" w:rsidRDefault="00D849F6">
            <w:pPr>
              <w:rPr>
                <w:rFonts w:ascii="Arial" w:hAnsi="Arial" w:cs="Arial"/>
                <w:sz w:val="22"/>
                <w:szCs w:val="22"/>
              </w:rPr>
            </w:pPr>
            <w:r w:rsidRPr="008F3E9E">
              <w:rPr>
                <w:rFonts w:ascii="Arial" w:hAnsi="Arial" w:cs="Arial"/>
                <w:sz w:val="22"/>
                <w:szCs w:val="22"/>
              </w:rPr>
              <w:t>Guardianship List</w:t>
            </w:r>
          </w:p>
        </w:tc>
        <w:tc>
          <w:tcPr>
            <w:tcW w:w="5245" w:type="dxa"/>
          </w:tcPr>
          <w:p w14:paraId="59DAA3BA"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Appoints and reviews guardians or administrators for adults with disabilities</w:t>
            </w:r>
          </w:p>
          <w:p w14:paraId="33C7F43B"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Resolves disputes over medical treatment and advance care directives</w:t>
            </w:r>
          </w:p>
          <w:p w14:paraId="18F15739"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Reviews and appoints powers of attorney</w:t>
            </w:r>
          </w:p>
        </w:tc>
      </w:tr>
      <w:tr w:rsidR="00D849F6" w:rsidRPr="008F3E9E" w14:paraId="23E5A084" w14:textId="77777777" w:rsidTr="00781169">
        <w:tc>
          <w:tcPr>
            <w:tcW w:w="1745" w:type="dxa"/>
            <w:vMerge/>
            <w:shd w:val="clear" w:color="auto" w:fill="D9D9D9" w:themeFill="background1" w:themeFillShade="D9"/>
          </w:tcPr>
          <w:p w14:paraId="47A5EFFE" w14:textId="77777777" w:rsidR="00D849F6" w:rsidRPr="008F3E9E" w:rsidRDefault="00D849F6">
            <w:pPr>
              <w:jc w:val="center"/>
              <w:rPr>
                <w:rFonts w:ascii="Arial" w:hAnsi="Arial" w:cs="Arial"/>
                <w:b/>
                <w:bCs/>
                <w:sz w:val="22"/>
                <w:szCs w:val="22"/>
              </w:rPr>
            </w:pPr>
          </w:p>
        </w:tc>
        <w:tc>
          <w:tcPr>
            <w:tcW w:w="2507" w:type="dxa"/>
          </w:tcPr>
          <w:p w14:paraId="43F4BB50" w14:textId="77777777" w:rsidR="00D849F6" w:rsidRDefault="00D849F6">
            <w:pPr>
              <w:rPr>
                <w:rFonts w:ascii="Arial" w:hAnsi="Arial" w:cs="Arial"/>
              </w:rPr>
            </w:pPr>
          </w:p>
          <w:p w14:paraId="1EC2D650" w14:textId="77777777" w:rsidR="00D849F6" w:rsidRDefault="00D849F6">
            <w:pPr>
              <w:rPr>
                <w:rFonts w:ascii="Arial" w:hAnsi="Arial" w:cs="Arial"/>
              </w:rPr>
            </w:pPr>
          </w:p>
          <w:p w14:paraId="33A48445" w14:textId="77777777" w:rsidR="00D849F6" w:rsidRDefault="00D849F6">
            <w:pPr>
              <w:rPr>
                <w:rFonts w:ascii="Arial" w:hAnsi="Arial" w:cs="Arial"/>
              </w:rPr>
            </w:pPr>
          </w:p>
          <w:p w14:paraId="4973104D" w14:textId="77777777" w:rsidR="00D849F6" w:rsidRPr="008F3E9E" w:rsidRDefault="00D849F6">
            <w:pPr>
              <w:rPr>
                <w:rFonts w:ascii="Arial" w:hAnsi="Arial" w:cs="Arial"/>
                <w:sz w:val="22"/>
                <w:szCs w:val="22"/>
              </w:rPr>
            </w:pPr>
            <w:r w:rsidRPr="008F3E9E">
              <w:rPr>
                <w:rFonts w:ascii="Arial" w:hAnsi="Arial" w:cs="Arial"/>
                <w:sz w:val="22"/>
                <w:szCs w:val="22"/>
              </w:rPr>
              <w:t>Human Rights List</w:t>
            </w:r>
          </w:p>
        </w:tc>
        <w:tc>
          <w:tcPr>
            <w:tcW w:w="5245" w:type="dxa"/>
          </w:tcPr>
          <w:p w14:paraId="5E452D84" w14:textId="1BB29094"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 xml:space="preserve">Reviews decisions under the </w:t>
            </w:r>
            <w:r w:rsidRPr="00C329DD">
              <w:rPr>
                <w:rFonts w:ascii="Arial" w:hAnsi="Arial" w:cs="Arial"/>
                <w:i/>
              </w:rPr>
              <w:t xml:space="preserve">Mental Health </w:t>
            </w:r>
            <w:r w:rsidR="006F6479" w:rsidRPr="00C329DD">
              <w:rPr>
                <w:rFonts w:ascii="Arial" w:hAnsi="Arial" w:cs="Arial"/>
                <w:i/>
              </w:rPr>
              <w:t xml:space="preserve">and Wellbeing </w:t>
            </w:r>
            <w:r w:rsidRPr="00C329DD">
              <w:rPr>
                <w:rFonts w:ascii="Arial" w:hAnsi="Arial" w:cs="Arial"/>
                <w:i/>
              </w:rPr>
              <w:t xml:space="preserve">Act </w:t>
            </w:r>
            <w:r w:rsidR="006F6479" w:rsidRPr="00C329DD">
              <w:rPr>
                <w:rFonts w:ascii="Arial" w:hAnsi="Arial" w:cs="Arial"/>
                <w:i/>
              </w:rPr>
              <w:t>2022</w:t>
            </w:r>
            <w:r w:rsidR="006F6479">
              <w:rPr>
                <w:rFonts w:ascii="Arial" w:hAnsi="Arial" w:cs="Arial"/>
              </w:rPr>
              <w:t xml:space="preserve"> </w:t>
            </w:r>
            <w:r w:rsidRPr="008F3E9E">
              <w:rPr>
                <w:rFonts w:ascii="Arial" w:hAnsi="Arial" w:cs="Arial"/>
              </w:rPr>
              <w:t xml:space="preserve">and </w:t>
            </w:r>
            <w:r w:rsidRPr="00C329DD">
              <w:rPr>
                <w:rFonts w:ascii="Arial" w:hAnsi="Arial" w:cs="Arial"/>
                <w:i/>
              </w:rPr>
              <w:t>Disability Act</w:t>
            </w:r>
            <w:r w:rsidR="00683877" w:rsidRPr="00C329DD">
              <w:rPr>
                <w:rFonts w:ascii="Arial" w:hAnsi="Arial" w:cs="Arial"/>
                <w:i/>
              </w:rPr>
              <w:t xml:space="preserve"> 2006</w:t>
            </w:r>
          </w:p>
          <w:p w14:paraId="1EF00F1A"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Investigates discrimination, harassment, victimisation, and vilification</w:t>
            </w:r>
          </w:p>
          <w:p w14:paraId="7A800C5E"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Handles complaints about privacy and health records</w:t>
            </w:r>
          </w:p>
          <w:p w14:paraId="1D676DA2"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Considers applications related to voluntary assisted dying</w:t>
            </w:r>
          </w:p>
        </w:tc>
      </w:tr>
      <w:tr w:rsidR="00D849F6" w:rsidRPr="008F3E9E" w14:paraId="4DDAC6A2" w14:textId="77777777" w:rsidTr="00781169">
        <w:tc>
          <w:tcPr>
            <w:tcW w:w="1745" w:type="dxa"/>
            <w:shd w:val="clear" w:color="auto" w:fill="BFBFBF" w:themeFill="background1" w:themeFillShade="BF"/>
          </w:tcPr>
          <w:p w14:paraId="3B4BB86D" w14:textId="77777777" w:rsidR="00D849F6" w:rsidRPr="008F3E9E" w:rsidRDefault="00D849F6">
            <w:pPr>
              <w:jc w:val="center"/>
              <w:rPr>
                <w:rFonts w:ascii="Arial" w:hAnsi="Arial" w:cs="Arial"/>
                <w:b/>
                <w:bCs/>
                <w:sz w:val="22"/>
                <w:szCs w:val="22"/>
              </w:rPr>
            </w:pPr>
            <w:r w:rsidRPr="008F3E9E">
              <w:rPr>
                <w:rFonts w:ascii="Arial" w:hAnsi="Arial" w:cs="Arial"/>
                <w:b/>
                <w:bCs/>
                <w:sz w:val="22"/>
                <w:szCs w:val="22"/>
              </w:rPr>
              <w:t>Planning and Environment</w:t>
            </w:r>
          </w:p>
        </w:tc>
        <w:tc>
          <w:tcPr>
            <w:tcW w:w="2507" w:type="dxa"/>
          </w:tcPr>
          <w:p w14:paraId="62EF0A95" w14:textId="77777777" w:rsidR="00D849F6" w:rsidRPr="008F3E9E" w:rsidRDefault="00D849F6">
            <w:pPr>
              <w:rPr>
                <w:rFonts w:ascii="Arial" w:hAnsi="Arial" w:cs="Arial"/>
                <w:sz w:val="22"/>
                <w:szCs w:val="22"/>
              </w:rPr>
            </w:pPr>
            <w:r w:rsidRPr="008F3E9E">
              <w:rPr>
                <w:rFonts w:ascii="Arial" w:hAnsi="Arial" w:cs="Arial"/>
                <w:sz w:val="22"/>
                <w:szCs w:val="22"/>
              </w:rPr>
              <w:t>Planning and Environment List</w:t>
            </w:r>
          </w:p>
        </w:tc>
        <w:tc>
          <w:tcPr>
            <w:tcW w:w="5245" w:type="dxa"/>
          </w:tcPr>
          <w:p w14:paraId="0775DFEE"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Reviews decisions on land use and development proposals</w:t>
            </w:r>
          </w:p>
          <w:p w14:paraId="501C7338"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Adjudicates land valuation disputes</w:t>
            </w:r>
          </w:p>
          <w:p w14:paraId="6E7D094D"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Reviews decisions under Aboriginal heritage and land rights legislation</w:t>
            </w:r>
          </w:p>
        </w:tc>
      </w:tr>
      <w:tr w:rsidR="00D849F6" w:rsidRPr="008F3E9E" w14:paraId="27BFD9B4" w14:textId="77777777" w:rsidTr="00781169">
        <w:tc>
          <w:tcPr>
            <w:tcW w:w="1745" w:type="dxa"/>
            <w:shd w:val="clear" w:color="auto" w:fill="D9D9D9" w:themeFill="background1" w:themeFillShade="D9"/>
          </w:tcPr>
          <w:p w14:paraId="5D0311D6" w14:textId="77777777" w:rsidR="00D849F6" w:rsidRPr="008F3E9E" w:rsidRDefault="00D849F6">
            <w:pPr>
              <w:jc w:val="center"/>
              <w:rPr>
                <w:rFonts w:ascii="Arial" w:hAnsi="Arial" w:cs="Arial"/>
                <w:b/>
                <w:bCs/>
                <w:sz w:val="22"/>
                <w:szCs w:val="22"/>
              </w:rPr>
            </w:pPr>
            <w:r w:rsidRPr="008F3E9E">
              <w:rPr>
                <w:rFonts w:ascii="Arial" w:hAnsi="Arial" w:cs="Arial"/>
                <w:b/>
                <w:bCs/>
                <w:sz w:val="22"/>
                <w:szCs w:val="22"/>
              </w:rPr>
              <w:t>Residential Tenancies</w:t>
            </w:r>
          </w:p>
        </w:tc>
        <w:tc>
          <w:tcPr>
            <w:tcW w:w="2507" w:type="dxa"/>
          </w:tcPr>
          <w:p w14:paraId="59D0288A" w14:textId="77777777" w:rsidR="00D849F6" w:rsidRPr="008F3E9E" w:rsidRDefault="00D849F6">
            <w:pPr>
              <w:rPr>
                <w:rFonts w:ascii="Arial" w:hAnsi="Arial" w:cs="Arial"/>
                <w:sz w:val="22"/>
                <w:szCs w:val="22"/>
              </w:rPr>
            </w:pPr>
            <w:r w:rsidRPr="008F3E9E">
              <w:rPr>
                <w:rFonts w:ascii="Arial" w:hAnsi="Arial" w:cs="Arial"/>
                <w:sz w:val="22"/>
                <w:szCs w:val="22"/>
              </w:rPr>
              <w:t>Residential Tenancies List</w:t>
            </w:r>
          </w:p>
        </w:tc>
        <w:tc>
          <w:tcPr>
            <w:tcW w:w="5245" w:type="dxa"/>
          </w:tcPr>
          <w:p w14:paraId="21B02242"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Resolves disputes between tenants and landlords</w:t>
            </w:r>
          </w:p>
          <w:p w14:paraId="7D1EF592" w14:textId="77777777" w:rsidR="00D849F6" w:rsidRPr="008F3E9E" w:rsidRDefault="00D849F6" w:rsidP="003C4FE7">
            <w:pPr>
              <w:pStyle w:val="ListParagraph"/>
              <w:numPr>
                <w:ilvl w:val="0"/>
                <w:numId w:val="44"/>
              </w:numPr>
              <w:spacing w:after="0" w:line="240" w:lineRule="auto"/>
              <w:ind w:left="488" w:hanging="425"/>
              <w:rPr>
                <w:rFonts w:ascii="Arial" w:hAnsi="Arial" w:cs="Arial"/>
              </w:rPr>
            </w:pPr>
            <w:r w:rsidRPr="008F3E9E">
              <w:rPr>
                <w:rFonts w:ascii="Arial" w:hAnsi="Arial" w:cs="Arial"/>
              </w:rPr>
              <w:t>Covers issues in rooming houses, caravan parks, and public housing</w:t>
            </w:r>
          </w:p>
        </w:tc>
      </w:tr>
    </w:tbl>
    <w:p w14:paraId="56CE0F04" w14:textId="6907E76B" w:rsidR="00FC5DA1" w:rsidRDefault="00207C9D" w:rsidP="00FA0CF5">
      <w:pPr>
        <w:pStyle w:val="Heading3"/>
      </w:pPr>
      <w:bookmarkStart w:id="38" w:name="_VCAT_Caseload"/>
      <w:bookmarkStart w:id="39" w:name="_Toc216179676"/>
      <w:bookmarkEnd w:id="38"/>
      <w:r>
        <w:t xml:space="preserve">VCAT </w:t>
      </w:r>
      <w:r w:rsidR="00FC28D2">
        <w:t>c</w:t>
      </w:r>
      <w:r w:rsidR="00496B0F">
        <w:t>aseload</w:t>
      </w:r>
      <w:bookmarkEnd w:id="39"/>
    </w:p>
    <w:p w14:paraId="620A01FB" w14:textId="3C3DC64D" w:rsidR="000D4103" w:rsidRDefault="000B34F1" w:rsidP="0076385E">
      <w:pPr>
        <w:pStyle w:val="DJCSbodyafterbullets"/>
        <w:ind w:left="720"/>
      </w:pPr>
      <w:r>
        <w:t xml:space="preserve">The number of cases </w:t>
      </w:r>
      <w:r w:rsidR="00CE62DB">
        <w:t xml:space="preserve">commenced </w:t>
      </w:r>
      <w:r>
        <w:t>at VCAT ha</w:t>
      </w:r>
      <w:r w:rsidR="00E24AB4">
        <w:t>s</w:t>
      </w:r>
      <w:r>
        <w:t xml:space="preserve"> increased </w:t>
      </w:r>
      <w:r w:rsidR="00293A9C">
        <w:t xml:space="preserve">slightly from 75,290 in 2020-21 to </w:t>
      </w:r>
      <w:r w:rsidR="004D35E4">
        <w:t>79,386 in 2023-24. This has been</w:t>
      </w:r>
      <w:r w:rsidR="00282CA1">
        <w:t xml:space="preserve"> </w:t>
      </w:r>
      <w:r w:rsidR="00BD000D">
        <w:t xml:space="preserve">driven </w:t>
      </w:r>
      <w:r w:rsidR="00282CA1">
        <w:t xml:space="preserve">mostly </w:t>
      </w:r>
      <w:r w:rsidR="00BD000D">
        <w:t xml:space="preserve">by the </w:t>
      </w:r>
      <w:r w:rsidR="0000565C">
        <w:t>continuing</w:t>
      </w:r>
      <w:r w:rsidR="00BD000D">
        <w:t xml:space="preserve"> </w:t>
      </w:r>
      <w:r w:rsidR="00236C63">
        <w:t>rise in the</w:t>
      </w:r>
      <w:r w:rsidR="00282CA1">
        <w:t xml:space="preserve"> demand for services</w:t>
      </w:r>
      <w:r w:rsidR="00BD000D">
        <w:t xml:space="preserve"> </w:t>
      </w:r>
      <w:r w:rsidR="004173A3">
        <w:t>relating to</w:t>
      </w:r>
      <w:r w:rsidR="00BD000D">
        <w:t xml:space="preserve"> </w:t>
      </w:r>
      <w:r w:rsidR="00CE62DB">
        <w:t xml:space="preserve">the </w:t>
      </w:r>
      <w:r w:rsidR="000B26A6">
        <w:t>Human Rights List,</w:t>
      </w:r>
      <w:r w:rsidR="00A149F8">
        <w:t xml:space="preserve"> Review and Regulation List,</w:t>
      </w:r>
      <w:r w:rsidR="00FE422B">
        <w:t xml:space="preserve"> Building and Property List</w:t>
      </w:r>
      <w:r w:rsidR="00BD000D">
        <w:t xml:space="preserve">, </w:t>
      </w:r>
      <w:r w:rsidR="00CF4D99">
        <w:t>and</w:t>
      </w:r>
      <w:r w:rsidR="00CF4D99" w:rsidRPr="00CF4D99">
        <w:t xml:space="preserve"> </w:t>
      </w:r>
      <w:r w:rsidR="00BD000D">
        <w:t>Residential Tenancies List</w:t>
      </w:r>
      <w:r w:rsidR="00CF4D99">
        <w:t>.</w:t>
      </w:r>
      <w:r>
        <w:t xml:space="preserve"> </w:t>
      </w:r>
      <w:r w:rsidR="00207096">
        <w:t xml:space="preserve">From 2020-21 to 2022-23 the number of </w:t>
      </w:r>
      <w:r w:rsidR="00F21C67">
        <w:t>initiations</w:t>
      </w:r>
      <w:r w:rsidR="00207096">
        <w:t xml:space="preserve"> was </w:t>
      </w:r>
      <w:r w:rsidR="008250B7">
        <w:t xml:space="preserve">flat at </w:t>
      </w:r>
      <w:r w:rsidR="00F21C67">
        <w:t>75,000, with a slight increase in initiations in 2023-24.</w:t>
      </w:r>
    </w:p>
    <w:p w14:paraId="264A2B54" w14:textId="458B38D4" w:rsidR="00AC7F80" w:rsidRDefault="00F904E5" w:rsidP="0076385E">
      <w:pPr>
        <w:pStyle w:val="DJCSbodyafterbullets"/>
        <w:ind w:left="720"/>
      </w:pPr>
      <w:r>
        <w:t xml:space="preserve">Finalisation numbers have </w:t>
      </w:r>
      <w:r w:rsidR="00293A9C">
        <w:t xml:space="preserve">increased by a larger amount </w:t>
      </w:r>
      <w:r w:rsidR="00413792">
        <w:t xml:space="preserve">over </w:t>
      </w:r>
      <w:r w:rsidR="00293A9C">
        <w:t>the same period, from 61,563</w:t>
      </w:r>
      <w:r w:rsidR="004D35E4">
        <w:t xml:space="preserve"> in 2020-</w:t>
      </w:r>
      <w:r w:rsidR="00F62504">
        <w:t>21</w:t>
      </w:r>
      <w:r w:rsidR="00293A9C">
        <w:t xml:space="preserve"> to 90,477 in 2023-24. This is</w:t>
      </w:r>
      <w:r w:rsidR="00D4521C">
        <w:t xml:space="preserve"> due to several operational efficiencies introduced at</w:t>
      </w:r>
      <w:r w:rsidR="00623AFD">
        <w:t xml:space="preserve"> VCAT since 2023</w:t>
      </w:r>
      <w:r w:rsidR="00D4521C">
        <w:t xml:space="preserve"> </w:t>
      </w:r>
      <w:r w:rsidR="006F3C98">
        <w:t>(</w:t>
      </w:r>
      <w:hyperlink w:anchor="_Relevant_contextual_changes" w:history="1">
        <w:r w:rsidR="006F3C98" w:rsidRPr="00F5131C">
          <w:rPr>
            <w:rStyle w:val="Hyperlink"/>
          </w:rPr>
          <w:t xml:space="preserve">see more detail at </w:t>
        </w:r>
        <w:r w:rsidR="000D4103" w:rsidRPr="00F5131C">
          <w:rPr>
            <w:rStyle w:val="Hyperlink"/>
          </w:rPr>
          <w:t>Section 3.3</w:t>
        </w:r>
      </w:hyperlink>
      <w:r w:rsidR="006F3C98">
        <w:t xml:space="preserve">). </w:t>
      </w:r>
      <w:r w:rsidR="002E70F9">
        <w:t xml:space="preserve">Maintaining low </w:t>
      </w:r>
      <w:r w:rsidR="006F3C98">
        <w:t xml:space="preserve">pending </w:t>
      </w:r>
      <w:r w:rsidR="00A01194">
        <w:t>caseload</w:t>
      </w:r>
      <w:r w:rsidR="006F3C98">
        <w:t xml:space="preserve"> numbers</w:t>
      </w:r>
      <w:r w:rsidR="00F32731">
        <w:t xml:space="preserve"> to</w:t>
      </w:r>
      <w:r w:rsidR="006F3C98">
        <w:t xml:space="preserve"> ensure timely resolution of matters</w:t>
      </w:r>
      <w:r w:rsidR="00F32731">
        <w:t xml:space="preserve"> is an important </w:t>
      </w:r>
      <w:r w:rsidR="00686D46">
        <w:t>aim for VCAT</w:t>
      </w:r>
      <w:r w:rsidR="0068619F">
        <w:t xml:space="preserve"> but</w:t>
      </w:r>
      <w:r w:rsidR="0081594B">
        <w:t xml:space="preserve"> </w:t>
      </w:r>
      <w:r w:rsidR="0068619F">
        <w:t>places strain on</w:t>
      </w:r>
      <w:r w:rsidR="00686D46" w:rsidDel="0081594B">
        <w:t xml:space="preserve"> </w:t>
      </w:r>
      <w:r w:rsidR="00686D46">
        <w:t>its operations.</w:t>
      </w:r>
      <w:r w:rsidR="006F3C98">
        <w:t xml:space="preserve"> </w:t>
      </w:r>
    </w:p>
    <w:p w14:paraId="5271D732" w14:textId="05124E60" w:rsidR="00771F88" w:rsidRPr="003D20F7" w:rsidRDefault="003D20F7" w:rsidP="00550C93">
      <w:pPr>
        <w:pStyle w:val="DJCSbodyafterbullets"/>
        <w:rPr>
          <w:i/>
        </w:rPr>
      </w:pPr>
      <w:r w:rsidRPr="00813208">
        <w:rPr>
          <w:i/>
        </w:rPr>
        <w:t xml:space="preserve">Table </w:t>
      </w:r>
      <w:r w:rsidR="00FF3C98">
        <w:rPr>
          <w:i/>
          <w:iCs/>
        </w:rPr>
        <w:t>5</w:t>
      </w:r>
      <w:r w:rsidRPr="006C20A0">
        <w:rPr>
          <w:i/>
        </w:rPr>
        <w:t>:</w:t>
      </w:r>
      <w:r w:rsidRPr="00813208">
        <w:rPr>
          <w:i/>
        </w:rPr>
        <w:t xml:space="preserve"> </w:t>
      </w:r>
      <w:r w:rsidR="007947CC" w:rsidRPr="00813208">
        <w:rPr>
          <w:i/>
        </w:rPr>
        <w:t>VCAT Caseload Data</w:t>
      </w:r>
      <w:r w:rsidRPr="00813208">
        <w:rPr>
          <w:i/>
        </w:rPr>
        <w:t xml:space="preserve"> (selected data)</w:t>
      </w:r>
      <w:r w:rsidR="0005606B" w:rsidRPr="00813208">
        <w:rPr>
          <w:rStyle w:val="FootnoteReference"/>
          <w:i/>
        </w:rPr>
        <w:footnoteReference w:id="8"/>
      </w:r>
    </w:p>
    <w:tbl>
      <w:tblPr>
        <w:tblpPr w:leftFromText="180" w:rightFromText="180" w:vertAnchor="text" w:horzAnchor="margin" w:tblpXSpec="center" w:tblpY="31"/>
        <w:tblW w:w="8441" w:type="dxa"/>
        <w:tblLook w:val="04A0" w:firstRow="1" w:lastRow="0" w:firstColumn="1" w:lastColumn="0" w:noHBand="0" w:noVBand="1"/>
      </w:tblPr>
      <w:tblGrid>
        <w:gridCol w:w="3513"/>
        <w:gridCol w:w="1289"/>
        <w:gridCol w:w="1213"/>
        <w:gridCol w:w="1213"/>
        <w:gridCol w:w="1213"/>
      </w:tblGrid>
      <w:tr w:rsidR="00AC1BF2" w:rsidRPr="0009347C" w14:paraId="5ECE50FB" w14:textId="77777777" w:rsidTr="006E6BC9">
        <w:trPr>
          <w:trHeight w:val="467"/>
        </w:trPr>
        <w:tc>
          <w:tcPr>
            <w:tcW w:w="351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DF2C51B" w14:textId="77777777" w:rsidR="00AC1BF2" w:rsidRPr="0009347C" w:rsidRDefault="00AC1BF2" w:rsidP="00AC1BF2">
            <w:pPr>
              <w:rPr>
                <w:rFonts w:ascii="Arial" w:hAnsi="Arial" w:cs="Arial"/>
                <w:b/>
                <w:color w:val="FFFFFF"/>
                <w:sz w:val="22"/>
                <w:szCs w:val="22"/>
                <w:lang w:eastAsia="en-AU"/>
              </w:rPr>
            </w:pPr>
            <w:proofErr w:type="spellStart"/>
            <w:r w:rsidRPr="0009347C">
              <w:rPr>
                <w:rFonts w:ascii="Arial" w:hAnsi="Arial" w:cs="Arial"/>
                <w:b/>
                <w:color w:val="FFFFFF"/>
                <w:sz w:val="22"/>
                <w:szCs w:val="22"/>
                <w:lang w:eastAsia="en-AU"/>
              </w:rPr>
              <w:t>Caseflow</w:t>
            </w:r>
            <w:proofErr w:type="spellEnd"/>
          </w:p>
        </w:tc>
        <w:tc>
          <w:tcPr>
            <w:tcW w:w="1289" w:type="dxa"/>
            <w:tcBorders>
              <w:top w:val="single" w:sz="4" w:space="0" w:color="auto"/>
              <w:left w:val="nil"/>
              <w:bottom w:val="single" w:sz="4" w:space="0" w:color="auto"/>
              <w:right w:val="single" w:sz="4" w:space="0" w:color="auto"/>
            </w:tcBorders>
            <w:shd w:val="clear" w:color="auto" w:fill="002060"/>
            <w:vAlign w:val="center"/>
            <w:hideMark/>
          </w:tcPr>
          <w:p w14:paraId="35804306" w14:textId="45E88A1E" w:rsidR="00AC1BF2" w:rsidRPr="0009347C" w:rsidRDefault="00AC1BF2" w:rsidP="00AC1BF2">
            <w:pPr>
              <w:jc w:val="center"/>
              <w:rPr>
                <w:rFonts w:ascii="Arial" w:hAnsi="Arial" w:cs="Arial"/>
                <w:b/>
                <w:color w:val="FFFFFF"/>
                <w:sz w:val="22"/>
                <w:szCs w:val="22"/>
                <w:lang w:eastAsia="en-AU"/>
              </w:rPr>
            </w:pPr>
            <w:r w:rsidRPr="0009347C">
              <w:rPr>
                <w:rFonts w:ascii="Arial" w:hAnsi="Arial" w:cs="Arial"/>
                <w:b/>
                <w:color w:val="FFFFFF"/>
                <w:sz w:val="22"/>
                <w:szCs w:val="22"/>
                <w:lang w:eastAsia="en-AU"/>
              </w:rPr>
              <w:t>2020</w:t>
            </w:r>
            <w:r w:rsidR="00163417">
              <w:rPr>
                <w:rFonts w:ascii="Arial" w:hAnsi="Arial" w:cs="Arial"/>
                <w:b/>
                <w:bCs/>
                <w:color w:val="FFFFFF"/>
                <w:sz w:val="22"/>
                <w:szCs w:val="22"/>
                <w:lang w:eastAsia="en-AU"/>
              </w:rPr>
              <w:t>/</w:t>
            </w:r>
            <w:r w:rsidRPr="0009347C">
              <w:rPr>
                <w:rFonts w:ascii="Arial" w:hAnsi="Arial" w:cs="Arial"/>
                <w:b/>
                <w:color w:val="FFFFFF"/>
                <w:sz w:val="22"/>
                <w:szCs w:val="22"/>
                <w:lang w:eastAsia="en-AU"/>
              </w:rPr>
              <w:t>21</w:t>
            </w:r>
          </w:p>
        </w:tc>
        <w:tc>
          <w:tcPr>
            <w:tcW w:w="1213" w:type="dxa"/>
            <w:tcBorders>
              <w:top w:val="single" w:sz="4" w:space="0" w:color="auto"/>
              <w:left w:val="nil"/>
              <w:bottom w:val="single" w:sz="4" w:space="0" w:color="auto"/>
              <w:right w:val="single" w:sz="4" w:space="0" w:color="auto"/>
            </w:tcBorders>
            <w:shd w:val="clear" w:color="auto" w:fill="002060"/>
            <w:vAlign w:val="center"/>
            <w:hideMark/>
          </w:tcPr>
          <w:p w14:paraId="14980916" w14:textId="77777777" w:rsidR="00AC1BF2" w:rsidRPr="0009347C" w:rsidRDefault="00AC1BF2" w:rsidP="00AC1BF2">
            <w:pPr>
              <w:jc w:val="center"/>
              <w:rPr>
                <w:rFonts w:ascii="Arial" w:hAnsi="Arial" w:cs="Arial"/>
                <w:b/>
                <w:color w:val="FFFFFF"/>
                <w:sz w:val="22"/>
                <w:szCs w:val="22"/>
                <w:lang w:eastAsia="en-AU"/>
              </w:rPr>
            </w:pPr>
            <w:r w:rsidRPr="0009347C">
              <w:rPr>
                <w:rFonts w:ascii="Arial" w:hAnsi="Arial" w:cs="Arial"/>
                <w:b/>
                <w:color w:val="FFFFFF"/>
                <w:sz w:val="22"/>
                <w:szCs w:val="22"/>
                <w:lang w:eastAsia="en-AU"/>
              </w:rPr>
              <w:t>2021/22</w:t>
            </w:r>
          </w:p>
        </w:tc>
        <w:tc>
          <w:tcPr>
            <w:tcW w:w="1213" w:type="dxa"/>
            <w:tcBorders>
              <w:top w:val="single" w:sz="4" w:space="0" w:color="auto"/>
              <w:left w:val="nil"/>
              <w:bottom w:val="single" w:sz="4" w:space="0" w:color="auto"/>
              <w:right w:val="single" w:sz="4" w:space="0" w:color="auto"/>
            </w:tcBorders>
            <w:shd w:val="clear" w:color="auto" w:fill="002060"/>
            <w:vAlign w:val="center"/>
            <w:hideMark/>
          </w:tcPr>
          <w:p w14:paraId="27A1448B" w14:textId="77777777" w:rsidR="00AC1BF2" w:rsidRPr="0009347C" w:rsidRDefault="00AC1BF2" w:rsidP="00AC1BF2">
            <w:pPr>
              <w:jc w:val="center"/>
              <w:rPr>
                <w:rFonts w:ascii="Arial" w:hAnsi="Arial" w:cs="Arial"/>
                <w:b/>
                <w:color w:val="FFFFFF"/>
                <w:sz w:val="22"/>
                <w:szCs w:val="22"/>
                <w:lang w:eastAsia="en-AU"/>
              </w:rPr>
            </w:pPr>
            <w:r w:rsidRPr="0009347C">
              <w:rPr>
                <w:rFonts w:ascii="Arial" w:hAnsi="Arial" w:cs="Arial"/>
                <w:b/>
                <w:color w:val="FFFFFF"/>
                <w:sz w:val="22"/>
                <w:szCs w:val="22"/>
                <w:lang w:eastAsia="en-AU"/>
              </w:rPr>
              <w:t>2022/23</w:t>
            </w:r>
          </w:p>
        </w:tc>
        <w:tc>
          <w:tcPr>
            <w:tcW w:w="1213" w:type="dxa"/>
            <w:tcBorders>
              <w:top w:val="single" w:sz="4" w:space="0" w:color="auto"/>
              <w:left w:val="nil"/>
              <w:bottom w:val="single" w:sz="4" w:space="0" w:color="auto"/>
              <w:right w:val="single" w:sz="4" w:space="0" w:color="auto"/>
            </w:tcBorders>
            <w:shd w:val="clear" w:color="auto" w:fill="002060"/>
            <w:vAlign w:val="center"/>
            <w:hideMark/>
          </w:tcPr>
          <w:p w14:paraId="70CF6122" w14:textId="77777777" w:rsidR="00AC1BF2" w:rsidRPr="0009347C" w:rsidRDefault="00AC1BF2" w:rsidP="00AC1BF2">
            <w:pPr>
              <w:jc w:val="center"/>
              <w:rPr>
                <w:rFonts w:ascii="Arial" w:hAnsi="Arial" w:cs="Arial"/>
                <w:b/>
                <w:color w:val="FFFFFF"/>
                <w:sz w:val="22"/>
                <w:szCs w:val="22"/>
                <w:lang w:eastAsia="en-AU"/>
              </w:rPr>
            </w:pPr>
            <w:r w:rsidRPr="0009347C">
              <w:rPr>
                <w:rFonts w:ascii="Arial" w:hAnsi="Arial" w:cs="Arial"/>
                <w:b/>
                <w:color w:val="FFFFFF"/>
                <w:sz w:val="22"/>
                <w:szCs w:val="22"/>
                <w:lang w:eastAsia="en-AU"/>
              </w:rPr>
              <w:t>2023/24</w:t>
            </w:r>
          </w:p>
        </w:tc>
      </w:tr>
      <w:tr w:rsidR="00AC1BF2" w:rsidRPr="0009347C" w14:paraId="5963E965" w14:textId="77777777" w:rsidTr="003036D1">
        <w:trPr>
          <w:trHeight w:val="467"/>
        </w:trPr>
        <w:tc>
          <w:tcPr>
            <w:tcW w:w="3513" w:type="dxa"/>
            <w:tcBorders>
              <w:top w:val="nil"/>
              <w:left w:val="single" w:sz="4" w:space="0" w:color="auto"/>
              <w:bottom w:val="single" w:sz="4" w:space="0" w:color="auto"/>
              <w:right w:val="single" w:sz="4" w:space="0" w:color="auto"/>
            </w:tcBorders>
            <w:shd w:val="clear" w:color="000000" w:fill="EEECEA"/>
            <w:vAlign w:val="center"/>
            <w:hideMark/>
          </w:tcPr>
          <w:p w14:paraId="7BE54FFA" w14:textId="77777777" w:rsidR="00AC1BF2" w:rsidRDefault="00AC1BF2" w:rsidP="00AC1BF2">
            <w:pPr>
              <w:rPr>
                <w:rFonts w:ascii="Arial" w:hAnsi="Arial" w:cs="Arial"/>
                <w:color w:val="000000"/>
                <w:sz w:val="22"/>
                <w:szCs w:val="22"/>
                <w:lang w:eastAsia="en-AU"/>
              </w:rPr>
            </w:pPr>
            <w:r w:rsidRPr="0009347C">
              <w:rPr>
                <w:rFonts w:ascii="Arial" w:hAnsi="Arial" w:cs="Arial"/>
                <w:color w:val="000000"/>
                <w:sz w:val="22"/>
                <w:szCs w:val="22"/>
                <w:lang w:eastAsia="en-AU"/>
              </w:rPr>
              <w:t>Initiations</w:t>
            </w:r>
          </w:p>
          <w:p w14:paraId="2C05A24C" w14:textId="2388179F" w:rsidR="008E4489" w:rsidRPr="008303F1" w:rsidRDefault="008E4489" w:rsidP="00AC1BF2">
            <w:pPr>
              <w:rPr>
                <w:rFonts w:ascii="Arial" w:hAnsi="Arial" w:cs="Arial"/>
                <w:color w:val="000000"/>
                <w:sz w:val="16"/>
                <w:szCs w:val="16"/>
                <w:lang w:eastAsia="en-AU"/>
              </w:rPr>
            </w:pPr>
            <w:r w:rsidRPr="008303F1">
              <w:rPr>
                <w:rFonts w:ascii="Arial" w:hAnsi="Arial" w:cs="Arial"/>
                <w:color w:val="000000"/>
                <w:sz w:val="16"/>
                <w:szCs w:val="16"/>
                <w:lang w:eastAsia="en-AU"/>
              </w:rPr>
              <w:t>(</w:t>
            </w:r>
            <w:r w:rsidR="006B5CAF">
              <w:rPr>
                <w:rFonts w:ascii="Arial" w:hAnsi="Arial" w:cs="Arial"/>
                <w:color w:val="000000"/>
                <w:sz w:val="16"/>
                <w:szCs w:val="16"/>
                <w:lang w:eastAsia="en-AU"/>
              </w:rPr>
              <w:t>r</w:t>
            </w:r>
            <w:r w:rsidRPr="008303F1">
              <w:rPr>
                <w:rFonts w:ascii="Arial" w:hAnsi="Arial" w:cs="Arial"/>
                <w:color w:val="000000"/>
                <w:sz w:val="16"/>
                <w:szCs w:val="16"/>
                <w:lang w:eastAsia="en-AU"/>
              </w:rPr>
              <w:t>eflecting when a case is started)</w:t>
            </w:r>
          </w:p>
        </w:tc>
        <w:tc>
          <w:tcPr>
            <w:tcW w:w="1289" w:type="dxa"/>
            <w:tcBorders>
              <w:top w:val="nil"/>
              <w:left w:val="nil"/>
              <w:bottom w:val="single" w:sz="4" w:space="0" w:color="auto"/>
              <w:right w:val="single" w:sz="4" w:space="0" w:color="auto"/>
            </w:tcBorders>
            <w:shd w:val="clear" w:color="000000" w:fill="EEECEA"/>
            <w:vAlign w:val="center"/>
            <w:hideMark/>
          </w:tcPr>
          <w:p w14:paraId="6F3013C6"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75,290</w:t>
            </w:r>
          </w:p>
        </w:tc>
        <w:tc>
          <w:tcPr>
            <w:tcW w:w="1213" w:type="dxa"/>
            <w:tcBorders>
              <w:top w:val="nil"/>
              <w:left w:val="nil"/>
              <w:bottom w:val="single" w:sz="4" w:space="0" w:color="auto"/>
              <w:right w:val="single" w:sz="4" w:space="0" w:color="auto"/>
            </w:tcBorders>
            <w:shd w:val="clear" w:color="000000" w:fill="EEECEA"/>
            <w:vAlign w:val="center"/>
            <w:hideMark/>
          </w:tcPr>
          <w:p w14:paraId="22738ECA"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68,095</w:t>
            </w:r>
          </w:p>
        </w:tc>
        <w:tc>
          <w:tcPr>
            <w:tcW w:w="1213" w:type="dxa"/>
            <w:tcBorders>
              <w:top w:val="nil"/>
              <w:left w:val="nil"/>
              <w:bottom w:val="single" w:sz="4" w:space="0" w:color="auto"/>
              <w:right w:val="single" w:sz="4" w:space="0" w:color="auto"/>
            </w:tcBorders>
            <w:shd w:val="clear" w:color="000000" w:fill="EEECEA"/>
            <w:vAlign w:val="center"/>
            <w:hideMark/>
          </w:tcPr>
          <w:p w14:paraId="46399899"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75,288</w:t>
            </w:r>
          </w:p>
        </w:tc>
        <w:tc>
          <w:tcPr>
            <w:tcW w:w="1213" w:type="dxa"/>
            <w:tcBorders>
              <w:top w:val="nil"/>
              <w:left w:val="nil"/>
              <w:bottom w:val="single" w:sz="4" w:space="0" w:color="auto"/>
              <w:right w:val="single" w:sz="4" w:space="0" w:color="auto"/>
            </w:tcBorders>
            <w:shd w:val="clear" w:color="000000" w:fill="EEECEA"/>
            <w:vAlign w:val="center"/>
            <w:hideMark/>
          </w:tcPr>
          <w:p w14:paraId="2AA00EC8"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79,386</w:t>
            </w:r>
          </w:p>
        </w:tc>
      </w:tr>
      <w:tr w:rsidR="00AC1BF2" w:rsidRPr="0009347C" w14:paraId="566FEE80" w14:textId="77777777" w:rsidTr="003036D1">
        <w:trPr>
          <w:trHeight w:val="467"/>
        </w:trPr>
        <w:tc>
          <w:tcPr>
            <w:tcW w:w="3513" w:type="dxa"/>
            <w:tcBorders>
              <w:top w:val="nil"/>
              <w:left w:val="single" w:sz="4" w:space="0" w:color="auto"/>
              <w:bottom w:val="single" w:sz="4" w:space="0" w:color="auto"/>
              <w:right w:val="single" w:sz="4" w:space="0" w:color="auto"/>
            </w:tcBorders>
            <w:vAlign w:val="center"/>
            <w:hideMark/>
          </w:tcPr>
          <w:p w14:paraId="552BFED0" w14:textId="77777777" w:rsidR="00AC1BF2" w:rsidRDefault="00AC1BF2" w:rsidP="00AC1BF2">
            <w:pPr>
              <w:rPr>
                <w:rFonts w:ascii="Arial" w:hAnsi="Arial" w:cs="Arial"/>
                <w:color w:val="000000"/>
                <w:sz w:val="22"/>
                <w:szCs w:val="22"/>
                <w:lang w:eastAsia="en-AU"/>
              </w:rPr>
            </w:pPr>
            <w:r w:rsidRPr="0009347C">
              <w:rPr>
                <w:rFonts w:ascii="Arial" w:hAnsi="Arial" w:cs="Arial"/>
                <w:color w:val="000000"/>
                <w:sz w:val="22"/>
                <w:szCs w:val="22"/>
                <w:lang w:eastAsia="en-AU"/>
              </w:rPr>
              <w:t>Finalisations</w:t>
            </w:r>
          </w:p>
          <w:p w14:paraId="68FDA041" w14:textId="687FA082" w:rsidR="006B5CAF" w:rsidRPr="008303F1" w:rsidRDefault="006B5CAF" w:rsidP="00AC1BF2">
            <w:pPr>
              <w:rPr>
                <w:rFonts w:ascii="Arial" w:hAnsi="Arial" w:cs="Arial"/>
                <w:color w:val="000000"/>
                <w:sz w:val="16"/>
                <w:szCs w:val="16"/>
                <w:lang w:eastAsia="en-AU"/>
              </w:rPr>
            </w:pPr>
            <w:r w:rsidRPr="008303F1">
              <w:rPr>
                <w:rFonts w:ascii="Arial" w:hAnsi="Arial" w:cs="Arial"/>
                <w:color w:val="000000"/>
                <w:sz w:val="16"/>
                <w:szCs w:val="16"/>
                <w:lang w:eastAsia="en-AU"/>
              </w:rPr>
              <w:t>(reflecting when a matter is resolved or completed)</w:t>
            </w:r>
          </w:p>
        </w:tc>
        <w:tc>
          <w:tcPr>
            <w:tcW w:w="1289" w:type="dxa"/>
            <w:tcBorders>
              <w:top w:val="nil"/>
              <w:left w:val="nil"/>
              <w:bottom w:val="single" w:sz="4" w:space="0" w:color="auto"/>
              <w:right w:val="single" w:sz="4" w:space="0" w:color="auto"/>
            </w:tcBorders>
            <w:vAlign w:val="center"/>
            <w:hideMark/>
          </w:tcPr>
          <w:p w14:paraId="64F9D246"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61,563</w:t>
            </w:r>
          </w:p>
        </w:tc>
        <w:tc>
          <w:tcPr>
            <w:tcW w:w="1213" w:type="dxa"/>
            <w:tcBorders>
              <w:top w:val="nil"/>
              <w:left w:val="nil"/>
              <w:bottom w:val="single" w:sz="4" w:space="0" w:color="auto"/>
              <w:right w:val="single" w:sz="4" w:space="0" w:color="auto"/>
            </w:tcBorders>
            <w:vAlign w:val="center"/>
            <w:hideMark/>
          </w:tcPr>
          <w:p w14:paraId="5F04C083"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60,310</w:t>
            </w:r>
          </w:p>
        </w:tc>
        <w:tc>
          <w:tcPr>
            <w:tcW w:w="1213" w:type="dxa"/>
            <w:tcBorders>
              <w:top w:val="nil"/>
              <w:left w:val="nil"/>
              <w:bottom w:val="single" w:sz="4" w:space="0" w:color="auto"/>
              <w:right w:val="single" w:sz="4" w:space="0" w:color="auto"/>
            </w:tcBorders>
            <w:vAlign w:val="center"/>
            <w:hideMark/>
          </w:tcPr>
          <w:p w14:paraId="545A4FCF"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73,853</w:t>
            </w:r>
          </w:p>
        </w:tc>
        <w:tc>
          <w:tcPr>
            <w:tcW w:w="1213" w:type="dxa"/>
            <w:tcBorders>
              <w:top w:val="nil"/>
              <w:left w:val="nil"/>
              <w:bottom w:val="single" w:sz="4" w:space="0" w:color="auto"/>
              <w:right w:val="single" w:sz="4" w:space="0" w:color="auto"/>
            </w:tcBorders>
            <w:vAlign w:val="center"/>
            <w:hideMark/>
          </w:tcPr>
          <w:p w14:paraId="27B49975"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90,477</w:t>
            </w:r>
          </w:p>
        </w:tc>
      </w:tr>
      <w:tr w:rsidR="00AC1BF2" w:rsidRPr="0009347C" w14:paraId="7AE3FD7B" w14:textId="77777777" w:rsidTr="003036D1">
        <w:trPr>
          <w:trHeight w:val="467"/>
        </w:trPr>
        <w:tc>
          <w:tcPr>
            <w:tcW w:w="3513" w:type="dxa"/>
            <w:tcBorders>
              <w:top w:val="nil"/>
              <w:left w:val="single" w:sz="4" w:space="0" w:color="auto"/>
              <w:bottom w:val="single" w:sz="4" w:space="0" w:color="auto"/>
              <w:right w:val="single" w:sz="4" w:space="0" w:color="auto"/>
            </w:tcBorders>
            <w:shd w:val="clear" w:color="000000" w:fill="EEECEA"/>
            <w:vAlign w:val="center"/>
            <w:hideMark/>
          </w:tcPr>
          <w:p w14:paraId="507534D6" w14:textId="77777777" w:rsidR="00AC1BF2" w:rsidRDefault="00AC1BF2" w:rsidP="00AC1BF2">
            <w:pPr>
              <w:rPr>
                <w:rFonts w:ascii="Arial" w:hAnsi="Arial" w:cs="Arial"/>
                <w:color w:val="000000"/>
                <w:sz w:val="22"/>
                <w:szCs w:val="22"/>
                <w:lang w:eastAsia="en-AU"/>
              </w:rPr>
            </w:pPr>
            <w:r w:rsidRPr="0009347C">
              <w:rPr>
                <w:rFonts w:ascii="Arial" w:hAnsi="Arial" w:cs="Arial"/>
                <w:color w:val="000000"/>
                <w:sz w:val="22"/>
                <w:szCs w:val="22"/>
                <w:lang w:eastAsia="en-AU"/>
              </w:rPr>
              <w:t>Pending</w:t>
            </w:r>
          </w:p>
          <w:p w14:paraId="1F1D8BE7" w14:textId="0B5E5D66" w:rsidR="006B5CAF" w:rsidRPr="008303F1" w:rsidRDefault="006B5CAF" w:rsidP="00AC1BF2">
            <w:pPr>
              <w:rPr>
                <w:rFonts w:ascii="Arial" w:hAnsi="Arial" w:cs="Arial"/>
                <w:color w:val="000000"/>
                <w:sz w:val="16"/>
                <w:szCs w:val="16"/>
                <w:lang w:eastAsia="en-AU"/>
              </w:rPr>
            </w:pPr>
            <w:r w:rsidRPr="008303F1">
              <w:rPr>
                <w:rFonts w:ascii="Arial" w:hAnsi="Arial" w:cs="Arial"/>
                <w:color w:val="000000"/>
                <w:sz w:val="16"/>
                <w:szCs w:val="16"/>
                <w:lang w:eastAsia="en-AU"/>
              </w:rPr>
              <w:t>(when a matter is still awaiting an outcome)</w:t>
            </w:r>
          </w:p>
        </w:tc>
        <w:tc>
          <w:tcPr>
            <w:tcW w:w="1289" w:type="dxa"/>
            <w:tcBorders>
              <w:top w:val="nil"/>
              <w:left w:val="nil"/>
              <w:bottom w:val="single" w:sz="4" w:space="0" w:color="auto"/>
              <w:right w:val="single" w:sz="4" w:space="0" w:color="auto"/>
            </w:tcBorders>
            <w:shd w:val="clear" w:color="000000" w:fill="EEECEA"/>
            <w:vAlign w:val="center"/>
            <w:hideMark/>
          </w:tcPr>
          <w:p w14:paraId="4B8CE9DE"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27,848</w:t>
            </w:r>
          </w:p>
        </w:tc>
        <w:tc>
          <w:tcPr>
            <w:tcW w:w="1213" w:type="dxa"/>
            <w:tcBorders>
              <w:top w:val="nil"/>
              <w:left w:val="nil"/>
              <w:bottom w:val="single" w:sz="4" w:space="0" w:color="auto"/>
              <w:right w:val="single" w:sz="4" w:space="0" w:color="auto"/>
            </w:tcBorders>
            <w:shd w:val="clear" w:color="000000" w:fill="EEECEA"/>
            <w:vAlign w:val="center"/>
            <w:hideMark/>
          </w:tcPr>
          <w:p w14:paraId="77F4D864"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34,800</w:t>
            </w:r>
          </w:p>
        </w:tc>
        <w:tc>
          <w:tcPr>
            <w:tcW w:w="1213" w:type="dxa"/>
            <w:tcBorders>
              <w:top w:val="nil"/>
              <w:left w:val="nil"/>
              <w:bottom w:val="single" w:sz="4" w:space="0" w:color="auto"/>
              <w:right w:val="single" w:sz="4" w:space="0" w:color="auto"/>
            </w:tcBorders>
            <w:shd w:val="clear" w:color="000000" w:fill="EEECEA"/>
            <w:vAlign w:val="center"/>
            <w:hideMark/>
          </w:tcPr>
          <w:p w14:paraId="071E6001"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36,097</w:t>
            </w:r>
          </w:p>
        </w:tc>
        <w:tc>
          <w:tcPr>
            <w:tcW w:w="1213" w:type="dxa"/>
            <w:tcBorders>
              <w:top w:val="nil"/>
              <w:left w:val="nil"/>
              <w:bottom w:val="single" w:sz="4" w:space="0" w:color="auto"/>
              <w:right w:val="single" w:sz="4" w:space="0" w:color="auto"/>
            </w:tcBorders>
            <w:shd w:val="clear" w:color="000000" w:fill="EEECEA"/>
            <w:vAlign w:val="center"/>
            <w:hideMark/>
          </w:tcPr>
          <w:p w14:paraId="3355BA97" w14:textId="77777777" w:rsidR="00AC1BF2" w:rsidRPr="0009347C" w:rsidRDefault="00AC1BF2" w:rsidP="00FA0CF5">
            <w:pPr>
              <w:jc w:val="center"/>
              <w:rPr>
                <w:rFonts w:ascii="Arial" w:hAnsi="Arial" w:cs="Arial"/>
                <w:color w:val="000000"/>
                <w:sz w:val="22"/>
                <w:szCs w:val="22"/>
                <w:lang w:eastAsia="en-AU"/>
              </w:rPr>
            </w:pPr>
            <w:r w:rsidRPr="0009347C">
              <w:rPr>
                <w:rFonts w:ascii="Arial" w:hAnsi="Arial" w:cs="Arial"/>
                <w:color w:val="000000"/>
                <w:sz w:val="22"/>
                <w:szCs w:val="22"/>
                <w:lang w:eastAsia="en-AU"/>
              </w:rPr>
              <w:t>24,796</w:t>
            </w:r>
          </w:p>
        </w:tc>
      </w:tr>
    </w:tbl>
    <w:p w14:paraId="6A1548D3" w14:textId="77777777" w:rsidR="00143313" w:rsidRDefault="00143313" w:rsidP="00550C93">
      <w:pPr>
        <w:pStyle w:val="DJCSbodyafterbullets"/>
        <w:rPr>
          <w:i/>
          <w:iCs/>
        </w:rPr>
      </w:pPr>
    </w:p>
    <w:p w14:paraId="3B416690" w14:textId="77777777" w:rsidR="00AC1BF2" w:rsidRDefault="00AC1BF2" w:rsidP="00550C93">
      <w:pPr>
        <w:pStyle w:val="DJCSbodyafterbullets"/>
        <w:rPr>
          <w:i/>
          <w:iCs/>
        </w:rPr>
      </w:pPr>
    </w:p>
    <w:p w14:paraId="7CBDC052" w14:textId="5BAC81DC" w:rsidR="00A00994" w:rsidRPr="008303F1" w:rsidRDefault="00A00994" w:rsidP="00FA0CF5">
      <w:pPr>
        <w:pStyle w:val="Heading3"/>
      </w:pPr>
      <w:bookmarkStart w:id="40" w:name="_Toc216179677"/>
      <w:r w:rsidRPr="008303F1">
        <w:lastRenderedPageBreak/>
        <w:t>Regulatory framework and existing fee structure</w:t>
      </w:r>
      <w:bookmarkEnd w:id="40"/>
    </w:p>
    <w:p w14:paraId="73008977" w14:textId="6E8ED6CF" w:rsidR="00666378" w:rsidRDefault="00D43597" w:rsidP="0076385E">
      <w:pPr>
        <w:pStyle w:val="DJCSbodyafterbullets"/>
        <w:ind w:left="720"/>
      </w:pPr>
      <w:r w:rsidRPr="001B5422">
        <w:t>Se</w:t>
      </w:r>
      <w:r w:rsidR="006202DA" w:rsidRPr="001B5422">
        <w:t>ction</w:t>
      </w:r>
      <w:r w:rsidR="00EE1B14">
        <w:t xml:space="preserve"> 161 of </w:t>
      </w:r>
      <w:r w:rsidR="0081594B">
        <w:t xml:space="preserve">the </w:t>
      </w:r>
      <w:r w:rsidR="00A83777" w:rsidRPr="00C329DD">
        <w:t>Act</w:t>
      </w:r>
      <w:r w:rsidR="00060D59" w:rsidRPr="008303F1">
        <w:t xml:space="preserve"> enables</w:t>
      </w:r>
      <w:r w:rsidR="00191017" w:rsidRPr="008303F1">
        <w:t xml:space="preserve"> regulations relating to fees to be made at VCAT. </w:t>
      </w:r>
    </w:p>
    <w:p w14:paraId="21D370D0" w14:textId="78D3B77C" w:rsidR="000447B5" w:rsidRPr="00A83777" w:rsidRDefault="00666378" w:rsidP="0076385E">
      <w:pPr>
        <w:pStyle w:val="DJCSbodyafterbullets"/>
        <w:ind w:left="720"/>
      </w:pPr>
      <w:r>
        <w:t xml:space="preserve">The current </w:t>
      </w:r>
      <w:r w:rsidR="00DD6F28">
        <w:t>Re</w:t>
      </w:r>
      <w:r w:rsidR="002A2C31">
        <w:t xml:space="preserve">gulations </w:t>
      </w:r>
      <w:r w:rsidR="00B8383D">
        <w:t>were made in 2016</w:t>
      </w:r>
      <w:r w:rsidR="00085C3E">
        <w:t>. They</w:t>
      </w:r>
      <w:r w:rsidR="00B8383D">
        <w:t xml:space="preserve"> s</w:t>
      </w:r>
      <w:r w:rsidR="00635BA8">
        <w:t>et fees to cover</w:t>
      </w:r>
      <w:r w:rsidR="00E02E44">
        <w:t xml:space="preserve"> the costs</w:t>
      </w:r>
      <w:r w:rsidR="00B47868">
        <w:t xml:space="preserve"> (or part thereof) of </w:t>
      </w:r>
      <w:r w:rsidR="00BA32C6">
        <w:t>most</w:t>
      </w:r>
      <w:r w:rsidR="00B47868">
        <w:t xml:space="preserve"> tribunal services</w:t>
      </w:r>
      <w:r w:rsidR="002F0395">
        <w:t>.</w:t>
      </w:r>
    </w:p>
    <w:p w14:paraId="1BAF5D58" w14:textId="662A9B61" w:rsidR="00F7535A" w:rsidRDefault="00B07096" w:rsidP="0076385E">
      <w:pPr>
        <w:pStyle w:val="DJCSbodyafterbullets"/>
        <w:ind w:left="720"/>
      </w:pPr>
      <w:r>
        <w:t xml:space="preserve">A list of all </w:t>
      </w:r>
      <w:r w:rsidR="005E7A19">
        <w:t xml:space="preserve">the current VCAT fees and related services are </w:t>
      </w:r>
      <w:r w:rsidR="00F7535A" w:rsidRPr="000D1759">
        <w:t xml:space="preserve">set out in </w:t>
      </w:r>
      <w:r w:rsidR="00F7535A" w:rsidRPr="00AC4A00">
        <w:t xml:space="preserve">Appendix </w:t>
      </w:r>
      <w:r w:rsidR="002A3BC0" w:rsidRPr="00AC4A00">
        <w:t>A</w:t>
      </w:r>
      <w:r w:rsidR="00F7535A" w:rsidRPr="00AC4A00">
        <w:t>.</w:t>
      </w:r>
      <w:r w:rsidR="00F7535A" w:rsidRPr="000D1759">
        <w:t xml:space="preserve"> </w:t>
      </w:r>
    </w:p>
    <w:p w14:paraId="47A337FB" w14:textId="528C0EEA" w:rsidR="00972448" w:rsidRDefault="009963C6" w:rsidP="0076385E">
      <w:pPr>
        <w:pStyle w:val="DJCSbodyafterbullets"/>
        <w:ind w:left="720"/>
      </w:pPr>
      <w:r>
        <w:t xml:space="preserve">Most of the fees charged by VCAT are </w:t>
      </w:r>
      <w:r w:rsidR="00B01402">
        <w:t xml:space="preserve">outlined in </w:t>
      </w:r>
      <w:r w:rsidR="00971B17">
        <w:t xml:space="preserve">the Regulations </w:t>
      </w:r>
      <w:r w:rsidR="009F748F">
        <w:t>under</w:t>
      </w:r>
      <w:r w:rsidR="00971B17">
        <w:t xml:space="preserve"> Fee Schedule 1. </w:t>
      </w:r>
      <w:r w:rsidR="000F2E9D">
        <w:t>The main fees consist of</w:t>
      </w:r>
      <w:r w:rsidR="00971B17">
        <w:t>:</w:t>
      </w:r>
    </w:p>
    <w:p w14:paraId="5CACA152" w14:textId="721EF034" w:rsidR="00971B17" w:rsidRDefault="00307CF9" w:rsidP="003C4FE7">
      <w:pPr>
        <w:pStyle w:val="DJCSbodyafterbullets"/>
        <w:numPr>
          <w:ilvl w:val="0"/>
          <w:numId w:val="36"/>
        </w:numPr>
      </w:pPr>
      <w:r w:rsidRPr="00FA0CF5">
        <w:rPr>
          <w:b/>
          <w:bCs/>
        </w:rPr>
        <w:t xml:space="preserve">Part 1 - </w:t>
      </w:r>
      <w:r w:rsidR="004B1921" w:rsidRPr="00FA0CF5">
        <w:rPr>
          <w:b/>
          <w:bCs/>
        </w:rPr>
        <w:t>Fee for commencement of a proceeding</w:t>
      </w:r>
      <w:r w:rsidR="00F17DFD" w:rsidRPr="00C329DD">
        <w:t>. This</w:t>
      </w:r>
      <w:r w:rsidR="000E312A">
        <w:t xml:space="preserve"> </w:t>
      </w:r>
      <w:r w:rsidR="002014C6">
        <w:t>is</w:t>
      </w:r>
      <w:r w:rsidR="000E312A">
        <w:t xml:space="preserve"> the </w:t>
      </w:r>
      <w:r w:rsidR="007D7AD8">
        <w:t>initial</w:t>
      </w:r>
      <w:r w:rsidR="000E312A">
        <w:t xml:space="preserve"> </w:t>
      </w:r>
      <w:r w:rsidR="00FF0556">
        <w:t xml:space="preserve">fee </w:t>
      </w:r>
      <w:r w:rsidR="007D7AD8">
        <w:t>required</w:t>
      </w:r>
      <w:r w:rsidR="0031152A">
        <w:t xml:space="preserve"> to submit an application </w:t>
      </w:r>
      <w:r w:rsidR="00DC40B6">
        <w:t>at VCAT</w:t>
      </w:r>
      <w:r w:rsidR="00160489">
        <w:t xml:space="preserve">. This </w:t>
      </w:r>
      <w:r w:rsidR="005250FB">
        <w:t>level of this fee includes the activity from starting an application up to an</w:t>
      </w:r>
      <w:r w:rsidR="00F17DFD">
        <w:t>d</w:t>
      </w:r>
      <w:r w:rsidR="005250FB">
        <w:t xml:space="preserve"> including the first hearing day</w:t>
      </w:r>
      <w:r w:rsidR="002263B6">
        <w:t xml:space="preserve"> (with some exceptions)</w:t>
      </w:r>
      <w:r w:rsidR="005250FB">
        <w:t>.</w:t>
      </w:r>
      <w:r w:rsidR="0070763C">
        <w:t xml:space="preserve"> For some </w:t>
      </w:r>
      <w:r w:rsidR="00790171">
        <w:t>VCAT users</w:t>
      </w:r>
      <w:r w:rsidR="00FF1F5B">
        <w:t>,</w:t>
      </w:r>
      <w:r w:rsidR="00790171">
        <w:t xml:space="preserve"> this may be the only fee they pay.</w:t>
      </w:r>
      <w:r w:rsidR="000F2E9D">
        <w:t xml:space="preserve"> Fees are charged per commencement.</w:t>
      </w:r>
    </w:p>
    <w:p w14:paraId="69BF5034" w14:textId="47ECAE0E" w:rsidR="00790171" w:rsidRDefault="00790171" w:rsidP="003C4FE7">
      <w:pPr>
        <w:pStyle w:val="DJCSbodyafterbullets"/>
        <w:numPr>
          <w:ilvl w:val="0"/>
          <w:numId w:val="36"/>
        </w:numPr>
      </w:pPr>
      <w:r w:rsidRPr="00FA0CF5">
        <w:rPr>
          <w:b/>
          <w:bCs/>
        </w:rPr>
        <w:t xml:space="preserve">Part 2 </w:t>
      </w:r>
      <w:r w:rsidR="00191833" w:rsidRPr="00FA0CF5">
        <w:rPr>
          <w:b/>
          <w:bCs/>
        </w:rPr>
        <w:t>–</w:t>
      </w:r>
      <w:r w:rsidRPr="00FA0CF5">
        <w:rPr>
          <w:b/>
          <w:bCs/>
        </w:rPr>
        <w:t xml:space="preserve"> </w:t>
      </w:r>
      <w:r w:rsidR="00191833" w:rsidRPr="00FA0CF5">
        <w:rPr>
          <w:b/>
          <w:bCs/>
        </w:rPr>
        <w:t>Fee for an application</w:t>
      </w:r>
      <w:r w:rsidR="00B158C6" w:rsidRPr="00FA0CF5">
        <w:rPr>
          <w:b/>
          <w:bCs/>
        </w:rPr>
        <w:t xml:space="preserve"> and other matters in relation to existing proceeding</w:t>
      </w:r>
      <w:r w:rsidR="00C170C6">
        <w:t xml:space="preserve">. This includes costs </w:t>
      </w:r>
      <w:r w:rsidR="00B7512D">
        <w:t xml:space="preserve">applications, other applications under the </w:t>
      </w:r>
      <w:r w:rsidR="00505F71">
        <w:t>Act</w:t>
      </w:r>
      <w:r w:rsidR="00A31D66">
        <w:t xml:space="preserve">, transfer of proceedings, injunctions </w:t>
      </w:r>
      <w:r w:rsidR="002A1038">
        <w:t>or issuing a warrant.</w:t>
      </w:r>
      <w:r w:rsidR="000F2E9D">
        <w:t xml:space="preserve"> Fees are charged per application.</w:t>
      </w:r>
    </w:p>
    <w:p w14:paraId="72DD7839" w14:textId="0BB94970" w:rsidR="007C77F4" w:rsidRDefault="007C77F4" w:rsidP="003C4FE7">
      <w:pPr>
        <w:pStyle w:val="DJCSbodyafterbullets"/>
        <w:numPr>
          <w:ilvl w:val="0"/>
          <w:numId w:val="36"/>
        </w:numPr>
      </w:pPr>
      <w:r w:rsidRPr="00FA0CF5">
        <w:rPr>
          <w:b/>
          <w:bCs/>
        </w:rPr>
        <w:t>Part 3 – Hearing fee</w:t>
      </w:r>
      <w:r w:rsidR="00F17DFD" w:rsidRPr="00C329DD">
        <w:t xml:space="preserve">. </w:t>
      </w:r>
      <w:r w:rsidR="00F17DFD">
        <w:t>Outlines</w:t>
      </w:r>
      <w:r w:rsidR="002C2F8F">
        <w:t xml:space="preserve"> the fees for </w:t>
      </w:r>
      <w:r w:rsidR="002B2432">
        <w:t xml:space="preserve">proceedings under </w:t>
      </w:r>
      <w:r w:rsidR="0082405E">
        <w:t>different legislation and claim amounts</w:t>
      </w:r>
      <w:r w:rsidR="0081594B">
        <w:t>.</w:t>
      </w:r>
      <w:r w:rsidR="00B94E03">
        <w:t xml:space="preserve"> Hearing fees </w:t>
      </w:r>
      <w:r w:rsidR="00E249B5">
        <w:t>increase</w:t>
      </w:r>
      <w:r w:rsidR="00474A58">
        <w:t xml:space="preserve"> as the length of the hearing increases</w:t>
      </w:r>
      <w:r w:rsidR="004569ED">
        <w:t xml:space="preserve">. </w:t>
      </w:r>
      <w:r w:rsidR="00370BF4">
        <w:t>Hearing day 10 and any subsequent day attract the highest fee levels.</w:t>
      </w:r>
      <w:r w:rsidR="000F2E9D">
        <w:t xml:space="preserve"> Fees are charged at a daily rate.</w:t>
      </w:r>
    </w:p>
    <w:p w14:paraId="45E3C6C5" w14:textId="26D45867" w:rsidR="00370BF4" w:rsidRDefault="007F6C2D" w:rsidP="00370BF4">
      <w:pPr>
        <w:pStyle w:val="DJCSbodyafterbullets"/>
        <w:ind w:left="720"/>
      </w:pPr>
      <w:r>
        <w:t xml:space="preserve">In addition to Fee Schedule </w:t>
      </w:r>
      <w:r w:rsidR="00FF0DEF">
        <w:t>1</w:t>
      </w:r>
      <w:r w:rsidR="00E94A8F">
        <w:t>,</w:t>
      </w:r>
      <w:r w:rsidR="00FF0DEF">
        <w:t xml:space="preserve"> </w:t>
      </w:r>
      <w:r w:rsidR="00BB1C48">
        <w:t>there are other fees</w:t>
      </w:r>
      <w:r w:rsidR="008B5D07">
        <w:t xml:space="preserve"> </w:t>
      </w:r>
      <w:r w:rsidR="00FF0DEF">
        <w:t xml:space="preserve">contained in </w:t>
      </w:r>
      <w:r w:rsidR="008B5D07">
        <w:t>the Regulations</w:t>
      </w:r>
      <w:r w:rsidR="00BB1C48">
        <w:t xml:space="preserve"> including</w:t>
      </w:r>
      <w:r w:rsidR="00FB4DFD">
        <w:t>: inspection of the register of proceedings, issuing the principal registrar’s certificate</w:t>
      </w:r>
      <w:r w:rsidR="00E432EC">
        <w:t xml:space="preserve">, </w:t>
      </w:r>
      <w:r w:rsidR="00FB4DFD">
        <w:t>the inspection of proceeding files and issuing a witness summons.</w:t>
      </w:r>
    </w:p>
    <w:p w14:paraId="4B24ECD9" w14:textId="69B51F51" w:rsidR="00C93A1F" w:rsidRDefault="00C93A1F" w:rsidP="00370BF4">
      <w:pPr>
        <w:pStyle w:val="DJCSbodyafterbullets"/>
        <w:ind w:left="720"/>
      </w:pPr>
      <w:r w:rsidRPr="00703834">
        <w:t xml:space="preserve">For </w:t>
      </w:r>
      <w:r w:rsidR="00085043" w:rsidRPr="00703834">
        <w:t xml:space="preserve">certain </w:t>
      </w:r>
      <w:r w:rsidRPr="00703834">
        <w:t>proceedings</w:t>
      </w:r>
      <w:r w:rsidR="00085043" w:rsidRPr="00703834">
        <w:rPr>
          <w:rStyle w:val="FootnoteReference"/>
        </w:rPr>
        <w:footnoteReference w:id="9"/>
      </w:r>
      <w:r w:rsidRPr="00703834">
        <w:t xml:space="preserve"> under the </w:t>
      </w:r>
      <w:r w:rsidRPr="00703834">
        <w:rPr>
          <w:i/>
          <w:iCs/>
        </w:rPr>
        <w:t>Planning and Environment Act 1987</w:t>
      </w:r>
      <w:r w:rsidR="000F2521" w:rsidRPr="000F2521">
        <w:t>, applicants</w:t>
      </w:r>
      <w:r w:rsidR="002700F1" w:rsidRPr="00703834">
        <w:t xml:space="preserve"> </w:t>
      </w:r>
      <w:r w:rsidR="00301CAB" w:rsidRPr="00703834">
        <w:t xml:space="preserve">can </w:t>
      </w:r>
      <w:r w:rsidR="000F2521" w:rsidRPr="000F2521">
        <w:t>apply</w:t>
      </w:r>
      <w:r w:rsidR="00301CAB" w:rsidRPr="00703834">
        <w:t xml:space="preserve"> to have </w:t>
      </w:r>
      <w:r w:rsidR="000F2521" w:rsidRPr="000F2521">
        <w:t xml:space="preserve">their case heard in VCAT’s Major Cases List by paying </w:t>
      </w:r>
      <w:r w:rsidR="00C7225A" w:rsidRPr="00703834">
        <w:t>a</w:t>
      </w:r>
      <w:r w:rsidR="005E0483" w:rsidRPr="00703834">
        <w:t xml:space="preserve"> higher </w:t>
      </w:r>
      <w:r w:rsidR="00C7225A" w:rsidRPr="00703834">
        <w:t>fee</w:t>
      </w:r>
      <w:r w:rsidR="00301CAB" w:rsidRPr="00703834">
        <w:t>.</w:t>
      </w:r>
      <w:r w:rsidR="00154EB1" w:rsidRPr="00703834">
        <w:t xml:space="preserve"> This </w:t>
      </w:r>
      <w:r w:rsidR="000F2521" w:rsidRPr="000F2521">
        <w:t>option</w:t>
      </w:r>
      <w:r w:rsidR="006D317D" w:rsidRPr="006D317D">
        <w:t xml:space="preserve"> </w:t>
      </w:r>
      <w:r w:rsidR="00154EB1" w:rsidRPr="00703834">
        <w:t xml:space="preserve">allows </w:t>
      </w:r>
      <w:r w:rsidR="00A45E53">
        <w:t>for</w:t>
      </w:r>
      <w:r w:rsidR="006D317D" w:rsidRPr="006D317D">
        <w:t xml:space="preserve"> eligible </w:t>
      </w:r>
      <w:r w:rsidR="00154EB1" w:rsidRPr="00703834">
        <w:t xml:space="preserve">cases to be heard sooner and </w:t>
      </w:r>
      <w:r w:rsidR="00A45E53">
        <w:t xml:space="preserve">therefore </w:t>
      </w:r>
      <w:r w:rsidR="006D317D" w:rsidRPr="006D317D">
        <w:t xml:space="preserve">resolved </w:t>
      </w:r>
      <w:r w:rsidR="00A45E53">
        <w:t xml:space="preserve">more quickly. It is </w:t>
      </w:r>
      <w:r w:rsidR="000F2521" w:rsidRPr="000F2521">
        <w:t>available for specific types of planning disputes such as reviews of permit decisions under sections 77, 79, 80, 82, 82B, and 87A</w:t>
      </w:r>
      <w:r w:rsidR="006F5471" w:rsidRPr="00703834">
        <w:t>.</w:t>
      </w:r>
    </w:p>
    <w:p w14:paraId="3AEA970D" w14:textId="5BF38523" w:rsidR="006F5471" w:rsidRPr="000D1759" w:rsidRDefault="005837AB" w:rsidP="00FA0CF5">
      <w:pPr>
        <w:pStyle w:val="DJCSbodyafterbullets"/>
        <w:ind w:left="720"/>
      </w:pPr>
      <w:r>
        <w:t>In some cases</w:t>
      </w:r>
      <w:r w:rsidR="000B0058">
        <w:t>, additional fees may be charged</w:t>
      </w:r>
      <w:r w:rsidR="00C27D9F">
        <w:t xml:space="preserve"> based on complexity</w:t>
      </w:r>
      <w:r w:rsidR="006A6B93">
        <w:t xml:space="preserve">. These are cases where the </w:t>
      </w:r>
      <w:r w:rsidR="00C27D9F">
        <w:t>P</w:t>
      </w:r>
      <w:r w:rsidR="006A6B93">
        <w:t xml:space="preserve">rincipal </w:t>
      </w:r>
      <w:r w:rsidR="00C27D9F">
        <w:t>R</w:t>
      </w:r>
      <w:r w:rsidR="006A6B93">
        <w:t>egist</w:t>
      </w:r>
      <w:r w:rsidR="003D6BF6">
        <w:t>r</w:t>
      </w:r>
      <w:r w:rsidR="006A6B93">
        <w:t xml:space="preserve">ar </w:t>
      </w:r>
      <w:r w:rsidR="00624146">
        <w:t>has</w:t>
      </w:r>
      <w:r w:rsidR="006A6B93">
        <w:t xml:space="preserve"> determine</w:t>
      </w:r>
      <w:r w:rsidR="00624146">
        <w:t>d</w:t>
      </w:r>
      <w:r w:rsidR="006A6B93">
        <w:t xml:space="preserve"> they are complex</w:t>
      </w:r>
      <w:r w:rsidR="004E136A">
        <w:t xml:space="preserve"> for reasons including cases where </w:t>
      </w:r>
      <w:r w:rsidR="009F2572">
        <w:t>the hearing is likely to take 2 or more days, where there are 3 or more parties</w:t>
      </w:r>
      <w:r w:rsidR="004E136A">
        <w:t>,</w:t>
      </w:r>
      <w:r w:rsidR="003F270F">
        <w:t xml:space="preserve"> or where multiple </w:t>
      </w:r>
      <w:r w:rsidR="006E5527">
        <w:t>Member</w:t>
      </w:r>
      <w:r w:rsidR="003F270F">
        <w:t xml:space="preserve">s or more senior </w:t>
      </w:r>
      <w:r w:rsidR="006E5527">
        <w:t>Member</w:t>
      </w:r>
      <w:r w:rsidR="003F270F">
        <w:t xml:space="preserve">s </w:t>
      </w:r>
      <w:r w:rsidR="004E136A">
        <w:t>are required</w:t>
      </w:r>
      <w:r w:rsidR="003F270F">
        <w:t xml:space="preserve"> </w:t>
      </w:r>
      <w:r w:rsidR="00E0514A">
        <w:t>to hear the proceeding.</w:t>
      </w:r>
    </w:p>
    <w:p w14:paraId="0B34BD6D" w14:textId="0A6F7527" w:rsidR="006A5AE0" w:rsidRPr="008303F1" w:rsidRDefault="00732716" w:rsidP="00FA0CF5">
      <w:pPr>
        <w:pStyle w:val="Heading3"/>
      </w:pPr>
      <w:bookmarkStart w:id="41" w:name="_Toc207716300"/>
      <w:bookmarkStart w:id="42" w:name="_Toc207716398"/>
      <w:bookmarkStart w:id="43" w:name="_Toc216179678"/>
      <w:bookmarkEnd w:id="41"/>
      <w:bookmarkEnd w:id="42"/>
      <w:r w:rsidRPr="008303F1">
        <w:t>VCAT f</w:t>
      </w:r>
      <w:r w:rsidR="006A5AE0" w:rsidRPr="008303F1">
        <w:t>unding arrangements</w:t>
      </w:r>
      <w:bookmarkEnd w:id="43"/>
    </w:p>
    <w:p w14:paraId="6FB7AB4A" w14:textId="284779D1" w:rsidR="00E224CF" w:rsidRDefault="008B2C74" w:rsidP="0076385E">
      <w:pPr>
        <w:pStyle w:val="DJCSbody"/>
        <w:ind w:left="720"/>
      </w:pPr>
      <w:r w:rsidRPr="008B2C74">
        <w:t xml:space="preserve">VCAT is funded through a combination of </w:t>
      </w:r>
      <w:r w:rsidR="006C1D87">
        <w:t>government</w:t>
      </w:r>
      <w:r w:rsidRPr="008B2C74">
        <w:t xml:space="preserve"> </w:t>
      </w:r>
      <w:r w:rsidR="00B4161F">
        <w:t>sources and revenue generated</w:t>
      </w:r>
      <w:r w:rsidR="00304CF3">
        <w:t>, as outlined below</w:t>
      </w:r>
      <w:r w:rsidR="004E136A">
        <w:t>:</w:t>
      </w:r>
    </w:p>
    <w:p w14:paraId="4EAF5F96" w14:textId="2F7605A4" w:rsidR="00A1309F" w:rsidRDefault="00A1309F" w:rsidP="00094EBB">
      <w:pPr>
        <w:pStyle w:val="DJCSbody"/>
        <w:numPr>
          <w:ilvl w:val="0"/>
          <w:numId w:val="20"/>
        </w:numPr>
      </w:pPr>
      <w:r>
        <w:t>Annual Appropriation</w:t>
      </w:r>
      <w:r w:rsidR="004F4CFE">
        <w:t xml:space="preserve"> –government </w:t>
      </w:r>
      <w:r w:rsidR="004F4CFE" w:rsidRPr="004F4CFE">
        <w:t>funding</w:t>
      </w:r>
      <w:r w:rsidR="007A7480">
        <w:t xml:space="preserve"> allocated</w:t>
      </w:r>
      <w:r w:rsidR="004F4CFE" w:rsidRPr="004F4CFE">
        <w:t xml:space="preserve"> to VCAT </w:t>
      </w:r>
      <w:r w:rsidR="00C80F67">
        <w:t>for operational</w:t>
      </w:r>
      <w:r w:rsidR="004F4CFE" w:rsidRPr="004F4CFE">
        <w:t xml:space="preserve"> expenditure</w:t>
      </w:r>
      <w:r w:rsidR="00094EBB">
        <w:t>.</w:t>
      </w:r>
    </w:p>
    <w:p w14:paraId="4C8B87A7" w14:textId="25302CB4" w:rsidR="00D84570" w:rsidRPr="001761B8" w:rsidRDefault="003C56BC" w:rsidP="00D84570">
      <w:pPr>
        <w:pStyle w:val="DJCSbody"/>
        <w:numPr>
          <w:ilvl w:val="0"/>
          <w:numId w:val="20"/>
        </w:numPr>
      </w:pPr>
      <w:r>
        <w:t>Special Appropriation</w:t>
      </w:r>
      <w:r w:rsidR="00DE5B3A">
        <w:t xml:space="preserve"> </w:t>
      </w:r>
      <w:r w:rsidR="004F4CFE">
        <w:t>–</w:t>
      </w:r>
      <w:r w:rsidR="007A7480">
        <w:t xml:space="preserve">funding provided specifically for </w:t>
      </w:r>
      <w:r w:rsidR="00D84570">
        <w:t>re</w:t>
      </w:r>
      <w:r w:rsidR="004A1FB6">
        <w:t>mun</w:t>
      </w:r>
      <w:r w:rsidR="00D84570">
        <w:t>eration</w:t>
      </w:r>
      <w:r w:rsidR="00071F98">
        <w:t xml:space="preserve"> of VCAT </w:t>
      </w:r>
      <w:r w:rsidR="00D84570" w:rsidRPr="001761B8">
        <w:t>Members.</w:t>
      </w:r>
    </w:p>
    <w:p w14:paraId="63357B46" w14:textId="73EC98A1" w:rsidR="003C56BC" w:rsidRDefault="00D84570" w:rsidP="00D84570">
      <w:pPr>
        <w:pStyle w:val="DJCSbody"/>
        <w:numPr>
          <w:ilvl w:val="0"/>
          <w:numId w:val="20"/>
        </w:numPr>
      </w:pPr>
      <w:r>
        <w:t>Tribunal</w:t>
      </w:r>
      <w:r w:rsidR="00DF22D5">
        <w:t xml:space="preserve"> </w:t>
      </w:r>
      <w:r w:rsidR="003C56BC">
        <w:t>Fee revenue</w:t>
      </w:r>
      <w:r w:rsidR="00774225">
        <w:t xml:space="preserve"> </w:t>
      </w:r>
      <w:r w:rsidR="00E72F63">
        <w:t>–</w:t>
      </w:r>
      <w:r w:rsidR="00C72B8E">
        <w:t xml:space="preserve">the revenue from </w:t>
      </w:r>
      <w:r w:rsidR="00E72F63">
        <w:t xml:space="preserve">fees raised </w:t>
      </w:r>
      <w:r w:rsidR="00101C3F">
        <w:t xml:space="preserve">and </w:t>
      </w:r>
      <w:r w:rsidR="00101C3F" w:rsidRPr="00323981">
        <w:rPr>
          <w:i/>
        </w:rPr>
        <w:t>retained</w:t>
      </w:r>
      <w:r w:rsidR="00101C3F">
        <w:t xml:space="preserve"> </w:t>
      </w:r>
      <w:r w:rsidR="00E72F63">
        <w:t>by VCAT</w:t>
      </w:r>
      <w:r w:rsidR="00323981">
        <w:rPr>
          <w:rStyle w:val="FootnoteReference"/>
        </w:rPr>
        <w:footnoteReference w:id="10"/>
      </w:r>
      <w:r w:rsidR="00101C3F">
        <w:t>.</w:t>
      </w:r>
    </w:p>
    <w:p w14:paraId="31A044B5" w14:textId="023C3C4E" w:rsidR="008E6B3F" w:rsidRDefault="003C5071" w:rsidP="0029560B">
      <w:pPr>
        <w:pStyle w:val="DJCSbody"/>
        <w:numPr>
          <w:ilvl w:val="0"/>
          <w:numId w:val="20"/>
        </w:numPr>
      </w:pPr>
      <w:r>
        <w:t>Trus</w:t>
      </w:r>
      <w:r w:rsidR="00466479">
        <w:t>t funds predominantly</w:t>
      </w:r>
      <w:r w:rsidR="0003706E" w:rsidRPr="0003706E">
        <w:t xml:space="preserve"> from Consumer Affairs Victoria</w:t>
      </w:r>
      <w:r w:rsidR="008579E9">
        <w:t xml:space="preserve"> (CAV)</w:t>
      </w:r>
      <w:r w:rsidR="0003706E" w:rsidRPr="0003706E">
        <w:t xml:space="preserve"> for</w:t>
      </w:r>
      <w:r w:rsidR="00C72B8E">
        <w:t xml:space="preserve"> housing</w:t>
      </w:r>
      <w:r w:rsidR="008F0BDC">
        <w:t>-</w:t>
      </w:r>
      <w:r w:rsidR="00C72B8E">
        <w:t>related</w:t>
      </w:r>
      <w:r w:rsidR="0003706E" w:rsidRPr="0003706E">
        <w:t xml:space="preserve"> dispute service</w:t>
      </w:r>
      <w:r w:rsidR="000D547E">
        <w:t>s (</w:t>
      </w:r>
      <w:r w:rsidR="007E42A8">
        <w:t xml:space="preserve">across the </w:t>
      </w:r>
      <w:r w:rsidR="00AC2E39">
        <w:t>Owners Corporation, Domestic Building</w:t>
      </w:r>
      <w:r w:rsidR="00330D85">
        <w:rPr>
          <w:rStyle w:val="FootnoteReference"/>
        </w:rPr>
        <w:footnoteReference w:id="11"/>
      </w:r>
      <w:r w:rsidR="00AC2E39">
        <w:t xml:space="preserve"> and Residential </w:t>
      </w:r>
      <w:r w:rsidR="00AC2E39">
        <w:lastRenderedPageBreak/>
        <w:t xml:space="preserve">Tenancies </w:t>
      </w:r>
      <w:r w:rsidR="007E42A8">
        <w:t>Lists</w:t>
      </w:r>
      <w:r w:rsidR="000D547E">
        <w:t>).</w:t>
      </w:r>
      <w:r w:rsidR="00073E21">
        <w:t xml:space="preserve"> There </w:t>
      </w:r>
      <w:r w:rsidR="00F81818">
        <w:t xml:space="preserve">are also funds that are held in </w:t>
      </w:r>
      <w:r w:rsidR="008F0BDC">
        <w:t xml:space="preserve">the </w:t>
      </w:r>
      <w:r w:rsidR="00F81818">
        <w:t>Guardi</w:t>
      </w:r>
      <w:r w:rsidR="00265992">
        <w:t>anship and Administration Fund</w:t>
      </w:r>
      <w:r w:rsidR="00F013F2">
        <w:t xml:space="preserve"> </w:t>
      </w:r>
      <w:r w:rsidR="008F0BDC">
        <w:t xml:space="preserve">into which </w:t>
      </w:r>
      <w:r w:rsidR="00F1648E">
        <w:t>annual fee</w:t>
      </w:r>
      <w:r w:rsidR="00C97D73">
        <w:t xml:space="preserve"> revenue from </w:t>
      </w:r>
      <w:r w:rsidR="0040311A">
        <w:t xml:space="preserve">guardianship </w:t>
      </w:r>
      <w:r w:rsidR="00C97D73">
        <w:t>matters are paid.</w:t>
      </w:r>
    </w:p>
    <w:p w14:paraId="5EB5AE14" w14:textId="7D6F5BA7" w:rsidR="00085CC3" w:rsidRDefault="00A26511" w:rsidP="00C75CB8">
      <w:pPr>
        <w:pStyle w:val="DJCSbody"/>
        <w:rPr>
          <w:highlight w:val="yellow"/>
        </w:rPr>
      </w:pPr>
      <w:r w:rsidRPr="00F813CC">
        <w:t xml:space="preserve">This funding model ensures VCAT can deliver accessible and affordable dispute resolution </w:t>
      </w:r>
      <w:r w:rsidRPr="0068216B">
        <w:t>services across a wide range of civil matters</w:t>
      </w:r>
      <w:r w:rsidR="00190DC8" w:rsidRPr="0068216B">
        <w:t>.</w:t>
      </w:r>
      <w:r w:rsidR="00DB7366" w:rsidRPr="0068216B">
        <w:t xml:space="preserve"> </w:t>
      </w:r>
    </w:p>
    <w:p w14:paraId="41DE18BF" w14:textId="6219D7ED" w:rsidR="003059EE" w:rsidRPr="000A0C90" w:rsidRDefault="00DB7366" w:rsidP="00A26511">
      <w:pPr>
        <w:pStyle w:val="DJCSbody"/>
      </w:pPr>
      <w:r w:rsidRPr="000A0C90">
        <w:t>Revenue from</w:t>
      </w:r>
      <w:r w:rsidR="001F71EF" w:rsidRPr="000A0C90">
        <w:t xml:space="preserve"> f</w:t>
      </w:r>
      <w:r w:rsidRPr="000A0C90">
        <w:t xml:space="preserve">ees retained by VCAT </w:t>
      </w:r>
      <w:r w:rsidR="00817F3E" w:rsidRPr="000A0C90">
        <w:t xml:space="preserve">(as shown </w:t>
      </w:r>
      <w:r w:rsidR="00E84FCD" w:rsidRPr="000A0C90">
        <w:t>in Table 6 below</w:t>
      </w:r>
      <w:r w:rsidR="00817F3E" w:rsidRPr="000A0C90">
        <w:t xml:space="preserve">) </w:t>
      </w:r>
      <w:r w:rsidR="00580ED0" w:rsidRPr="000A0C90">
        <w:t>excludes revenue that i</w:t>
      </w:r>
      <w:r w:rsidR="003059EE" w:rsidRPr="000A0C90">
        <w:t>s</w:t>
      </w:r>
      <w:r w:rsidR="00580ED0" w:rsidRPr="000A0C90">
        <w:t xml:space="preserve"> remitted to CAV </w:t>
      </w:r>
      <w:r w:rsidR="008C4511" w:rsidRPr="000A0C90">
        <w:t>f</w:t>
      </w:r>
      <w:r w:rsidR="00580ED0" w:rsidRPr="000A0C90">
        <w:t xml:space="preserve">or lists funded through </w:t>
      </w:r>
      <w:r w:rsidR="001E4EC5" w:rsidRPr="000A0C90">
        <w:t>them</w:t>
      </w:r>
      <w:r w:rsidR="002103FC" w:rsidRPr="000A0C90">
        <w:t xml:space="preserve">, </w:t>
      </w:r>
      <w:r w:rsidR="00580ED0" w:rsidRPr="000A0C90">
        <w:t>includ</w:t>
      </w:r>
      <w:r w:rsidR="002103FC" w:rsidRPr="000A0C90">
        <w:t>ing</w:t>
      </w:r>
      <w:r w:rsidR="00580ED0" w:rsidRPr="000A0C90">
        <w:t xml:space="preserve"> proceedings under the Building and Property </w:t>
      </w:r>
      <w:r w:rsidR="0040311A">
        <w:t>L</w:t>
      </w:r>
      <w:r w:rsidR="0040311A" w:rsidRPr="000A0C90">
        <w:t>ist</w:t>
      </w:r>
      <w:r w:rsidR="00580ED0" w:rsidRPr="000A0C90">
        <w:t xml:space="preserve">, Residential Tenancies (including RDRV) List and the Owner’s Corporation List. VCAT and CAV have a </w:t>
      </w:r>
      <w:r w:rsidR="00C11316" w:rsidRPr="000A0C90">
        <w:t>M</w:t>
      </w:r>
      <w:r w:rsidR="00580ED0" w:rsidRPr="000A0C90">
        <w:t xml:space="preserve">emorandum of </w:t>
      </w:r>
      <w:r w:rsidR="00C11316" w:rsidRPr="000A0C90">
        <w:t>U</w:t>
      </w:r>
      <w:r w:rsidR="00580ED0" w:rsidRPr="000A0C90">
        <w:t xml:space="preserve">nderstanding that outlines the funding </w:t>
      </w:r>
      <w:r w:rsidR="001F71EF" w:rsidRPr="000A0C90">
        <w:t>provided and</w:t>
      </w:r>
      <w:r w:rsidR="00580ED0" w:rsidRPr="000A0C90">
        <w:t xml:space="preserve"> </w:t>
      </w:r>
      <w:r w:rsidR="001F71EF" w:rsidRPr="000A0C90">
        <w:t>f</w:t>
      </w:r>
      <w:r w:rsidR="00580ED0" w:rsidRPr="000A0C90">
        <w:t>ee revenue to be returned to CAV.</w:t>
      </w:r>
      <w:r w:rsidR="00190DC8" w:rsidRPr="000A0C90">
        <w:t xml:space="preserve"> </w:t>
      </w:r>
      <w:r w:rsidR="002103FC" w:rsidRPr="000A0C90">
        <w:t xml:space="preserve">It also excludes </w:t>
      </w:r>
      <w:r w:rsidR="00AA4C55" w:rsidRPr="000A0C90">
        <w:t>revenue paid</w:t>
      </w:r>
      <w:r w:rsidR="002103FC" w:rsidRPr="000A0C90">
        <w:t xml:space="preserve"> directly</w:t>
      </w:r>
      <w:r w:rsidR="00AA4C55" w:rsidRPr="000A0C90">
        <w:t xml:space="preserve"> into the Guardianship and Administration Fund</w:t>
      </w:r>
      <w:r w:rsidR="002103FC" w:rsidRPr="000A0C90">
        <w:t xml:space="preserve"> for the matters </w:t>
      </w:r>
      <w:r w:rsidR="000A0C90" w:rsidRPr="000A0C90">
        <w:t>heard within</w:t>
      </w:r>
      <w:r w:rsidR="002103FC" w:rsidRPr="000A0C90">
        <w:t xml:space="preserve"> the Guardianship List.</w:t>
      </w:r>
    </w:p>
    <w:p w14:paraId="1A8007E7" w14:textId="729C14E1" w:rsidR="00113872" w:rsidRDefault="00F9417D" w:rsidP="00A26511">
      <w:pPr>
        <w:pStyle w:val="DJCSbody"/>
      </w:pPr>
      <w:r>
        <w:t>F</w:t>
      </w:r>
      <w:r w:rsidRPr="000A0C90">
        <w:t>ee</w:t>
      </w:r>
      <w:r w:rsidR="00B13C26" w:rsidRPr="000A0C90">
        <w:t xml:space="preserve"> revenue</w:t>
      </w:r>
      <w:r w:rsidR="001D6AE2">
        <w:t xml:space="preserve">, excluding </w:t>
      </w:r>
      <w:r w:rsidR="000D71FC">
        <w:t xml:space="preserve">amounts </w:t>
      </w:r>
      <w:r w:rsidR="003B2347">
        <w:t>remitt</w:t>
      </w:r>
      <w:r w:rsidR="000D71FC">
        <w:t>ed</w:t>
      </w:r>
      <w:r w:rsidR="003B2347">
        <w:t xml:space="preserve"> to </w:t>
      </w:r>
      <w:r w:rsidR="000D71FC">
        <w:t xml:space="preserve">CAV and </w:t>
      </w:r>
      <w:r w:rsidR="003E6B45">
        <w:t>revenue</w:t>
      </w:r>
      <w:r w:rsidR="006C7F83" w:rsidRPr="000A0C90">
        <w:t xml:space="preserve"> </w:t>
      </w:r>
      <w:r w:rsidR="003A3453">
        <w:t>generated through the Guardianship list</w:t>
      </w:r>
      <w:r w:rsidR="002D5E97">
        <w:t>,</w:t>
      </w:r>
      <w:r>
        <w:t xml:space="preserve"> </w:t>
      </w:r>
      <w:r w:rsidRPr="000A0C90">
        <w:t>will be used to compare options in this RIS.</w:t>
      </w:r>
    </w:p>
    <w:p w14:paraId="2E512112" w14:textId="0C2D6F1D" w:rsidR="00155DEC" w:rsidRPr="00813208" w:rsidRDefault="00155DEC" w:rsidP="00813208">
      <w:pPr>
        <w:pStyle w:val="DJCStablecaption"/>
      </w:pPr>
      <w:r w:rsidRPr="00813208">
        <w:t>Table</w:t>
      </w:r>
      <w:r>
        <w:t xml:space="preserve"> </w:t>
      </w:r>
      <w:r w:rsidR="00FF3C98">
        <w:t>6</w:t>
      </w:r>
      <w:r w:rsidR="00A26511" w:rsidRPr="00813208">
        <w:t>:</w:t>
      </w:r>
      <w:r w:rsidRPr="00813208">
        <w:t xml:space="preserve"> VCAT’s funding </w:t>
      </w:r>
      <w:r w:rsidR="00B039B7" w:rsidRPr="00813208">
        <w:t xml:space="preserve">arrangements </w:t>
      </w:r>
      <w:r w:rsidR="008B63C2" w:rsidRPr="00813208">
        <w:t xml:space="preserve">from 2019-20 </w:t>
      </w:r>
      <w:r w:rsidR="003B0599" w:rsidRPr="00813208">
        <w:t>to 20</w:t>
      </w:r>
      <w:r w:rsidR="00785114" w:rsidRPr="00813208">
        <w:t>2</w:t>
      </w:r>
      <w:r w:rsidR="0054222B">
        <w:t>4</w:t>
      </w:r>
      <w:r w:rsidR="00B07FA8" w:rsidRPr="00813208">
        <w:t>-2</w:t>
      </w:r>
      <w:r w:rsidR="0054222B">
        <w:t>5</w:t>
      </w:r>
      <w:r w:rsidR="00214EDA" w:rsidRPr="00813208">
        <w:t>.</w:t>
      </w:r>
    </w:p>
    <w:tbl>
      <w:tblPr>
        <w:tblStyle w:val="DJRtablestyleNavy"/>
        <w:tblW w:w="4591"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1105"/>
        <w:gridCol w:w="1105"/>
        <w:gridCol w:w="1105"/>
        <w:gridCol w:w="1105"/>
        <w:gridCol w:w="1105"/>
        <w:gridCol w:w="1101"/>
      </w:tblGrid>
      <w:tr w:rsidR="00FE5DBC" w14:paraId="5FBE191D" w14:textId="17D955BE" w:rsidTr="00781169">
        <w:tc>
          <w:tcPr>
            <w:tcW w:w="1510" w:type="pct"/>
            <w:shd w:val="clear" w:color="auto" w:fill="16145F" w:themeFill="text2"/>
          </w:tcPr>
          <w:p w14:paraId="06045F8C" w14:textId="28DE875C" w:rsidR="00531C91" w:rsidRPr="003036D1" w:rsidRDefault="00430CC1" w:rsidP="00A403F0">
            <w:pPr>
              <w:pStyle w:val="DJCSbody"/>
              <w:ind w:left="0"/>
              <w:rPr>
                <w:b/>
              </w:rPr>
            </w:pPr>
            <w:r w:rsidRPr="003036D1">
              <w:rPr>
                <w:b/>
              </w:rPr>
              <w:t>VCAT funding (</w:t>
            </w:r>
            <w:r w:rsidR="00F071C6" w:rsidRPr="003036D1">
              <w:rPr>
                <w:b/>
              </w:rPr>
              <w:t xml:space="preserve">$ </w:t>
            </w:r>
            <w:r w:rsidRPr="003036D1">
              <w:rPr>
                <w:b/>
              </w:rPr>
              <w:t>million)</w:t>
            </w:r>
          </w:p>
        </w:tc>
        <w:tc>
          <w:tcPr>
            <w:tcW w:w="582" w:type="pct"/>
            <w:shd w:val="clear" w:color="auto" w:fill="16145F" w:themeFill="text2"/>
          </w:tcPr>
          <w:p w14:paraId="70D2220C" w14:textId="7A18F22F" w:rsidR="00531C91" w:rsidRPr="003036D1" w:rsidRDefault="00566B97" w:rsidP="003036D1">
            <w:pPr>
              <w:pStyle w:val="DJCSbody"/>
              <w:ind w:left="0"/>
              <w:jc w:val="center"/>
              <w:rPr>
                <w:b/>
              </w:rPr>
            </w:pPr>
            <w:r w:rsidRPr="003036D1">
              <w:rPr>
                <w:b/>
              </w:rPr>
              <w:t>2019-20</w:t>
            </w:r>
          </w:p>
        </w:tc>
        <w:tc>
          <w:tcPr>
            <w:tcW w:w="582" w:type="pct"/>
            <w:shd w:val="clear" w:color="auto" w:fill="16145F" w:themeFill="text2"/>
          </w:tcPr>
          <w:p w14:paraId="48711C4C" w14:textId="0D61B4EF" w:rsidR="00531C91" w:rsidRPr="003036D1" w:rsidRDefault="000F3D69" w:rsidP="003036D1">
            <w:pPr>
              <w:pStyle w:val="DJCSbody"/>
              <w:ind w:left="0"/>
              <w:jc w:val="center"/>
              <w:rPr>
                <w:b/>
              </w:rPr>
            </w:pPr>
            <w:r w:rsidRPr="003036D1">
              <w:rPr>
                <w:b/>
              </w:rPr>
              <w:t>202</w:t>
            </w:r>
            <w:r w:rsidR="000A1E36" w:rsidRPr="003036D1">
              <w:rPr>
                <w:b/>
              </w:rPr>
              <w:t>0-21</w:t>
            </w:r>
          </w:p>
        </w:tc>
        <w:tc>
          <w:tcPr>
            <w:tcW w:w="582" w:type="pct"/>
            <w:shd w:val="clear" w:color="auto" w:fill="16145F" w:themeFill="text2"/>
          </w:tcPr>
          <w:p w14:paraId="365765DA" w14:textId="45B04EC1" w:rsidR="00531C91" w:rsidRPr="003036D1" w:rsidRDefault="000A1E36" w:rsidP="003036D1">
            <w:pPr>
              <w:pStyle w:val="DJCSbody"/>
              <w:ind w:left="0"/>
              <w:jc w:val="center"/>
              <w:rPr>
                <w:b/>
              </w:rPr>
            </w:pPr>
            <w:r w:rsidRPr="003036D1">
              <w:rPr>
                <w:b/>
              </w:rPr>
              <w:t>2021</w:t>
            </w:r>
            <w:r w:rsidR="001B5F72" w:rsidRPr="003036D1">
              <w:rPr>
                <w:b/>
              </w:rPr>
              <w:t>-22</w:t>
            </w:r>
          </w:p>
        </w:tc>
        <w:tc>
          <w:tcPr>
            <w:tcW w:w="582" w:type="pct"/>
            <w:shd w:val="clear" w:color="auto" w:fill="16145F" w:themeFill="text2"/>
          </w:tcPr>
          <w:p w14:paraId="51EB38A8" w14:textId="7C204E6D" w:rsidR="00531C91" w:rsidRPr="003036D1" w:rsidRDefault="00857C63" w:rsidP="003036D1">
            <w:pPr>
              <w:pStyle w:val="DJCSbody"/>
              <w:ind w:left="0"/>
              <w:jc w:val="center"/>
              <w:rPr>
                <w:b/>
              </w:rPr>
            </w:pPr>
            <w:r w:rsidRPr="003036D1">
              <w:rPr>
                <w:b/>
              </w:rPr>
              <w:t>2022-23</w:t>
            </w:r>
          </w:p>
        </w:tc>
        <w:tc>
          <w:tcPr>
            <w:tcW w:w="582" w:type="pct"/>
            <w:shd w:val="clear" w:color="auto" w:fill="16145F" w:themeFill="text2"/>
          </w:tcPr>
          <w:p w14:paraId="47E9646A" w14:textId="062950E9" w:rsidR="00531C91" w:rsidRPr="003036D1" w:rsidRDefault="005D0A7B" w:rsidP="003036D1">
            <w:pPr>
              <w:pStyle w:val="DJCSbody"/>
              <w:ind w:left="0"/>
              <w:jc w:val="center"/>
              <w:rPr>
                <w:b/>
              </w:rPr>
            </w:pPr>
            <w:r w:rsidRPr="003036D1">
              <w:rPr>
                <w:b/>
              </w:rPr>
              <w:t>2023-24</w:t>
            </w:r>
          </w:p>
        </w:tc>
        <w:tc>
          <w:tcPr>
            <w:tcW w:w="582" w:type="pct"/>
            <w:shd w:val="clear" w:color="auto" w:fill="16145F" w:themeFill="text2"/>
          </w:tcPr>
          <w:p w14:paraId="5AAAAE0B" w14:textId="73D9A501" w:rsidR="004E0965" w:rsidRPr="003036D1" w:rsidRDefault="004E0965" w:rsidP="003036D1">
            <w:pPr>
              <w:pStyle w:val="DJCSbody"/>
              <w:ind w:left="0"/>
              <w:jc w:val="center"/>
              <w:rPr>
                <w:b/>
              </w:rPr>
            </w:pPr>
            <w:r w:rsidRPr="003036D1">
              <w:rPr>
                <w:b/>
              </w:rPr>
              <w:t>2024-25</w:t>
            </w:r>
          </w:p>
        </w:tc>
      </w:tr>
      <w:tr w:rsidR="00531C91" w14:paraId="173D03B6" w14:textId="2897BF1A" w:rsidTr="00781169">
        <w:tc>
          <w:tcPr>
            <w:tcW w:w="1510" w:type="pct"/>
          </w:tcPr>
          <w:p w14:paraId="1AD648E0" w14:textId="4C448983" w:rsidR="00531C91" w:rsidRDefault="00842BBD" w:rsidP="00A403F0">
            <w:pPr>
              <w:pStyle w:val="DJCSbody"/>
              <w:ind w:left="0"/>
            </w:pPr>
            <w:r w:rsidRPr="000D1759">
              <w:t>Parliament appropriation for VCAT costs</w:t>
            </w:r>
            <w:r>
              <w:t>*</w:t>
            </w:r>
          </w:p>
        </w:tc>
        <w:tc>
          <w:tcPr>
            <w:tcW w:w="582" w:type="pct"/>
          </w:tcPr>
          <w:p w14:paraId="29B67CF6" w14:textId="497B530F" w:rsidR="00531C91" w:rsidRDefault="00633532" w:rsidP="00EB2C8F">
            <w:pPr>
              <w:pStyle w:val="DJCSbody"/>
              <w:ind w:left="0"/>
              <w:jc w:val="center"/>
            </w:pPr>
            <w:r>
              <w:t>34.</w:t>
            </w:r>
            <w:r w:rsidR="00EB2C8F">
              <w:t>609</w:t>
            </w:r>
          </w:p>
        </w:tc>
        <w:tc>
          <w:tcPr>
            <w:tcW w:w="582" w:type="pct"/>
          </w:tcPr>
          <w:p w14:paraId="58E4BD10" w14:textId="50FDAA79" w:rsidR="00531C91" w:rsidRDefault="002D09E7" w:rsidP="00EB2C8F">
            <w:pPr>
              <w:pStyle w:val="DJCSbody"/>
              <w:ind w:left="0"/>
              <w:jc w:val="center"/>
            </w:pPr>
            <w:r>
              <w:t>39.527</w:t>
            </w:r>
          </w:p>
        </w:tc>
        <w:tc>
          <w:tcPr>
            <w:tcW w:w="582" w:type="pct"/>
          </w:tcPr>
          <w:p w14:paraId="5A35E487" w14:textId="33763EC3" w:rsidR="00531C91" w:rsidRDefault="00462254" w:rsidP="00EB2C8F">
            <w:pPr>
              <w:pStyle w:val="DJCSbody"/>
              <w:ind w:left="0"/>
              <w:jc w:val="center"/>
            </w:pPr>
            <w:r>
              <w:t>42.796</w:t>
            </w:r>
          </w:p>
        </w:tc>
        <w:tc>
          <w:tcPr>
            <w:tcW w:w="582" w:type="pct"/>
          </w:tcPr>
          <w:p w14:paraId="608D0773" w14:textId="27B2B0A5" w:rsidR="00531C91" w:rsidRDefault="0075417C" w:rsidP="00EB2C8F">
            <w:pPr>
              <w:pStyle w:val="DJCSbody"/>
              <w:ind w:left="0"/>
              <w:jc w:val="center"/>
            </w:pPr>
            <w:r>
              <w:t>45.065</w:t>
            </w:r>
          </w:p>
        </w:tc>
        <w:tc>
          <w:tcPr>
            <w:tcW w:w="582" w:type="pct"/>
          </w:tcPr>
          <w:p w14:paraId="1D63C303" w14:textId="02EF6665" w:rsidR="00531C91" w:rsidRDefault="00DC6461" w:rsidP="00EB2C8F">
            <w:pPr>
              <w:pStyle w:val="DJCSbody"/>
              <w:ind w:left="0"/>
              <w:jc w:val="center"/>
            </w:pPr>
            <w:r>
              <w:t>49.757</w:t>
            </w:r>
          </w:p>
        </w:tc>
        <w:tc>
          <w:tcPr>
            <w:tcW w:w="582" w:type="pct"/>
          </w:tcPr>
          <w:p w14:paraId="30DC164B" w14:textId="3F98412E" w:rsidR="009C2233" w:rsidRPr="00BF4FBD" w:rsidRDefault="00C42AA9" w:rsidP="00EB2C8F">
            <w:pPr>
              <w:pStyle w:val="DJCSbody"/>
              <w:ind w:left="0"/>
              <w:jc w:val="center"/>
              <w:rPr>
                <w:highlight w:val="yellow"/>
              </w:rPr>
            </w:pPr>
            <w:r w:rsidRPr="007D42DA">
              <w:t>38.190</w:t>
            </w:r>
          </w:p>
        </w:tc>
      </w:tr>
      <w:tr w:rsidR="00531C91" w14:paraId="274EBD67" w14:textId="63007E3C" w:rsidTr="00781169">
        <w:tc>
          <w:tcPr>
            <w:tcW w:w="1510" w:type="pct"/>
          </w:tcPr>
          <w:p w14:paraId="1AC42ABF" w14:textId="5BE23CFF" w:rsidR="00531C91" w:rsidRDefault="003559A1" w:rsidP="00A403F0">
            <w:pPr>
              <w:pStyle w:val="DJCSbody"/>
              <w:ind w:left="0"/>
            </w:pPr>
            <w:r>
              <w:t xml:space="preserve">Revenue from </w:t>
            </w:r>
            <w:r w:rsidR="00121BFA">
              <w:t>f</w:t>
            </w:r>
            <w:r w:rsidR="00FB0D55">
              <w:t xml:space="preserve">ees retained </w:t>
            </w:r>
            <w:r w:rsidR="0022576E">
              <w:t xml:space="preserve">by VCAT </w:t>
            </w:r>
            <w:r w:rsidR="00FB0D55">
              <w:t>as approp</w:t>
            </w:r>
            <w:r w:rsidR="00A060A7">
              <w:t>r</w:t>
            </w:r>
            <w:r w:rsidR="00FB0D55">
              <w:t>iations</w:t>
            </w:r>
          </w:p>
        </w:tc>
        <w:tc>
          <w:tcPr>
            <w:tcW w:w="582" w:type="pct"/>
          </w:tcPr>
          <w:p w14:paraId="72A89BC1" w14:textId="5C787CF2" w:rsidR="00531C91" w:rsidRDefault="00930659" w:rsidP="00EB2C8F">
            <w:pPr>
              <w:pStyle w:val="DJCSbody"/>
              <w:ind w:left="0"/>
              <w:jc w:val="center"/>
            </w:pPr>
            <w:r>
              <w:t>8.335</w:t>
            </w:r>
          </w:p>
        </w:tc>
        <w:tc>
          <w:tcPr>
            <w:tcW w:w="582" w:type="pct"/>
          </w:tcPr>
          <w:p w14:paraId="496C280F" w14:textId="5B97070B" w:rsidR="00531C91" w:rsidRDefault="00F22B9F" w:rsidP="00EB2C8F">
            <w:pPr>
              <w:pStyle w:val="DJCSbody"/>
              <w:ind w:left="0"/>
              <w:jc w:val="center"/>
            </w:pPr>
            <w:r>
              <w:t>7.889</w:t>
            </w:r>
          </w:p>
        </w:tc>
        <w:tc>
          <w:tcPr>
            <w:tcW w:w="582" w:type="pct"/>
          </w:tcPr>
          <w:p w14:paraId="5549A57C" w14:textId="2B6A2266" w:rsidR="00531C91" w:rsidRDefault="00DD3BB7" w:rsidP="00EB2C8F">
            <w:pPr>
              <w:pStyle w:val="DJCSbody"/>
              <w:ind w:left="0"/>
              <w:jc w:val="center"/>
            </w:pPr>
            <w:r>
              <w:t>8.021</w:t>
            </w:r>
          </w:p>
        </w:tc>
        <w:tc>
          <w:tcPr>
            <w:tcW w:w="582" w:type="pct"/>
          </w:tcPr>
          <w:p w14:paraId="055E5E51" w14:textId="7B70CC47" w:rsidR="00531C91" w:rsidRDefault="00A9738C" w:rsidP="00EB2C8F">
            <w:pPr>
              <w:pStyle w:val="DJCSbody"/>
              <w:ind w:left="0"/>
              <w:jc w:val="center"/>
            </w:pPr>
            <w:r>
              <w:t>7.</w:t>
            </w:r>
            <w:r w:rsidR="002D6C80">
              <w:t>961</w:t>
            </w:r>
          </w:p>
        </w:tc>
        <w:tc>
          <w:tcPr>
            <w:tcW w:w="582" w:type="pct"/>
          </w:tcPr>
          <w:p w14:paraId="1054FBDB" w14:textId="3D57D633" w:rsidR="00531C91" w:rsidRDefault="00095D50" w:rsidP="00EB2C8F">
            <w:pPr>
              <w:pStyle w:val="DJCSbody"/>
              <w:ind w:left="0"/>
              <w:jc w:val="center"/>
            </w:pPr>
            <w:r>
              <w:t>7.008</w:t>
            </w:r>
          </w:p>
        </w:tc>
        <w:tc>
          <w:tcPr>
            <w:tcW w:w="582" w:type="pct"/>
          </w:tcPr>
          <w:p w14:paraId="5094CC0D" w14:textId="3480081A" w:rsidR="009C2233" w:rsidRPr="00BF4FBD" w:rsidRDefault="00C42AA9" w:rsidP="00EB2C8F">
            <w:pPr>
              <w:pStyle w:val="DJCSbody"/>
              <w:ind w:left="0"/>
              <w:jc w:val="center"/>
              <w:rPr>
                <w:highlight w:val="yellow"/>
              </w:rPr>
            </w:pPr>
            <w:r w:rsidRPr="007D42DA">
              <w:t>6.494</w:t>
            </w:r>
          </w:p>
        </w:tc>
      </w:tr>
      <w:tr w:rsidR="00531C91" w14:paraId="7C8DA0D3" w14:textId="0790CCE3" w:rsidTr="00781169">
        <w:tc>
          <w:tcPr>
            <w:tcW w:w="1510" w:type="pct"/>
          </w:tcPr>
          <w:p w14:paraId="12C4DEC7" w14:textId="0F3B425D" w:rsidR="00531C91" w:rsidRDefault="00430CC1" w:rsidP="00A403F0">
            <w:pPr>
              <w:pStyle w:val="DJCSbody"/>
              <w:ind w:left="0"/>
            </w:pPr>
            <w:r>
              <w:t>Funds</w:t>
            </w:r>
            <w:r w:rsidR="00C63D57">
              <w:t xml:space="preserve"> from CAV</w:t>
            </w:r>
            <w:r>
              <w:t xml:space="preserve"> (in trust for dispute services)</w:t>
            </w:r>
          </w:p>
        </w:tc>
        <w:tc>
          <w:tcPr>
            <w:tcW w:w="582" w:type="pct"/>
          </w:tcPr>
          <w:p w14:paraId="25A34146" w14:textId="566949E6" w:rsidR="00531C91" w:rsidRDefault="008552A6" w:rsidP="00EB2C8F">
            <w:pPr>
              <w:pStyle w:val="DJCSbody"/>
              <w:ind w:left="0"/>
              <w:jc w:val="center"/>
            </w:pPr>
            <w:r>
              <w:t>20.749</w:t>
            </w:r>
          </w:p>
        </w:tc>
        <w:tc>
          <w:tcPr>
            <w:tcW w:w="582" w:type="pct"/>
          </w:tcPr>
          <w:p w14:paraId="030BF120" w14:textId="7A0CDF02" w:rsidR="00531C91" w:rsidRDefault="004D3627" w:rsidP="00EB2C8F">
            <w:pPr>
              <w:pStyle w:val="DJCSbody"/>
              <w:ind w:left="0"/>
              <w:jc w:val="center"/>
            </w:pPr>
            <w:r>
              <w:t>20.589</w:t>
            </w:r>
          </w:p>
        </w:tc>
        <w:tc>
          <w:tcPr>
            <w:tcW w:w="582" w:type="pct"/>
          </w:tcPr>
          <w:p w14:paraId="7C2E122B" w14:textId="2DC517CF" w:rsidR="00531C91" w:rsidRDefault="00875928" w:rsidP="00EB2C8F">
            <w:pPr>
              <w:pStyle w:val="DJCSbody"/>
              <w:ind w:left="0"/>
              <w:jc w:val="center"/>
            </w:pPr>
            <w:r>
              <w:t>19.640</w:t>
            </w:r>
          </w:p>
        </w:tc>
        <w:tc>
          <w:tcPr>
            <w:tcW w:w="582" w:type="pct"/>
          </w:tcPr>
          <w:p w14:paraId="0E7BE8A6" w14:textId="592FF77C" w:rsidR="00531C91" w:rsidRDefault="00D60565" w:rsidP="00EB2C8F">
            <w:pPr>
              <w:pStyle w:val="DJCSbody"/>
              <w:ind w:left="0"/>
              <w:jc w:val="center"/>
            </w:pPr>
            <w:r>
              <w:t>23.779</w:t>
            </w:r>
          </w:p>
        </w:tc>
        <w:tc>
          <w:tcPr>
            <w:tcW w:w="582" w:type="pct"/>
          </w:tcPr>
          <w:p w14:paraId="4298D76F" w14:textId="4E02ADC9" w:rsidR="00531C91" w:rsidRDefault="000641F2" w:rsidP="00EB2C8F">
            <w:pPr>
              <w:pStyle w:val="DJCSbody"/>
              <w:ind w:left="0"/>
              <w:jc w:val="center"/>
            </w:pPr>
            <w:r>
              <w:t>28.55</w:t>
            </w:r>
            <w:r w:rsidR="006D7AAE">
              <w:t>3</w:t>
            </w:r>
          </w:p>
        </w:tc>
        <w:tc>
          <w:tcPr>
            <w:tcW w:w="582" w:type="pct"/>
          </w:tcPr>
          <w:p w14:paraId="41D1C2C4" w14:textId="23CA23A0" w:rsidR="009C2233" w:rsidRPr="00BF4FBD" w:rsidRDefault="00C42AA9" w:rsidP="00EB2C8F">
            <w:pPr>
              <w:pStyle w:val="DJCSbody"/>
              <w:ind w:left="0"/>
              <w:jc w:val="center"/>
              <w:rPr>
                <w:highlight w:val="yellow"/>
              </w:rPr>
            </w:pPr>
            <w:r w:rsidRPr="007D42DA">
              <w:t>60.616</w:t>
            </w:r>
          </w:p>
        </w:tc>
      </w:tr>
    </w:tbl>
    <w:p w14:paraId="06C0ABD6" w14:textId="646C1ED6" w:rsidR="00214EDA" w:rsidRDefault="009E3734">
      <w:pPr>
        <w:pStyle w:val="DJCSbody"/>
        <w:rPr>
          <w:i/>
        </w:rPr>
      </w:pPr>
      <w:r w:rsidRPr="00CD6B01">
        <w:rPr>
          <w:i/>
        </w:rPr>
        <w:t xml:space="preserve">Source: VCAT </w:t>
      </w:r>
      <w:r w:rsidR="00CD6B01" w:rsidRPr="00CD6B01">
        <w:rPr>
          <w:i/>
          <w:iCs/>
        </w:rPr>
        <w:t>202</w:t>
      </w:r>
      <w:r w:rsidR="0054222B">
        <w:rPr>
          <w:i/>
          <w:iCs/>
        </w:rPr>
        <w:t>4</w:t>
      </w:r>
      <w:r w:rsidR="00CD6B01" w:rsidRPr="00CD6B01">
        <w:rPr>
          <w:i/>
          <w:iCs/>
        </w:rPr>
        <w:t>-2</w:t>
      </w:r>
      <w:r w:rsidR="0054222B">
        <w:rPr>
          <w:i/>
          <w:iCs/>
        </w:rPr>
        <w:t>5</w:t>
      </w:r>
      <w:r w:rsidR="00CD6B01" w:rsidRPr="00CD6B01">
        <w:rPr>
          <w:i/>
          <w:iCs/>
        </w:rPr>
        <w:t xml:space="preserve"> </w:t>
      </w:r>
      <w:r w:rsidRPr="00CD6B01">
        <w:rPr>
          <w:i/>
        </w:rPr>
        <w:t>Annual Report</w:t>
      </w:r>
      <w:r w:rsidR="00842BBD">
        <w:rPr>
          <w:i/>
        </w:rPr>
        <w:t xml:space="preserve"> *This includes both special appropriations </w:t>
      </w:r>
      <w:r w:rsidR="00580AF5">
        <w:rPr>
          <w:i/>
        </w:rPr>
        <w:t>consisting of</w:t>
      </w:r>
      <w:r w:rsidR="00842BBD">
        <w:rPr>
          <w:i/>
        </w:rPr>
        <w:t xml:space="preserve"> </w:t>
      </w:r>
      <w:r w:rsidR="006E5527">
        <w:rPr>
          <w:i/>
        </w:rPr>
        <w:t>Member</w:t>
      </w:r>
      <w:r w:rsidR="00842BBD">
        <w:rPr>
          <w:i/>
        </w:rPr>
        <w:t xml:space="preserve"> salaries and other </w:t>
      </w:r>
      <w:r w:rsidR="00580AF5">
        <w:rPr>
          <w:i/>
        </w:rPr>
        <w:t>appropriations.</w:t>
      </w:r>
    </w:p>
    <w:p w14:paraId="338F0219" w14:textId="77777777" w:rsidR="004B6022" w:rsidRDefault="004B6022">
      <w:pPr>
        <w:pStyle w:val="DJCSbody"/>
        <w:rPr>
          <w:i/>
        </w:rPr>
        <w:sectPr w:rsidR="004B6022" w:rsidSect="00C5670C">
          <w:pgSz w:w="11906" w:h="16838" w:code="9"/>
          <w:pgMar w:top="1871" w:right="707" w:bottom="1588" w:left="851" w:header="283" w:footer="680" w:gutter="0"/>
          <w:cols w:space="720"/>
          <w:docGrid w:linePitch="360"/>
        </w:sectPr>
      </w:pPr>
    </w:p>
    <w:p w14:paraId="7D70EE40" w14:textId="192713F1" w:rsidR="00EC2AE9" w:rsidRPr="00BF4FBD" w:rsidRDefault="00A00994" w:rsidP="00BE6A62">
      <w:pPr>
        <w:pStyle w:val="Heading1"/>
      </w:pPr>
      <w:bookmarkStart w:id="44" w:name="_Toc216179679"/>
      <w:r w:rsidRPr="00BF4FBD">
        <w:lastRenderedPageBreak/>
        <w:t>Problem Analysis</w:t>
      </w:r>
      <w:bookmarkEnd w:id="44"/>
    </w:p>
    <w:p w14:paraId="6C2682E5" w14:textId="7660CD56" w:rsidR="00C3290A" w:rsidRDefault="00C3290A" w:rsidP="00630DA0">
      <w:pPr>
        <w:pStyle w:val="DJCSbody"/>
        <w:ind w:left="720"/>
      </w:pPr>
      <w:r>
        <w:t>This section</w:t>
      </w:r>
      <w:r w:rsidR="004C09F8">
        <w:t xml:space="preserve"> provides a more detailed breakdown of the reasons why VCAT is considering changes to the </w:t>
      </w:r>
      <w:r w:rsidR="00724E90" w:rsidRPr="00C329DD">
        <w:t>R</w:t>
      </w:r>
      <w:r w:rsidR="00C262C9" w:rsidRPr="00C329DD">
        <w:t>egulations</w:t>
      </w:r>
      <w:r w:rsidR="00C262C9">
        <w:t xml:space="preserve">, and </w:t>
      </w:r>
      <w:r w:rsidR="006F6323">
        <w:t>the</w:t>
      </w:r>
      <w:r w:rsidR="004837D4">
        <w:t xml:space="preserve"> information </w:t>
      </w:r>
      <w:r w:rsidR="00284523">
        <w:t>that was</w:t>
      </w:r>
      <w:r w:rsidR="004837D4">
        <w:t xml:space="preserve"> considered in drafting </w:t>
      </w:r>
      <w:r w:rsidR="00573A5B">
        <w:t xml:space="preserve">the </w:t>
      </w:r>
      <w:r w:rsidR="003D1F0B">
        <w:t>proposed Regulations</w:t>
      </w:r>
      <w:r w:rsidR="00573A5B">
        <w:t xml:space="preserve">. </w:t>
      </w:r>
      <w:r w:rsidR="00CC296C">
        <w:t xml:space="preserve">As VCAT fees have not </w:t>
      </w:r>
      <w:r w:rsidR="00086696">
        <w:t xml:space="preserve">been </w:t>
      </w:r>
      <w:r w:rsidR="00175DFD">
        <w:t>reviewed</w:t>
      </w:r>
      <w:r w:rsidR="006E699A">
        <w:t xml:space="preserve"> </w:t>
      </w:r>
      <w:r w:rsidR="00E2671F">
        <w:t>comprehensively</w:t>
      </w:r>
      <w:r w:rsidR="006E699A">
        <w:t xml:space="preserve"> since 201</w:t>
      </w:r>
      <w:r w:rsidR="00E2671F">
        <w:t>6</w:t>
      </w:r>
      <w:r w:rsidR="003039DF">
        <w:t xml:space="preserve">, </w:t>
      </w:r>
      <w:r w:rsidR="008B3362">
        <w:t xml:space="preserve">the remaking of the </w:t>
      </w:r>
      <w:r w:rsidR="003D1F0B">
        <w:t xml:space="preserve">Regulations </w:t>
      </w:r>
      <w:r w:rsidR="008B3362">
        <w:t xml:space="preserve">provides an opportunity </w:t>
      </w:r>
      <w:r w:rsidR="00311A65">
        <w:t>to address developments over the last 10 years.</w:t>
      </w:r>
      <w:r w:rsidR="00086696">
        <w:t xml:space="preserve"> </w:t>
      </w:r>
      <w:r w:rsidR="00573A5B">
        <w:t>It provides an o</w:t>
      </w:r>
      <w:r>
        <w:t>verview of the following:</w:t>
      </w:r>
    </w:p>
    <w:p w14:paraId="77284649" w14:textId="53A85EFC" w:rsidR="00E46851" w:rsidRDefault="00C3290A" w:rsidP="00623E53">
      <w:pPr>
        <w:pStyle w:val="DJCSbody"/>
        <w:numPr>
          <w:ilvl w:val="0"/>
          <w:numId w:val="20"/>
        </w:numPr>
      </w:pPr>
      <w:r>
        <w:t>Rationale f</w:t>
      </w:r>
      <w:r w:rsidR="00100437">
        <w:t>or</w:t>
      </w:r>
      <w:r>
        <w:t xml:space="preserve"> the fees charged by </w:t>
      </w:r>
      <w:r w:rsidR="000E0483">
        <w:t>VCAT</w:t>
      </w:r>
    </w:p>
    <w:p w14:paraId="0AE58AB7" w14:textId="7D50D990" w:rsidR="00C3290A" w:rsidRPr="00284523" w:rsidRDefault="00C3290A" w:rsidP="003C0E1C">
      <w:pPr>
        <w:pStyle w:val="DJCSbody"/>
        <w:numPr>
          <w:ilvl w:val="0"/>
          <w:numId w:val="20"/>
        </w:numPr>
      </w:pPr>
      <w:r w:rsidRPr="00284523">
        <w:t xml:space="preserve">Financial sustainability of </w:t>
      </w:r>
      <w:r w:rsidR="000E0483" w:rsidRPr="00284523">
        <w:t>VCAT</w:t>
      </w:r>
    </w:p>
    <w:p w14:paraId="23074089" w14:textId="64CE1778" w:rsidR="00C3290A" w:rsidRPr="008303F1" w:rsidRDefault="00521FBF" w:rsidP="003C0E1C">
      <w:pPr>
        <w:pStyle w:val="DJCSbody"/>
        <w:numPr>
          <w:ilvl w:val="0"/>
          <w:numId w:val="20"/>
        </w:numPr>
      </w:pPr>
      <w:r w:rsidRPr="008303F1">
        <w:t xml:space="preserve">Relevant </w:t>
      </w:r>
      <w:r w:rsidR="00284523">
        <w:t xml:space="preserve">contextual </w:t>
      </w:r>
      <w:r w:rsidRPr="008303F1">
        <w:t>changes since</w:t>
      </w:r>
      <w:r w:rsidR="00FD749D" w:rsidRPr="008303F1">
        <w:t xml:space="preserve"> the Regulations were drafted</w:t>
      </w:r>
    </w:p>
    <w:p w14:paraId="4F345499" w14:textId="09C29EE8" w:rsidR="00521FBF" w:rsidRPr="008303F1" w:rsidRDefault="00521FBF" w:rsidP="00521FBF">
      <w:pPr>
        <w:pStyle w:val="DJCSbody"/>
        <w:numPr>
          <w:ilvl w:val="0"/>
          <w:numId w:val="20"/>
        </w:numPr>
      </w:pPr>
      <w:r w:rsidRPr="008303F1">
        <w:t xml:space="preserve">Access to justice implications </w:t>
      </w:r>
      <w:r w:rsidR="00DC7285">
        <w:t>of</w:t>
      </w:r>
      <w:r w:rsidRPr="008303F1">
        <w:t xml:space="preserve"> current VCAT fees</w:t>
      </w:r>
      <w:r w:rsidRPr="00284523">
        <w:t xml:space="preserve"> </w:t>
      </w:r>
    </w:p>
    <w:p w14:paraId="238F6484" w14:textId="0A56D42B" w:rsidR="00A00994" w:rsidRPr="00BF4FBD" w:rsidRDefault="00A00994" w:rsidP="00A00994">
      <w:pPr>
        <w:pStyle w:val="Heading2"/>
      </w:pPr>
      <w:bookmarkStart w:id="45" w:name="_Toc216179680"/>
      <w:r w:rsidRPr="00BF4FBD">
        <w:t>Rationale for</w:t>
      </w:r>
      <w:r w:rsidR="007205B8" w:rsidRPr="00BF4FBD">
        <w:t xml:space="preserve"> continuing t</w:t>
      </w:r>
      <w:r w:rsidR="00DF2BD4" w:rsidRPr="00BF4FBD">
        <w:t>o</w:t>
      </w:r>
      <w:r w:rsidR="007205B8" w:rsidRPr="00BF4FBD">
        <w:t xml:space="preserve"> charge</w:t>
      </w:r>
      <w:r w:rsidRPr="00BF4FBD">
        <w:t xml:space="preserve"> fees</w:t>
      </w:r>
      <w:bookmarkEnd w:id="45"/>
    </w:p>
    <w:p w14:paraId="6D444769" w14:textId="26491343" w:rsidR="00A00994" w:rsidRPr="00284523" w:rsidRDefault="00A00994" w:rsidP="00A00994">
      <w:pPr>
        <w:pStyle w:val="Heading3"/>
      </w:pPr>
      <w:bookmarkStart w:id="46" w:name="_Charging_fees_in"/>
      <w:bookmarkStart w:id="47" w:name="_Toc216179681"/>
      <w:bookmarkEnd w:id="46"/>
      <w:r w:rsidRPr="00284523">
        <w:t>Charging fees in VCAT</w:t>
      </w:r>
      <w:bookmarkEnd w:id="47"/>
    </w:p>
    <w:p w14:paraId="09FD8C1C" w14:textId="2A6ED915" w:rsidR="00A00994" w:rsidRDefault="00F45FF3" w:rsidP="00630DA0">
      <w:pPr>
        <w:pStyle w:val="DJCSbody"/>
        <w:ind w:left="720"/>
      </w:pPr>
      <w:r>
        <w:t xml:space="preserve">Remaking the </w:t>
      </w:r>
      <w:r w:rsidR="003D1F0B">
        <w:t>R</w:t>
      </w:r>
      <w:r>
        <w:t>egulations is necessary for VCAT</w:t>
      </w:r>
      <w:r w:rsidR="008B33B7">
        <w:t xml:space="preserve"> to meet it</w:t>
      </w:r>
      <w:r w:rsidR="0047311F">
        <w:t>s</w:t>
      </w:r>
      <w:r w:rsidR="008B33B7">
        <w:t xml:space="preserve"> statutory responsibilities effectively and efficientl</w:t>
      </w:r>
      <w:r w:rsidR="00BA0EE2">
        <w:t>y</w:t>
      </w:r>
      <w:r w:rsidR="00A00994" w:rsidRPr="00A00994">
        <w:t>.</w:t>
      </w:r>
      <w:r w:rsidR="00BA0EE2">
        <w:t xml:space="preserve"> In the absence of </w:t>
      </w:r>
      <w:r w:rsidR="003A2A9B">
        <w:t>fee regulations</w:t>
      </w:r>
      <w:r w:rsidR="00BB7CD4">
        <w:t>,</w:t>
      </w:r>
      <w:r w:rsidR="003A2A9B">
        <w:t xml:space="preserve"> VCAT </w:t>
      </w:r>
      <w:r w:rsidR="001A701B">
        <w:t xml:space="preserve">would not be able to legally charge fees from </w:t>
      </w:r>
      <w:r w:rsidR="00EE3E10">
        <w:t xml:space="preserve">29 June </w:t>
      </w:r>
      <w:r w:rsidR="001A701B">
        <w:t>20</w:t>
      </w:r>
      <w:r w:rsidR="00EE3E10">
        <w:t>2</w:t>
      </w:r>
      <w:r w:rsidR="001A701B">
        <w:t>6 onwards.</w:t>
      </w:r>
    </w:p>
    <w:p w14:paraId="6C0E3823" w14:textId="2EE0B7B3" w:rsidR="001A701B" w:rsidRDefault="00280B1B" w:rsidP="00630DA0">
      <w:pPr>
        <w:pStyle w:val="DJCSbody"/>
        <w:ind w:left="720"/>
      </w:pPr>
      <w:r>
        <w:t>The lack of fees would have the following impacts on VCAT</w:t>
      </w:r>
      <w:r w:rsidR="00B40B5C">
        <w:t>:</w:t>
      </w:r>
    </w:p>
    <w:p w14:paraId="2A6F1E65" w14:textId="7DF424DE" w:rsidR="00B40B5C" w:rsidRDefault="00280B1B" w:rsidP="003C4FE7">
      <w:pPr>
        <w:pStyle w:val="DJCSbody"/>
        <w:numPr>
          <w:ilvl w:val="0"/>
          <w:numId w:val="24"/>
        </w:numPr>
      </w:pPr>
      <w:r>
        <w:t>It</w:t>
      </w:r>
      <w:r w:rsidR="008712AC">
        <w:t xml:space="preserve"> </w:t>
      </w:r>
      <w:r w:rsidR="00381200">
        <w:t>c</w:t>
      </w:r>
      <w:r w:rsidR="008712AC">
        <w:t xml:space="preserve">ould become </w:t>
      </w:r>
      <w:r w:rsidR="0048754D">
        <w:t xml:space="preserve">the preferred </w:t>
      </w:r>
      <w:r w:rsidR="00D7653B">
        <w:t xml:space="preserve">first </w:t>
      </w:r>
      <w:r w:rsidR="00C4666D">
        <w:t>option for civil disputes because its decisions are binding</w:t>
      </w:r>
      <w:r w:rsidR="00B3285B">
        <w:t>,</w:t>
      </w:r>
      <w:r w:rsidR="00C4666D">
        <w:t xml:space="preserve"> and the service would be </w:t>
      </w:r>
      <w:r w:rsidR="00F2787B">
        <w:t xml:space="preserve">free. This </w:t>
      </w:r>
      <w:r w:rsidR="0048754D">
        <w:t xml:space="preserve">could </w:t>
      </w:r>
      <w:r w:rsidR="00F2787B">
        <w:t xml:space="preserve">result </w:t>
      </w:r>
      <w:r w:rsidR="00312EF1">
        <w:t>in a large increas</w:t>
      </w:r>
      <w:r w:rsidR="007C177D">
        <w:t xml:space="preserve">e in applications </w:t>
      </w:r>
      <w:r w:rsidR="00A30AB1">
        <w:t xml:space="preserve">that would otherwise be dealt with </w:t>
      </w:r>
      <w:r w:rsidR="001B207D">
        <w:t>through alternative mechanisms including dispute resolution</w:t>
      </w:r>
      <w:r w:rsidR="0090505D">
        <w:t xml:space="preserve"> </w:t>
      </w:r>
      <w:r w:rsidR="0090505D" w:rsidRPr="00703834">
        <w:t>services such a</w:t>
      </w:r>
      <w:r w:rsidR="00E1448C" w:rsidRPr="00703834">
        <w:t>s ombudsmen</w:t>
      </w:r>
      <w:r w:rsidR="00823365" w:rsidRPr="00703834">
        <w:t xml:space="preserve"> or mediation.</w:t>
      </w:r>
    </w:p>
    <w:p w14:paraId="3664400D" w14:textId="1A37467F" w:rsidR="00BD788B" w:rsidRDefault="0083583C" w:rsidP="003C4FE7">
      <w:pPr>
        <w:pStyle w:val="DJCSbody"/>
        <w:numPr>
          <w:ilvl w:val="0"/>
          <w:numId w:val="24"/>
        </w:numPr>
      </w:pPr>
      <w:r>
        <w:t xml:space="preserve">The increase in demand for </w:t>
      </w:r>
      <w:r w:rsidR="0032615E">
        <w:t xml:space="preserve">VCAT </w:t>
      </w:r>
      <w:r>
        <w:t xml:space="preserve">services </w:t>
      </w:r>
      <w:r w:rsidR="00DC17FA">
        <w:t xml:space="preserve">would result </w:t>
      </w:r>
      <w:r w:rsidR="0070570F">
        <w:t>in an increase in the amount of time taken to finalise matters</w:t>
      </w:r>
      <w:r w:rsidR="00E4714D">
        <w:t xml:space="preserve">. </w:t>
      </w:r>
      <w:r w:rsidR="00815F59">
        <w:t>This would create</w:t>
      </w:r>
      <w:r w:rsidR="00CC2837">
        <w:t xml:space="preserve"> a backlog of pending </w:t>
      </w:r>
      <w:r w:rsidR="0008760C">
        <w:t>matt</w:t>
      </w:r>
      <w:r w:rsidR="00BA37A9">
        <w:t>ers</w:t>
      </w:r>
      <w:r w:rsidR="00453DBC">
        <w:t>,</w:t>
      </w:r>
      <w:r w:rsidR="00BD788B">
        <w:t xml:space="preserve"> delaying VCAT’s ability to resolve disputes in a timely manner.</w:t>
      </w:r>
    </w:p>
    <w:p w14:paraId="6D3AB6FF" w14:textId="3EDE59F6" w:rsidR="00991E42" w:rsidRDefault="00991E42" w:rsidP="003C4FE7">
      <w:pPr>
        <w:pStyle w:val="DJCSbody"/>
        <w:numPr>
          <w:ilvl w:val="0"/>
          <w:numId w:val="24"/>
        </w:numPr>
      </w:pPr>
      <w:r>
        <w:t xml:space="preserve">There would be a shortfall in funding </w:t>
      </w:r>
      <w:r w:rsidR="000E12A6">
        <w:t xml:space="preserve">for VCAT </w:t>
      </w:r>
      <w:r w:rsidR="00967161">
        <w:t>without</w:t>
      </w:r>
      <w:r w:rsidR="0092018F">
        <w:t xml:space="preserve"> fee revenue</w:t>
      </w:r>
      <w:r w:rsidR="006011A2">
        <w:t xml:space="preserve">. If this shortfall </w:t>
      </w:r>
      <w:r w:rsidR="0032615E">
        <w:t xml:space="preserve">could not be </w:t>
      </w:r>
      <w:r w:rsidR="006011A2">
        <w:t xml:space="preserve">met through other </w:t>
      </w:r>
      <w:r w:rsidR="00EF6CE4" w:rsidRPr="00774612">
        <w:t>funding sources</w:t>
      </w:r>
      <w:r w:rsidR="0018483E" w:rsidRPr="00774612">
        <w:t>,</w:t>
      </w:r>
      <w:r w:rsidR="006011A2">
        <w:t xml:space="preserve"> </w:t>
      </w:r>
      <w:r w:rsidR="00900A12">
        <w:t>VCAT</w:t>
      </w:r>
      <w:r w:rsidR="00D418C4">
        <w:t xml:space="preserve"> </w:t>
      </w:r>
      <w:r w:rsidR="0032615E">
        <w:t xml:space="preserve">would </w:t>
      </w:r>
      <w:r w:rsidR="00D418C4">
        <w:t>need to reduce services in other areas to meet demand.</w:t>
      </w:r>
    </w:p>
    <w:p w14:paraId="088A26D5" w14:textId="223E81EC" w:rsidR="001B207D" w:rsidRDefault="002A5080" w:rsidP="00A00994">
      <w:pPr>
        <w:pStyle w:val="DJCSbody"/>
      </w:pPr>
      <w:r>
        <w:t>Requiring payment for VCAT services allows the government to send an important signal to the community about the costs involved</w:t>
      </w:r>
      <w:r w:rsidR="008B0E38">
        <w:t xml:space="preserve"> in providing those services. It also allows for those </w:t>
      </w:r>
      <w:r w:rsidR="003B5C3F">
        <w:t>who</w:t>
      </w:r>
      <w:r w:rsidR="008B0E38">
        <w:t xml:space="preserve"> </w:t>
      </w:r>
      <w:r w:rsidR="000A1C0F">
        <w:t>derive</w:t>
      </w:r>
      <w:r w:rsidR="00625321">
        <w:t xml:space="preserve"> private benefits from VCAT’s services</w:t>
      </w:r>
      <w:r w:rsidR="001503AF">
        <w:t xml:space="preserve"> to contribute to the cost of </w:t>
      </w:r>
      <w:r w:rsidR="0032615E">
        <w:t xml:space="preserve">providing </w:t>
      </w:r>
      <w:r w:rsidR="001503AF">
        <w:t xml:space="preserve">those services. This is consistent with the </w:t>
      </w:r>
      <w:r w:rsidR="00136AA7">
        <w:t xml:space="preserve">principles contained in the </w:t>
      </w:r>
      <w:r w:rsidR="00136AA7" w:rsidRPr="00136AA7">
        <w:rPr>
          <w:i/>
          <w:iCs/>
        </w:rPr>
        <w:t>Pricing for Value Guide</w:t>
      </w:r>
      <w:r w:rsidR="00136AA7">
        <w:t>.</w:t>
      </w:r>
    </w:p>
    <w:p w14:paraId="09894684" w14:textId="474C46A5" w:rsidR="00143820" w:rsidRDefault="00143820" w:rsidP="00143820">
      <w:pPr>
        <w:pStyle w:val="Heading3"/>
      </w:pPr>
      <w:bookmarkStart w:id="48" w:name="_New_Fee_Setting"/>
      <w:bookmarkStart w:id="49" w:name="_Toc216179682"/>
      <w:bookmarkEnd w:id="48"/>
      <w:r>
        <w:t xml:space="preserve">New </w:t>
      </w:r>
      <w:r w:rsidR="00000590">
        <w:t>f</w:t>
      </w:r>
      <w:r>
        <w:t xml:space="preserve">ee </w:t>
      </w:r>
      <w:r w:rsidR="00000590">
        <w:t>s</w:t>
      </w:r>
      <w:r>
        <w:t xml:space="preserve">etting </w:t>
      </w:r>
      <w:r w:rsidR="00000590">
        <w:t>p</w:t>
      </w:r>
      <w:r>
        <w:t>rinciples – Pricing for Value Guide</w:t>
      </w:r>
      <w:bookmarkEnd w:id="49"/>
    </w:p>
    <w:p w14:paraId="7262DA71" w14:textId="69ECBE8B" w:rsidR="00143820" w:rsidRPr="00AB60F1" w:rsidRDefault="00143820" w:rsidP="00630DA0">
      <w:pPr>
        <w:pStyle w:val="DJCSbody"/>
        <w:ind w:left="720"/>
      </w:pPr>
      <w:r w:rsidRPr="00D902E3">
        <w:t xml:space="preserve">From 1 July 2021, the </w:t>
      </w:r>
      <w:r w:rsidRPr="00D87103">
        <w:rPr>
          <w:i/>
          <w:iCs/>
        </w:rPr>
        <w:t>Pricing for Value Guide</w:t>
      </w:r>
      <w:r w:rsidR="00A05E4F">
        <w:rPr>
          <w:rStyle w:val="FootnoteReference"/>
          <w:i/>
          <w:iCs/>
        </w:rPr>
        <w:footnoteReference w:id="12"/>
      </w:r>
      <w:r w:rsidRPr="00D902E3">
        <w:t xml:space="preserve"> replaced the </w:t>
      </w:r>
      <w:r w:rsidRPr="00D87103">
        <w:rPr>
          <w:i/>
          <w:iCs/>
        </w:rPr>
        <w:t>Cost Recovery Guidelines</w:t>
      </w:r>
      <w:r w:rsidRPr="00D902E3">
        <w:t xml:space="preserve">. The new </w:t>
      </w:r>
      <w:r>
        <w:t>G</w:t>
      </w:r>
      <w:r w:rsidRPr="00D902E3">
        <w:t>uide is intended to improve consistency and capability in price-setting across governme</w:t>
      </w:r>
      <w:r>
        <w:t xml:space="preserve">nt. </w:t>
      </w:r>
    </w:p>
    <w:p w14:paraId="55630C7F" w14:textId="0BB74702" w:rsidR="00143820" w:rsidRPr="00AB60F1" w:rsidRDefault="00143820" w:rsidP="00630DA0">
      <w:pPr>
        <w:pStyle w:val="DJCSbody"/>
        <w:ind w:left="720"/>
      </w:pPr>
      <w:r w:rsidRPr="00AB60F1">
        <w:t xml:space="preserve">A key feature of the </w:t>
      </w:r>
      <w:r w:rsidRPr="00703834">
        <w:rPr>
          <w:i/>
          <w:iCs/>
        </w:rPr>
        <w:t>Pricing for Value Guide</w:t>
      </w:r>
      <w:r w:rsidRPr="00AB60F1">
        <w:t xml:space="preserve"> is a principles-based approach to identify</w:t>
      </w:r>
      <w:r w:rsidR="009003DA">
        <w:t>ing</w:t>
      </w:r>
      <w:r w:rsidRPr="00AB60F1">
        <w:t xml:space="preserve"> opportunities to set government charges in better ways. While the previous </w:t>
      </w:r>
      <w:r w:rsidRPr="001761B8">
        <w:rPr>
          <w:i/>
        </w:rPr>
        <w:t>Cost Recovery Guidelines</w:t>
      </w:r>
      <w:r w:rsidRPr="00AB60F1">
        <w:t xml:space="preserve"> focused on cost considerations, the Pricing Principles are broader, identifying a range of potential benefits. Cost recovery is one principle among a broader range of principles relevant to </w:t>
      </w:r>
      <w:r w:rsidRPr="00AB60F1">
        <w:lastRenderedPageBreak/>
        <w:t xml:space="preserve">setting prices. Some principles support setting prices below cost recovery, while </w:t>
      </w:r>
      <w:r w:rsidR="0091547A">
        <w:t>other</w:t>
      </w:r>
      <w:r w:rsidR="0091547A" w:rsidRPr="00AB60F1">
        <w:t xml:space="preserve"> </w:t>
      </w:r>
      <w:r w:rsidRPr="00AB60F1">
        <w:t>principles support setting prices above cost recovery.</w:t>
      </w:r>
    </w:p>
    <w:p w14:paraId="53E35042" w14:textId="112BC7AF" w:rsidR="00143820" w:rsidRPr="00D61A64" w:rsidRDefault="00143820" w:rsidP="00630DA0">
      <w:pPr>
        <w:pStyle w:val="DJCSbody"/>
        <w:ind w:left="720"/>
      </w:pPr>
      <w:r w:rsidRPr="00D61A64">
        <w:t xml:space="preserve">The </w:t>
      </w:r>
      <w:r w:rsidR="006B0EF7">
        <w:t>Regulations</w:t>
      </w:r>
      <w:r w:rsidRPr="00D61A64">
        <w:t xml:space="preserve"> were based on the </w:t>
      </w:r>
      <w:r w:rsidRPr="001761B8">
        <w:rPr>
          <w:i/>
        </w:rPr>
        <w:t>Cost Recovery Guidelines</w:t>
      </w:r>
      <w:r w:rsidR="00FA6FDD">
        <w:t xml:space="preserve">, </w:t>
      </w:r>
      <w:r w:rsidRPr="00D61A64">
        <w:t xml:space="preserve">so are not consistent with the </w:t>
      </w:r>
      <w:r w:rsidRPr="001761B8">
        <w:rPr>
          <w:i/>
        </w:rPr>
        <w:t>Pricing for Value Guide</w:t>
      </w:r>
      <w:r w:rsidRPr="000378D0">
        <w:t xml:space="preserve"> and need</w:t>
      </w:r>
      <w:r w:rsidR="00771A96">
        <w:t xml:space="preserve"> to b</w:t>
      </w:r>
      <w:r w:rsidRPr="000378D0">
        <w:t xml:space="preserve">e updated for alignment. </w:t>
      </w:r>
      <w:r w:rsidR="007205B8">
        <w:t>N</w:t>
      </w:r>
      <w:r w:rsidRPr="000378D0">
        <w:t xml:space="preserve">ot </w:t>
      </w:r>
      <w:r w:rsidRPr="00D61A64">
        <w:t>all the Pricing Principles are relevant for the Regulations</w:t>
      </w:r>
      <w:r w:rsidR="00771A96">
        <w:t>; the</w:t>
      </w:r>
      <w:r w:rsidRPr="00D61A64">
        <w:t xml:space="preserve"> following </w:t>
      </w:r>
      <w:hyperlink w:anchor="_Objectives" w:history="1">
        <w:r w:rsidRPr="00A424D5">
          <w:rPr>
            <w:rStyle w:val="Hyperlink"/>
          </w:rPr>
          <w:t>Objectives</w:t>
        </w:r>
      </w:hyperlink>
      <w:r w:rsidRPr="00D61A64">
        <w:t xml:space="preserve"> section outlines the Pricing Principles </w:t>
      </w:r>
      <w:r w:rsidR="002C64AB">
        <w:t xml:space="preserve">that are relevant when considering any </w:t>
      </w:r>
      <w:r w:rsidR="00E7307A">
        <w:t xml:space="preserve">changes </w:t>
      </w:r>
      <w:r w:rsidRPr="00D61A64">
        <w:t>to VCAT fees.</w:t>
      </w:r>
    </w:p>
    <w:p w14:paraId="49CA8793" w14:textId="579841A4" w:rsidR="00A00994" w:rsidRPr="00BF4FBD" w:rsidRDefault="00A3622A" w:rsidP="003E49E6">
      <w:pPr>
        <w:pStyle w:val="Heading2"/>
      </w:pPr>
      <w:bookmarkStart w:id="50" w:name="_Toc216179683"/>
      <w:r w:rsidRPr="00BF4FBD">
        <w:t xml:space="preserve">Financial </w:t>
      </w:r>
      <w:r w:rsidR="005F46B4">
        <w:t>s</w:t>
      </w:r>
      <w:r w:rsidRPr="00BF4FBD">
        <w:t>ustainability</w:t>
      </w:r>
      <w:bookmarkEnd w:id="50"/>
    </w:p>
    <w:p w14:paraId="01340A89" w14:textId="58B24607" w:rsidR="00BC56AD" w:rsidRPr="00BC56AD" w:rsidRDefault="00BC56AD" w:rsidP="00767CF3">
      <w:pPr>
        <w:pStyle w:val="Heading3"/>
      </w:pPr>
      <w:bookmarkStart w:id="51" w:name="_Toc216179684"/>
      <w:r>
        <w:t xml:space="preserve">Cost </w:t>
      </w:r>
      <w:r w:rsidR="00FA6FDD">
        <w:t>r</w:t>
      </w:r>
      <w:r>
        <w:t xml:space="preserve">ecovery from </w:t>
      </w:r>
      <w:r w:rsidR="00FA6FDD">
        <w:t>f</w:t>
      </w:r>
      <w:r>
        <w:t xml:space="preserve">ee </w:t>
      </w:r>
      <w:r w:rsidR="00FA6FDD">
        <w:t>r</w:t>
      </w:r>
      <w:r>
        <w:t>evenue</w:t>
      </w:r>
      <w:bookmarkEnd w:id="51"/>
    </w:p>
    <w:p w14:paraId="7AEB3C20" w14:textId="2660CBC5" w:rsidR="00651186" w:rsidRDefault="000B34CF" w:rsidP="00630DA0">
      <w:pPr>
        <w:pStyle w:val="DJCSbody"/>
        <w:ind w:left="720"/>
      </w:pPr>
      <w:r w:rsidRPr="00772B36">
        <w:t>C</w:t>
      </w:r>
      <w:r w:rsidR="00365BD3" w:rsidRPr="00772B36">
        <w:t xml:space="preserve">urrent fee revenue </w:t>
      </w:r>
      <w:r w:rsidR="002C64AB">
        <w:t xml:space="preserve">at VCAT </w:t>
      </w:r>
      <w:r w:rsidR="002659BB" w:rsidRPr="00772B36">
        <w:t xml:space="preserve">dropped to </w:t>
      </w:r>
      <w:r w:rsidR="00790A57" w:rsidRPr="00772B36">
        <w:t>$6.</w:t>
      </w:r>
      <w:r w:rsidR="00966456" w:rsidRPr="00772B36">
        <w:t>5</w:t>
      </w:r>
      <w:r w:rsidR="00790A57" w:rsidRPr="00772B36">
        <w:t xml:space="preserve"> million in</w:t>
      </w:r>
      <w:r w:rsidR="00BD434D" w:rsidRPr="00772B36">
        <w:t xml:space="preserve"> 202</w:t>
      </w:r>
      <w:r w:rsidR="00790A57" w:rsidRPr="00772B36">
        <w:t>4</w:t>
      </w:r>
      <w:r w:rsidR="00BD434D" w:rsidRPr="00772B36">
        <w:t>-2</w:t>
      </w:r>
      <w:r w:rsidR="00790A57" w:rsidRPr="00772B36">
        <w:t>5</w:t>
      </w:r>
      <w:r w:rsidR="00966456" w:rsidRPr="00772B36">
        <w:t>, a decrease from $8.</w:t>
      </w:r>
      <w:r w:rsidR="00966456" w:rsidRPr="00772B36" w:rsidDel="002C64AB">
        <w:t>3</w:t>
      </w:r>
      <w:r w:rsidR="002C64AB">
        <w:t> </w:t>
      </w:r>
      <w:r w:rsidR="00966456" w:rsidRPr="00772B36">
        <w:t>million in 2019-20</w:t>
      </w:r>
      <w:r w:rsidR="00BD434D" w:rsidRPr="00772B36">
        <w:t xml:space="preserve">. </w:t>
      </w:r>
      <w:r w:rsidR="0031200F" w:rsidRPr="00772B36">
        <w:t>Alongside rising operating costs, this has reduced the total cost recovery le</w:t>
      </w:r>
      <w:r w:rsidR="00275186" w:rsidRPr="00772B36">
        <w:t xml:space="preserve">vel to approximately </w:t>
      </w:r>
      <w:r w:rsidR="00EE7BB0">
        <w:t>6</w:t>
      </w:r>
      <w:r w:rsidR="00275186" w:rsidRPr="00772B36">
        <w:t>%</w:t>
      </w:r>
      <w:r w:rsidR="002C64AB">
        <w:t>,</w:t>
      </w:r>
      <w:r w:rsidR="00275186" w:rsidRPr="00772B36">
        <w:t xml:space="preserve"> compared to 13% in 2019-20. </w:t>
      </w:r>
      <w:r w:rsidR="00592E91" w:rsidRPr="00772B36">
        <w:t>C</w:t>
      </w:r>
      <w:r w:rsidR="00856369" w:rsidRPr="00772B36">
        <w:t xml:space="preserve">hanges </w:t>
      </w:r>
      <w:r w:rsidR="00235D53" w:rsidRPr="00772B36">
        <w:t xml:space="preserve">in demand </w:t>
      </w:r>
      <w:r w:rsidR="000F26B1" w:rsidRPr="00772B36">
        <w:t xml:space="preserve">and </w:t>
      </w:r>
      <w:r w:rsidR="0057342D" w:rsidRPr="00772B36">
        <w:t>operational practices</w:t>
      </w:r>
      <w:r w:rsidR="008474AF" w:rsidRPr="00772B36">
        <w:rPr>
          <w:rStyle w:val="FootnoteReference"/>
        </w:rPr>
        <w:footnoteReference w:id="13"/>
      </w:r>
      <w:r w:rsidR="0057342D" w:rsidRPr="00772B36">
        <w:t xml:space="preserve"> </w:t>
      </w:r>
      <w:r w:rsidR="008C3CBE" w:rsidRPr="00772B36">
        <w:t xml:space="preserve">also </w:t>
      </w:r>
      <w:r w:rsidR="00592E91" w:rsidRPr="00772B36">
        <w:t xml:space="preserve">account for some of </w:t>
      </w:r>
      <w:r w:rsidR="003625A9" w:rsidRPr="00772B36">
        <w:t>the decrease in cost recovery</w:t>
      </w:r>
      <w:r w:rsidR="0027050B" w:rsidRPr="00772B36">
        <w:t>.</w:t>
      </w:r>
    </w:p>
    <w:p w14:paraId="6D04D2B4" w14:textId="6BC6E7F3" w:rsidR="00002D25" w:rsidRPr="00002D25" w:rsidRDefault="00237F28" w:rsidP="00630DA0">
      <w:pPr>
        <w:pStyle w:val="DJCSbody"/>
        <w:ind w:left="720"/>
      </w:pPr>
      <w:r>
        <w:t xml:space="preserve">VCAT </w:t>
      </w:r>
      <w:r w:rsidR="002D3639">
        <w:t xml:space="preserve">relies on </w:t>
      </w:r>
      <w:r w:rsidR="002F6AB0">
        <w:t>revenue generated from fees</w:t>
      </w:r>
      <w:r w:rsidR="00F26503" w:rsidRPr="00F26503">
        <w:t xml:space="preserve"> </w:t>
      </w:r>
      <w:r w:rsidR="00F26503">
        <w:t xml:space="preserve">to supplement </w:t>
      </w:r>
      <w:r w:rsidR="00F26503" w:rsidRPr="00F26503">
        <w:t>funding for its operations</w:t>
      </w:r>
      <w:r w:rsidR="00852558">
        <w:t>.</w:t>
      </w:r>
      <w:r w:rsidR="00115926">
        <w:t xml:space="preserve"> </w:t>
      </w:r>
      <w:r w:rsidR="00332946">
        <w:t>Reduced</w:t>
      </w:r>
      <w:r w:rsidR="00115926">
        <w:t xml:space="preserve"> </w:t>
      </w:r>
      <w:r w:rsidR="000C13F1">
        <w:t xml:space="preserve">fee revenue </w:t>
      </w:r>
      <w:r w:rsidR="00122778">
        <w:t xml:space="preserve">without </w:t>
      </w:r>
      <w:r w:rsidR="000C13F1">
        <w:t>other sources of government funding</w:t>
      </w:r>
      <w:r w:rsidR="00E83D23">
        <w:t xml:space="preserve"> places significant strain on V</w:t>
      </w:r>
      <w:r w:rsidR="00DC74C7">
        <w:t xml:space="preserve">CAT to </w:t>
      </w:r>
      <w:r w:rsidR="000C13F1">
        <w:t>maintain its service</w:t>
      </w:r>
      <w:r w:rsidR="005623FB">
        <w:t>s</w:t>
      </w:r>
      <w:r w:rsidR="00F25DE2">
        <w:t xml:space="preserve">. </w:t>
      </w:r>
      <w:r w:rsidR="001747B7">
        <w:t>Raising</w:t>
      </w:r>
      <w:r w:rsidR="00F25DE2">
        <w:t xml:space="preserve"> the level of cost recovery through the</w:t>
      </w:r>
      <w:r w:rsidR="00EB4E47">
        <w:t xml:space="preserve"> proposed Regulations</w:t>
      </w:r>
      <w:r w:rsidR="00F25DE2">
        <w:t xml:space="preserve"> </w:t>
      </w:r>
      <w:r w:rsidR="0059608D">
        <w:t xml:space="preserve">would </w:t>
      </w:r>
      <w:r w:rsidR="00D33440">
        <w:t>mean</w:t>
      </w:r>
      <w:r w:rsidR="0059608D">
        <w:t xml:space="preserve"> </w:t>
      </w:r>
      <w:r w:rsidR="00E0387B">
        <w:t>that VCAT</w:t>
      </w:r>
      <w:r w:rsidR="005F6103">
        <w:t xml:space="preserve"> users </w:t>
      </w:r>
      <w:r w:rsidR="00F14DEF">
        <w:t xml:space="preserve">would </w:t>
      </w:r>
      <w:r w:rsidR="005F6103">
        <w:t xml:space="preserve">contribute </w:t>
      </w:r>
      <w:r w:rsidR="00947327">
        <w:t xml:space="preserve">a greater amount </w:t>
      </w:r>
      <w:r w:rsidR="00C42509">
        <w:t xml:space="preserve">to the services that they </w:t>
      </w:r>
      <w:r w:rsidR="00EB726B">
        <w:t>use</w:t>
      </w:r>
      <w:r w:rsidR="00532481">
        <w:t xml:space="preserve"> </w:t>
      </w:r>
      <w:r w:rsidR="00A633D5">
        <w:t>without taking government funding from other critical public services.</w:t>
      </w:r>
    </w:p>
    <w:p w14:paraId="673C1D86" w14:textId="5CEE02B5" w:rsidR="00B42099" w:rsidRPr="00B42099" w:rsidRDefault="00B42099" w:rsidP="006E6BC9">
      <w:pPr>
        <w:pStyle w:val="DJCSbody"/>
        <w:ind w:left="0"/>
        <w:rPr>
          <w:i/>
          <w:iCs/>
        </w:rPr>
      </w:pPr>
      <w:r>
        <w:rPr>
          <w:i/>
          <w:iCs/>
        </w:rPr>
        <w:t>Table</w:t>
      </w:r>
      <w:r w:rsidR="006F36D9">
        <w:rPr>
          <w:i/>
          <w:iCs/>
        </w:rPr>
        <w:t xml:space="preserve"> 7</w:t>
      </w:r>
      <w:r>
        <w:rPr>
          <w:i/>
          <w:iCs/>
        </w:rPr>
        <w:t>: VCAT funding</w:t>
      </w:r>
    </w:p>
    <w:tbl>
      <w:tblPr>
        <w:tblW w:w="5000" w:type="pct"/>
        <w:jc w:val="center"/>
        <w:tblLook w:val="04A0" w:firstRow="1" w:lastRow="0" w:firstColumn="1" w:lastColumn="0" w:noHBand="0" w:noVBand="1"/>
      </w:tblPr>
      <w:tblGrid>
        <w:gridCol w:w="3516"/>
        <w:gridCol w:w="1134"/>
        <w:gridCol w:w="1138"/>
        <w:gridCol w:w="1138"/>
        <w:gridCol w:w="1138"/>
        <w:gridCol w:w="1138"/>
        <w:gridCol w:w="1126"/>
      </w:tblGrid>
      <w:tr w:rsidR="00476D34" w:rsidRPr="0029277C" w14:paraId="7ADA7F78" w14:textId="77777777" w:rsidTr="00F03B74">
        <w:trPr>
          <w:trHeight w:val="877"/>
          <w:jc w:val="center"/>
        </w:trPr>
        <w:tc>
          <w:tcPr>
            <w:tcW w:w="1702" w:type="pct"/>
            <w:tcBorders>
              <w:top w:val="single" w:sz="8" w:space="0" w:color="16145F" w:themeColor="accent3"/>
              <w:left w:val="single" w:sz="8" w:space="0" w:color="16145F" w:themeColor="accent3"/>
              <w:bottom w:val="nil"/>
              <w:right w:val="single" w:sz="8" w:space="0" w:color="FFFFFF" w:themeColor="background1"/>
            </w:tcBorders>
            <w:shd w:val="clear" w:color="auto" w:fill="16145F" w:themeFill="accent3"/>
            <w:vAlign w:val="center"/>
            <w:hideMark/>
          </w:tcPr>
          <w:p w14:paraId="2A2D475F" w14:textId="25061CF3" w:rsidR="00476D34" w:rsidRPr="00B52DFB" w:rsidRDefault="00476D34">
            <w:pPr>
              <w:rPr>
                <w:rFonts w:asciiTheme="majorHAnsi" w:hAnsiTheme="majorHAnsi" w:cstheme="majorHAnsi"/>
                <w:b/>
                <w:bCs/>
                <w:color w:val="FFFFFF"/>
                <w:sz w:val="22"/>
                <w:szCs w:val="22"/>
                <w:lang w:eastAsia="ko-KR"/>
              </w:rPr>
            </w:pPr>
            <w:r w:rsidRPr="00B52DFB">
              <w:rPr>
                <w:rFonts w:asciiTheme="majorHAnsi" w:hAnsiTheme="majorHAnsi" w:cstheme="majorHAnsi"/>
                <w:b/>
                <w:bCs/>
                <w:sz w:val="22"/>
                <w:szCs w:val="22"/>
                <w:lang w:eastAsia="ko-KR"/>
              </w:rPr>
              <w:t>VCAT funding ($ million)</w:t>
            </w:r>
          </w:p>
        </w:tc>
        <w:tc>
          <w:tcPr>
            <w:tcW w:w="549" w:type="pct"/>
            <w:tcBorders>
              <w:top w:val="single" w:sz="8" w:space="0" w:color="16145F" w:themeColor="accent3"/>
              <w:left w:val="nil"/>
              <w:bottom w:val="nil"/>
              <w:right w:val="single" w:sz="8" w:space="0" w:color="FFFFFF" w:themeColor="background1"/>
            </w:tcBorders>
            <w:shd w:val="clear" w:color="auto" w:fill="16145F" w:themeFill="accent3"/>
            <w:vAlign w:val="center"/>
            <w:hideMark/>
          </w:tcPr>
          <w:p w14:paraId="2617DC08" w14:textId="77777777" w:rsidR="00476D34" w:rsidRPr="00B52DFB" w:rsidRDefault="00476D34">
            <w:pPr>
              <w:rPr>
                <w:rFonts w:asciiTheme="majorHAnsi" w:hAnsiTheme="majorHAnsi" w:cstheme="majorHAnsi"/>
                <w:b/>
                <w:bCs/>
                <w:color w:val="FFFFFF"/>
                <w:sz w:val="22"/>
                <w:szCs w:val="22"/>
                <w:lang w:eastAsia="ko-KR"/>
              </w:rPr>
            </w:pPr>
            <w:r w:rsidRPr="00B52DFB">
              <w:rPr>
                <w:rFonts w:asciiTheme="majorHAnsi" w:hAnsiTheme="majorHAnsi" w:cstheme="majorHAnsi"/>
                <w:b/>
                <w:bCs/>
                <w:sz w:val="22"/>
                <w:szCs w:val="22"/>
                <w:lang w:eastAsia="ko-KR"/>
              </w:rPr>
              <w:t>2019-20</w:t>
            </w:r>
          </w:p>
        </w:tc>
        <w:tc>
          <w:tcPr>
            <w:tcW w:w="551" w:type="pct"/>
            <w:tcBorders>
              <w:top w:val="single" w:sz="8" w:space="0" w:color="16145F" w:themeColor="accent3"/>
              <w:left w:val="nil"/>
              <w:bottom w:val="nil"/>
              <w:right w:val="single" w:sz="8" w:space="0" w:color="FFFFFF" w:themeColor="background1"/>
            </w:tcBorders>
            <w:shd w:val="clear" w:color="auto" w:fill="16145F" w:themeFill="accent3"/>
            <w:vAlign w:val="center"/>
            <w:hideMark/>
          </w:tcPr>
          <w:p w14:paraId="7C60F48C" w14:textId="77777777" w:rsidR="00476D34" w:rsidRPr="00B52DFB" w:rsidRDefault="00476D34">
            <w:pPr>
              <w:rPr>
                <w:rFonts w:asciiTheme="majorHAnsi" w:hAnsiTheme="majorHAnsi" w:cstheme="majorHAnsi"/>
                <w:b/>
                <w:bCs/>
                <w:color w:val="FFFFFF"/>
                <w:sz w:val="22"/>
                <w:szCs w:val="22"/>
                <w:lang w:eastAsia="ko-KR"/>
              </w:rPr>
            </w:pPr>
            <w:r w:rsidRPr="00B52DFB">
              <w:rPr>
                <w:rFonts w:asciiTheme="majorHAnsi" w:hAnsiTheme="majorHAnsi" w:cstheme="majorHAnsi"/>
                <w:b/>
                <w:bCs/>
                <w:sz w:val="22"/>
                <w:szCs w:val="22"/>
                <w:lang w:eastAsia="ko-KR"/>
              </w:rPr>
              <w:t>2020-21</w:t>
            </w:r>
          </w:p>
        </w:tc>
        <w:tc>
          <w:tcPr>
            <w:tcW w:w="551" w:type="pct"/>
            <w:tcBorders>
              <w:top w:val="single" w:sz="8" w:space="0" w:color="16145F" w:themeColor="accent3"/>
              <w:left w:val="nil"/>
              <w:bottom w:val="nil"/>
              <w:right w:val="single" w:sz="8" w:space="0" w:color="FFFFFF" w:themeColor="background1"/>
            </w:tcBorders>
            <w:shd w:val="clear" w:color="auto" w:fill="16145F" w:themeFill="accent3"/>
            <w:vAlign w:val="center"/>
            <w:hideMark/>
          </w:tcPr>
          <w:p w14:paraId="2E92904D" w14:textId="77777777" w:rsidR="00476D34" w:rsidRPr="00B52DFB" w:rsidRDefault="00476D34">
            <w:pPr>
              <w:rPr>
                <w:rFonts w:asciiTheme="majorHAnsi" w:hAnsiTheme="majorHAnsi" w:cstheme="majorHAnsi"/>
                <w:b/>
                <w:bCs/>
                <w:color w:val="FFFFFF"/>
                <w:sz w:val="22"/>
                <w:szCs w:val="22"/>
                <w:lang w:eastAsia="ko-KR"/>
              </w:rPr>
            </w:pPr>
            <w:r w:rsidRPr="00B52DFB">
              <w:rPr>
                <w:rFonts w:asciiTheme="majorHAnsi" w:hAnsiTheme="majorHAnsi" w:cstheme="majorHAnsi"/>
                <w:b/>
                <w:bCs/>
                <w:sz w:val="22"/>
                <w:szCs w:val="22"/>
                <w:lang w:eastAsia="ko-KR"/>
              </w:rPr>
              <w:t>2021-22</w:t>
            </w:r>
          </w:p>
        </w:tc>
        <w:tc>
          <w:tcPr>
            <w:tcW w:w="551" w:type="pct"/>
            <w:tcBorders>
              <w:top w:val="single" w:sz="8" w:space="0" w:color="16145F" w:themeColor="accent3"/>
              <w:left w:val="nil"/>
              <w:bottom w:val="nil"/>
              <w:right w:val="single" w:sz="8" w:space="0" w:color="FFFFFF" w:themeColor="background1"/>
            </w:tcBorders>
            <w:shd w:val="clear" w:color="auto" w:fill="16145F" w:themeFill="accent3"/>
            <w:vAlign w:val="center"/>
            <w:hideMark/>
          </w:tcPr>
          <w:p w14:paraId="47B6B41C" w14:textId="77777777" w:rsidR="00476D34" w:rsidRPr="00B52DFB" w:rsidRDefault="00476D34">
            <w:pPr>
              <w:rPr>
                <w:rFonts w:asciiTheme="majorHAnsi" w:hAnsiTheme="majorHAnsi" w:cstheme="majorHAnsi"/>
                <w:b/>
                <w:bCs/>
                <w:color w:val="FFFFFF"/>
                <w:sz w:val="22"/>
                <w:szCs w:val="22"/>
                <w:lang w:eastAsia="ko-KR"/>
              </w:rPr>
            </w:pPr>
            <w:r w:rsidRPr="00B52DFB">
              <w:rPr>
                <w:rFonts w:asciiTheme="majorHAnsi" w:hAnsiTheme="majorHAnsi" w:cstheme="majorHAnsi"/>
                <w:b/>
                <w:bCs/>
                <w:sz w:val="22"/>
                <w:szCs w:val="22"/>
                <w:lang w:eastAsia="ko-KR"/>
              </w:rPr>
              <w:t>2022-23</w:t>
            </w:r>
          </w:p>
        </w:tc>
        <w:tc>
          <w:tcPr>
            <w:tcW w:w="551" w:type="pct"/>
            <w:tcBorders>
              <w:top w:val="single" w:sz="8" w:space="0" w:color="16145F" w:themeColor="accent3"/>
              <w:left w:val="nil"/>
              <w:bottom w:val="nil"/>
              <w:right w:val="single" w:sz="8" w:space="0" w:color="16145F" w:themeColor="accent3"/>
            </w:tcBorders>
            <w:shd w:val="clear" w:color="auto" w:fill="16145F" w:themeFill="accent3"/>
            <w:vAlign w:val="center"/>
            <w:hideMark/>
          </w:tcPr>
          <w:p w14:paraId="472883B8" w14:textId="77777777" w:rsidR="00476D34" w:rsidRPr="00B52DFB" w:rsidRDefault="00476D34">
            <w:pPr>
              <w:rPr>
                <w:rFonts w:asciiTheme="majorHAnsi" w:hAnsiTheme="majorHAnsi" w:cstheme="majorHAnsi"/>
                <w:b/>
                <w:bCs/>
                <w:color w:val="FFFFFF"/>
                <w:sz w:val="22"/>
                <w:szCs w:val="22"/>
                <w:lang w:eastAsia="ko-KR"/>
              </w:rPr>
            </w:pPr>
            <w:r w:rsidRPr="00B52DFB">
              <w:rPr>
                <w:rFonts w:asciiTheme="majorHAnsi" w:hAnsiTheme="majorHAnsi" w:cstheme="majorHAnsi"/>
                <w:b/>
                <w:bCs/>
                <w:sz w:val="22"/>
                <w:szCs w:val="22"/>
                <w:lang w:eastAsia="ko-KR"/>
              </w:rPr>
              <w:t>2023-24</w:t>
            </w:r>
          </w:p>
        </w:tc>
        <w:tc>
          <w:tcPr>
            <w:tcW w:w="546" w:type="pct"/>
            <w:tcBorders>
              <w:top w:val="single" w:sz="8" w:space="0" w:color="16145F" w:themeColor="accent3"/>
              <w:left w:val="nil"/>
              <w:bottom w:val="nil"/>
              <w:right w:val="single" w:sz="8" w:space="0" w:color="16145F" w:themeColor="accent3"/>
            </w:tcBorders>
            <w:shd w:val="clear" w:color="auto" w:fill="16145F" w:themeFill="accent3"/>
            <w:vAlign w:val="center"/>
          </w:tcPr>
          <w:p w14:paraId="7851F2BF" w14:textId="77777777" w:rsidR="00476D34" w:rsidRPr="00B52DFB" w:rsidRDefault="00476D34">
            <w:pPr>
              <w:jc w:val="center"/>
              <w:rPr>
                <w:rFonts w:asciiTheme="majorHAnsi" w:hAnsiTheme="majorHAnsi" w:cstheme="majorHAnsi"/>
                <w:b/>
                <w:bCs/>
                <w:sz w:val="22"/>
                <w:szCs w:val="22"/>
                <w:lang w:eastAsia="ko-KR"/>
              </w:rPr>
            </w:pPr>
            <w:r w:rsidRPr="00B52DFB">
              <w:rPr>
                <w:rFonts w:asciiTheme="majorHAnsi" w:hAnsiTheme="majorHAnsi" w:cstheme="majorHAnsi"/>
                <w:b/>
                <w:bCs/>
                <w:sz w:val="22"/>
                <w:szCs w:val="22"/>
                <w:lang w:eastAsia="ko-KR"/>
              </w:rPr>
              <w:t>2024-25</w:t>
            </w:r>
          </w:p>
        </w:tc>
      </w:tr>
      <w:tr w:rsidR="00476D34" w:rsidRPr="0029277C" w14:paraId="562945D6" w14:textId="77777777" w:rsidTr="00F03B74">
        <w:trPr>
          <w:trHeight w:val="606"/>
          <w:jc w:val="center"/>
        </w:trPr>
        <w:tc>
          <w:tcPr>
            <w:tcW w:w="1702" w:type="pct"/>
            <w:tcBorders>
              <w:top w:val="nil"/>
              <w:left w:val="single" w:sz="4" w:space="0" w:color="auto"/>
              <w:bottom w:val="single" w:sz="4" w:space="0" w:color="auto"/>
              <w:right w:val="single" w:sz="4" w:space="0" w:color="auto"/>
            </w:tcBorders>
            <w:vAlign w:val="center"/>
            <w:hideMark/>
          </w:tcPr>
          <w:p w14:paraId="2B5928FD" w14:textId="411F64F9" w:rsidR="00476D34" w:rsidRPr="0029277C" w:rsidRDefault="00476D34">
            <w:pP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 xml:space="preserve">Fees </w:t>
            </w:r>
            <w:r w:rsidR="00B260B1">
              <w:rPr>
                <w:rFonts w:asciiTheme="majorHAnsi" w:hAnsiTheme="majorHAnsi" w:cstheme="majorHAnsi"/>
                <w:color w:val="000000"/>
                <w:sz w:val="22"/>
                <w:szCs w:val="22"/>
                <w:lang w:eastAsia="ko-KR"/>
              </w:rPr>
              <w:t>r</w:t>
            </w:r>
            <w:r w:rsidR="008E60A6" w:rsidRPr="0029277C">
              <w:rPr>
                <w:rFonts w:asciiTheme="majorHAnsi" w:hAnsiTheme="majorHAnsi" w:cstheme="majorHAnsi"/>
                <w:color w:val="000000"/>
                <w:sz w:val="22"/>
                <w:szCs w:val="22"/>
                <w:lang w:eastAsia="ko-KR"/>
              </w:rPr>
              <w:t xml:space="preserve">etained </w:t>
            </w:r>
            <w:r w:rsidR="00B260B1">
              <w:rPr>
                <w:rFonts w:asciiTheme="majorHAnsi" w:hAnsiTheme="majorHAnsi" w:cstheme="majorHAnsi"/>
                <w:color w:val="000000"/>
                <w:sz w:val="22"/>
                <w:szCs w:val="22"/>
                <w:lang w:eastAsia="ko-KR"/>
              </w:rPr>
              <w:t>a</w:t>
            </w:r>
            <w:r w:rsidR="008E60A6" w:rsidRPr="0029277C">
              <w:rPr>
                <w:rFonts w:asciiTheme="majorHAnsi" w:hAnsiTheme="majorHAnsi" w:cstheme="majorHAnsi"/>
                <w:color w:val="000000"/>
                <w:sz w:val="22"/>
                <w:szCs w:val="22"/>
                <w:lang w:eastAsia="ko-KR"/>
              </w:rPr>
              <w:t xml:space="preserve">s </w:t>
            </w:r>
            <w:r w:rsidR="00B260B1">
              <w:rPr>
                <w:rFonts w:asciiTheme="majorHAnsi" w:hAnsiTheme="majorHAnsi" w:cstheme="majorHAnsi"/>
                <w:color w:val="000000"/>
                <w:sz w:val="22"/>
                <w:szCs w:val="22"/>
                <w:lang w:eastAsia="ko-KR"/>
              </w:rPr>
              <w:t>a</w:t>
            </w:r>
            <w:r w:rsidR="008E60A6" w:rsidRPr="0029277C">
              <w:rPr>
                <w:rFonts w:asciiTheme="majorHAnsi" w:hAnsiTheme="majorHAnsi" w:cstheme="majorHAnsi"/>
                <w:color w:val="000000"/>
                <w:sz w:val="22"/>
                <w:szCs w:val="22"/>
                <w:lang w:eastAsia="ko-KR"/>
              </w:rPr>
              <w:t>ppropriations</w:t>
            </w:r>
            <w:r w:rsidR="00F04D79">
              <w:rPr>
                <w:rStyle w:val="FootnoteReference"/>
                <w:rFonts w:asciiTheme="majorHAnsi" w:hAnsiTheme="majorHAnsi" w:cstheme="majorHAnsi"/>
                <w:color w:val="000000"/>
                <w:sz w:val="22"/>
                <w:szCs w:val="22"/>
                <w:lang w:eastAsia="ko-KR"/>
              </w:rPr>
              <w:footnoteReference w:id="14"/>
            </w:r>
          </w:p>
        </w:tc>
        <w:tc>
          <w:tcPr>
            <w:tcW w:w="549" w:type="pct"/>
            <w:tcBorders>
              <w:top w:val="nil"/>
              <w:left w:val="nil"/>
              <w:bottom w:val="single" w:sz="4" w:space="0" w:color="auto"/>
              <w:right w:val="single" w:sz="4" w:space="0" w:color="auto"/>
            </w:tcBorders>
            <w:vAlign w:val="center"/>
            <w:hideMark/>
          </w:tcPr>
          <w:p w14:paraId="16863845"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8.335</w:t>
            </w:r>
          </w:p>
        </w:tc>
        <w:tc>
          <w:tcPr>
            <w:tcW w:w="551" w:type="pct"/>
            <w:tcBorders>
              <w:top w:val="nil"/>
              <w:left w:val="nil"/>
              <w:bottom w:val="single" w:sz="4" w:space="0" w:color="auto"/>
              <w:right w:val="single" w:sz="4" w:space="0" w:color="auto"/>
            </w:tcBorders>
            <w:vAlign w:val="center"/>
            <w:hideMark/>
          </w:tcPr>
          <w:p w14:paraId="3629780C"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7.889</w:t>
            </w:r>
          </w:p>
        </w:tc>
        <w:tc>
          <w:tcPr>
            <w:tcW w:w="551" w:type="pct"/>
            <w:tcBorders>
              <w:top w:val="nil"/>
              <w:left w:val="nil"/>
              <w:bottom w:val="single" w:sz="4" w:space="0" w:color="auto"/>
              <w:right w:val="single" w:sz="4" w:space="0" w:color="auto"/>
            </w:tcBorders>
            <w:vAlign w:val="center"/>
            <w:hideMark/>
          </w:tcPr>
          <w:p w14:paraId="6FEF3B0C"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8.021</w:t>
            </w:r>
          </w:p>
        </w:tc>
        <w:tc>
          <w:tcPr>
            <w:tcW w:w="551" w:type="pct"/>
            <w:tcBorders>
              <w:top w:val="nil"/>
              <w:left w:val="nil"/>
              <w:bottom w:val="single" w:sz="4" w:space="0" w:color="auto"/>
              <w:right w:val="single" w:sz="4" w:space="0" w:color="auto"/>
            </w:tcBorders>
            <w:vAlign w:val="center"/>
            <w:hideMark/>
          </w:tcPr>
          <w:p w14:paraId="47B941A1"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7.961</w:t>
            </w:r>
          </w:p>
        </w:tc>
        <w:tc>
          <w:tcPr>
            <w:tcW w:w="551" w:type="pct"/>
            <w:tcBorders>
              <w:top w:val="nil"/>
              <w:left w:val="nil"/>
              <w:bottom w:val="single" w:sz="4" w:space="0" w:color="auto"/>
              <w:right w:val="single" w:sz="4" w:space="0" w:color="auto"/>
            </w:tcBorders>
            <w:vAlign w:val="center"/>
            <w:hideMark/>
          </w:tcPr>
          <w:p w14:paraId="2917AA83"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7.008</w:t>
            </w:r>
          </w:p>
        </w:tc>
        <w:tc>
          <w:tcPr>
            <w:tcW w:w="546" w:type="pct"/>
            <w:tcBorders>
              <w:top w:val="nil"/>
              <w:left w:val="nil"/>
              <w:bottom w:val="single" w:sz="4" w:space="0" w:color="auto"/>
              <w:right w:val="single" w:sz="4" w:space="0" w:color="auto"/>
            </w:tcBorders>
            <w:vAlign w:val="center"/>
          </w:tcPr>
          <w:p w14:paraId="0BF52215" w14:textId="77777777" w:rsidR="00476D34" w:rsidRPr="0029277C" w:rsidRDefault="00476D34">
            <w:pPr>
              <w:jc w:val="center"/>
              <w:rPr>
                <w:rFonts w:asciiTheme="majorHAnsi" w:hAnsiTheme="majorHAnsi" w:cstheme="majorHAnsi"/>
                <w:color w:val="000000"/>
                <w:sz w:val="22"/>
                <w:szCs w:val="22"/>
                <w:lang w:eastAsia="ko-KR"/>
              </w:rPr>
            </w:pPr>
            <w:r>
              <w:rPr>
                <w:rFonts w:asciiTheme="majorHAnsi" w:hAnsiTheme="majorHAnsi" w:cstheme="majorHAnsi"/>
                <w:color w:val="000000"/>
                <w:sz w:val="22"/>
                <w:szCs w:val="22"/>
                <w:lang w:eastAsia="ko-KR"/>
              </w:rPr>
              <w:t>6.494</w:t>
            </w:r>
          </w:p>
        </w:tc>
      </w:tr>
      <w:tr w:rsidR="00476D34" w:rsidRPr="0029277C" w14:paraId="352E19DD" w14:textId="77777777" w:rsidTr="00F03B74">
        <w:trPr>
          <w:trHeight w:val="606"/>
          <w:jc w:val="center"/>
        </w:trPr>
        <w:tc>
          <w:tcPr>
            <w:tcW w:w="1702" w:type="pct"/>
            <w:tcBorders>
              <w:top w:val="nil"/>
              <w:left w:val="single" w:sz="4" w:space="0" w:color="auto"/>
              <w:bottom w:val="single" w:sz="4" w:space="0" w:color="auto"/>
              <w:right w:val="single" w:sz="4" w:space="0" w:color="auto"/>
            </w:tcBorders>
            <w:vAlign w:val="center"/>
            <w:hideMark/>
          </w:tcPr>
          <w:p w14:paraId="08690427" w14:textId="6C717AB2" w:rsidR="00476D34" w:rsidRPr="0029277C" w:rsidRDefault="00476D34">
            <w:pP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 xml:space="preserve">Total </w:t>
            </w:r>
            <w:r w:rsidR="00B260B1">
              <w:rPr>
                <w:rFonts w:asciiTheme="majorHAnsi" w:hAnsiTheme="majorHAnsi" w:cstheme="majorHAnsi"/>
                <w:color w:val="000000"/>
                <w:sz w:val="22"/>
                <w:szCs w:val="22"/>
                <w:lang w:eastAsia="ko-KR"/>
              </w:rPr>
              <w:t>e</w:t>
            </w:r>
            <w:r w:rsidRPr="0029277C">
              <w:rPr>
                <w:rFonts w:asciiTheme="majorHAnsi" w:hAnsiTheme="majorHAnsi" w:cstheme="majorHAnsi"/>
                <w:color w:val="000000"/>
                <w:sz w:val="22"/>
                <w:szCs w:val="22"/>
                <w:lang w:eastAsia="ko-KR"/>
              </w:rPr>
              <w:t>xpenditure</w:t>
            </w:r>
            <w:r w:rsidR="00070B50">
              <w:rPr>
                <w:rStyle w:val="FootnoteReference"/>
                <w:rFonts w:asciiTheme="majorHAnsi" w:hAnsiTheme="majorHAnsi" w:cstheme="majorHAnsi"/>
                <w:color w:val="000000"/>
                <w:sz w:val="22"/>
                <w:szCs w:val="22"/>
                <w:lang w:eastAsia="ko-KR"/>
              </w:rPr>
              <w:footnoteReference w:id="15"/>
            </w:r>
          </w:p>
        </w:tc>
        <w:tc>
          <w:tcPr>
            <w:tcW w:w="549" w:type="pct"/>
            <w:tcBorders>
              <w:top w:val="nil"/>
              <w:left w:val="nil"/>
              <w:bottom w:val="single" w:sz="4" w:space="0" w:color="auto"/>
              <w:right w:val="single" w:sz="4" w:space="0" w:color="auto"/>
            </w:tcBorders>
            <w:vAlign w:val="center"/>
            <w:hideMark/>
          </w:tcPr>
          <w:p w14:paraId="3FD104BD"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65.617</w:t>
            </w:r>
          </w:p>
        </w:tc>
        <w:tc>
          <w:tcPr>
            <w:tcW w:w="551" w:type="pct"/>
            <w:tcBorders>
              <w:top w:val="nil"/>
              <w:left w:val="nil"/>
              <w:bottom w:val="single" w:sz="4" w:space="0" w:color="auto"/>
              <w:right w:val="single" w:sz="4" w:space="0" w:color="auto"/>
            </w:tcBorders>
            <w:vAlign w:val="center"/>
            <w:hideMark/>
          </w:tcPr>
          <w:p w14:paraId="50AFA5D2"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71.533</w:t>
            </w:r>
          </w:p>
        </w:tc>
        <w:tc>
          <w:tcPr>
            <w:tcW w:w="551" w:type="pct"/>
            <w:tcBorders>
              <w:top w:val="nil"/>
              <w:left w:val="nil"/>
              <w:bottom w:val="single" w:sz="4" w:space="0" w:color="auto"/>
              <w:right w:val="single" w:sz="4" w:space="0" w:color="auto"/>
            </w:tcBorders>
            <w:vAlign w:val="center"/>
            <w:hideMark/>
          </w:tcPr>
          <w:p w14:paraId="7D7936FC" w14:textId="7483FD6D"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73.55</w:t>
            </w:r>
            <w:r w:rsidR="004A1E22">
              <w:rPr>
                <w:rFonts w:asciiTheme="majorHAnsi" w:hAnsiTheme="majorHAnsi" w:cstheme="majorHAnsi"/>
                <w:color w:val="000000"/>
                <w:sz w:val="22"/>
                <w:szCs w:val="22"/>
                <w:lang w:eastAsia="ko-KR"/>
              </w:rPr>
              <w:t>0</w:t>
            </w:r>
          </w:p>
        </w:tc>
        <w:tc>
          <w:tcPr>
            <w:tcW w:w="551" w:type="pct"/>
            <w:tcBorders>
              <w:top w:val="nil"/>
              <w:left w:val="nil"/>
              <w:bottom w:val="single" w:sz="4" w:space="0" w:color="auto"/>
              <w:right w:val="single" w:sz="4" w:space="0" w:color="auto"/>
            </w:tcBorders>
            <w:vAlign w:val="center"/>
            <w:hideMark/>
          </w:tcPr>
          <w:p w14:paraId="2E3F6F9D"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79.026</w:t>
            </w:r>
          </w:p>
        </w:tc>
        <w:tc>
          <w:tcPr>
            <w:tcW w:w="551" w:type="pct"/>
            <w:tcBorders>
              <w:top w:val="nil"/>
              <w:left w:val="nil"/>
              <w:bottom w:val="single" w:sz="4" w:space="0" w:color="auto"/>
              <w:right w:val="single" w:sz="4" w:space="0" w:color="auto"/>
            </w:tcBorders>
            <w:vAlign w:val="center"/>
            <w:hideMark/>
          </w:tcPr>
          <w:p w14:paraId="52A99C7F"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85.341</w:t>
            </w:r>
          </w:p>
        </w:tc>
        <w:tc>
          <w:tcPr>
            <w:tcW w:w="546" w:type="pct"/>
            <w:tcBorders>
              <w:top w:val="nil"/>
              <w:left w:val="nil"/>
              <w:bottom w:val="single" w:sz="4" w:space="0" w:color="auto"/>
              <w:right w:val="single" w:sz="4" w:space="0" w:color="auto"/>
            </w:tcBorders>
            <w:vAlign w:val="center"/>
          </w:tcPr>
          <w:p w14:paraId="4FE59265" w14:textId="4FB46415" w:rsidR="00476D34" w:rsidRPr="0029277C" w:rsidRDefault="00A221FA">
            <w:pPr>
              <w:jc w:val="center"/>
              <w:rPr>
                <w:rFonts w:asciiTheme="majorHAnsi" w:hAnsiTheme="majorHAnsi" w:cstheme="majorHAnsi"/>
                <w:color w:val="000000"/>
                <w:sz w:val="22"/>
                <w:szCs w:val="22"/>
                <w:lang w:eastAsia="ko-KR"/>
              </w:rPr>
            </w:pPr>
            <w:r>
              <w:rPr>
                <w:rFonts w:asciiTheme="majorHAnsi" w:hAnsiTheme="majorHAnsi" w:cstheme="majorHAnsi"/>
                <w:color w:val="000000"/>
                <w:sz w:val="22"/>
                <w:szCs w:val="22"/>
                <w:lang w:eastAsia="ko-KR"/>
              </w:rPr>
              <w:t>101</w:t>
            </w:r>
            <w:r w:rsidR="00476D34">
              <w:rPr>
                <w:rFonts w:asciiTheme="majorHAnsi" w:hAnsiTheme="majorHAnsi" w:cstheme="majorHAnsi"/>
                <w:color w:val="000000"/>
                <w:sz w:val="22"/>
                <w:szCs w:val="22"/>
                <w:lang w:eastAsia="ko-KR"/>
              </w:rPr>
              <w:t>.</w:t>
            </w:r>
            <w:r w:rsidR="00C34EFA">
              <w:rPr>
                <w:rFonts w:asciiTheme="majorHAnsi" w:hAnsiTheme="majorHAnsi" w:cstheme="majorHAnsi"/>
                <w:color w:val="000000"/>
                <w:sz w:val="22"/>
                <w:szCs w:val="22"/>
                <w:lang w:eastAsia="ko-KR"/>
              </w:rPr>
              <w:t>130</w:t>
            </w:r>
          </w:p>
        </w:tc>
      </w:tr>
      <w:tr w:rsidR="00476D34" w:rsidRPr="005540A8" w14:paraId="006737CD" w14:textId="77777777" w:rsidTr="00F03B74">
        <w:trPr>
          <w:trHeight w:val="303"/>
          <w:jc w:val="center"/>
        </w:trPr>
        <w:tc>
          <w:tcPr>
            <w:tcW w:w="1702" w:type="pct"/>
            <w:tcBorders>
              <w:top w:val="nil"/>
              <w:left w:val="single" w:sz="4" w:space="0" w:color="auto"/>
              <w:bottom w:val="single" w:sz="4" w:space="0" w:color="auto"/>
              <w:right w:val="single" w:sz="4" w:space="0" w:color="auto"/>
            </w:tcBorders>
            <w:vAlign w:val="center"/>
            <w:hideMark/>
          </w:tcPr>
          <w:p w14:paraId="44A2FFB6" w14:textId="4EAEF7F1" w:rsidR="00476D34" w:rsidRPr="0029277C" w:rsidRDefault="00476D34">
            <w:pP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 xml:space="preserve">Cost </w:t>
            </w:r>
            <w:r w:rsidR="00B260B1">
              <w:rPr>
                <w:rFonts w:asciiTheme="majorHAnsi" w:hAnsiTheme="majorHAnsi" w:cstheme="majorHAnsi"/>
                <w:color w:val="000000"/>
                <w:sz w:val="22"/>
                <w:szCs w:val="22"/>
                <w:lang w:eastAsia="ko-KR"/>
              </w:rPr>
              <w:t>r</w:t>
            </w:r>
            <w:r w:rsidRPr="0029277C">
              <w:rPr>
                <w:rFonts w:asciiTheme="majorHAnsi" w:hAnsiTheme="majorHAnsi" w:cstheme="majorHAnsi"/>
                <w:color w:val="000000"/>
                <w:sz w:val="22"/>
                <w:szCs w:val="22"/>
                <w:lang w:eastAsia="ko-KR"/>
              </w:rPr>
              <w:t xml:space="preserve">ecovery </w:t>
            </w:r>
            <w:r w:rsidR="00B260B1">
              <w:rPr>
                <w:rFonts w:asciiTheme="majorHAnsi" w:hAnsiTheme="majorHAnsi" w:cstheme="majorHAnsi"/>
                <w:color w:val="000000"/>
                <w:sz w:val="22"/>
                <w:szCs w:val="22"/>
                <w:lang w:eastAsia="ko-KR"/>
              </w:rPr>
              <w:t>p</w:t>
            </w:r>
            <w:r w:rsidRPr="0029277C">
              <w:rPr>
                <w:rFonts w:asciiTheme="majorHAnsi" w:hAnsiTheme="majorHAnsi" w:cstheme="majorHAnsi"/>
                <w:color w:val="000000"/>
                <w:sz w:val="22"/>
                <w:szCs w:val="22"/>
                <w:lang w:eastAsia="ko-KR"/>
              </w:rPr>
              <w:t>ercentage</w:t>
            </w:r>
          </w:p>
        </w:tc>
        <w:tc>
          <w:tcPr>
            <w:tcW w:w="549" w:type="pct"/>
            <w:tcBorders>
              <w:top w:val="nil"/>
              <w:left w:val="nil"/>
              <w:bottom w:val="single" w:sz="4" w:space="0" w:color="auto"/>
              <w:right w:val="single" w:sz="4" w:space="0" w:color="auto"/>
            </w:tcBorders>
            <w:noWrap/>
            <w:vAlign w:val="center"/>
            <w:hideMark/>
          </w:tcPr>
          <w:p w14:paraId="3C38CD72"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13%</w:t>
            </w:r>
          </w:p>
        </w:tc>
        <w:tc>
          <w:tcPr>
            <w:tcW w:w="551" w:type="pct"/>
            <w:tcBorders>
              <w:top w:val="nil"/>
              <w:left w:val="nil"/>
              <w:bottom w:val="single" w:sz="4" w:space="0" w:color="auto"/>
              <w:right w:val="single" w:sz="4" w:space="0" w:color="auto"/>
            </w:tcBorders>
            <w:noWrap/>
            <w:vAlign w:val="center"/>
            <w:hideMark/>
          </w:tcPr>
          <w:p w14:paraId="6A2E7091"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11%</w:t>
            </w:r>
          </w:p>
        </w:tc>
        <w:tc>
          <w:tcPr>
            <w:tcW w:w="551" w:type="pct"/>
            <w:tcBorders>
              <w:top w:val="nil"/>
              <w:left w:val="nil"/>
              <w:bottom w:val="single" w:sz="4" w:space="0" w:color="auto"/>
              <w:right w:val="single" w:sz="4" w:space="0" w:color="auto"/>
            </w:tcBorders>
            <w:noWrap/>
            <w:vAlign w:val="center"/>
            <w:hideMark/>
          </w:tcPr>
          <w:p w14:paraId="12A168EF"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11%</w:t>
            </w:r>
          </w:p>
        </w:tc>
        <w:tc>
          <w:tcPr>
            <w:tcW w:w="551" w:type="pct"/>
            <w:tcBorders>
              <w:top w:val="nil"/>
              <w:left w:val="nil"/>
              <w:bottom w:val="single" w:sz="4" w:space="0" w:color="auto"/>
              <w:right w:val="single" w:sz="4" w:space="0" w:color="auto"/>
            </w:tcBorders>
            <w:noWrap/>
            <w:vAlign w:val="center"/>
            <w:hideMark/>
          </w:tcPr>
          <w:p w14:paraId="55434EC6"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10%</w:t>
            </w:r>
          </w:p>
        </w:tc>
        <w:tc>
          <w:tcPr>
            <w:tcW w:w="551" w:type="pct"/>
            <w:tcBorders>
              <w:top w:val="nil"/>
              <w:left w:val="nil"/>
              <w:bottom w:val="single" w:sz="4" w:space="0" w:color="auto"/>
              <w:right w:val="single" w:sz="4" w:space="0" w:color="auto"/>
            </w:tcBorders>
            <w:noWrap/>
            <w:vAlign w:val="center"/>
            <w:hideMark/>
          </w:tcPr>
          <w:p w14:paraId="1231D361" w14:textId="77777777" w:rsidR="00476D34" w:rsidRPr="0029277C" w:rsidRDefault="00476D34">
            <w:pPr>
              <w:jc w:val="center"/>
              <w:rPr>
                <w:rFonts w:asciiTheme="majorHAnsi" w:hAnsiTheme="majorHAnsi" w:cstheme="majorHAnsi"/>
                <w:color w:val="000000"/>
                <w:sz w:val="22"/>
                <w:szCs w:val="22"/>
                <w:lang w:eastAsia="ko-KR"/>
              </w:rPr>
            </w:pPr>
            <w:r w:rsidRPr="0029277C">
              <w:rPr>
                <w:rFonts w:asciiTheme="majorHAnsi" w:hAnsiTheme="majorHAnsi" w:cstheme="majorHAnsi"/>
                <w:color w:val="000000"/>
                <w:sz w:val="22"/>
                <w:szCs w:val="22"/>
                <w:lang w:eastAsia="ko-KR"/>
              </w:rPr>
              <w:t>8%</w:t>
            </w:r>
          </w:p>
        </w:tc>
        <w:tc>
          <w:tcPr>
            <w:tcW w:w="546" w:type="pct"/>
            <w:tcBorders>
              <w:top w:val="nil"/>
              <w:left w:val="nil"/>
              <w:bottom w:val="single" w:sz="4" w:space="0" w:color="auto"/>
              <w:right w:val="single" w:sz="4" w:space="0" w:color="auto"/>
            </w:tcBorders>
            <w:vAlign w:val="center"/>
          </w:tcPr>
          <w:p w14:paraId="1C86F4BA" w14:textId="75BCC4C7" w:rsidR="00476D34" w:rsidRPr="005540A8" w:rsidRDefault="0077461A">
            <w:pPr>
              <w:jc w:val="center"/>
              <w:rPr>
                <w:rFonts w:asciiTheme="majorHAnsi" w:hAnsiTheme="majorHAnsi" w:cstheme="majorHAnsi"/>
                <w:color w:val="000000"/>
                <w:sz w:val="22"/>
                <w:szCs w:val="22"/>
                <w:lang w:eastAsia="ko-KR"/>
              </w:rPr>
            </w:pPr>
            <w:r>
              <w:rPr>
                <w:rFonts w:asciiTheme="majorHAnsi" w:hAnsiTheme="majorHAnsi" w:cstheme="majorHAnsi"/>
                <w:color w:val="000000"/>
                <w:sz w:val="22"/>
                <w:szCs w:val="22"/>
                <w:lang w:eastAsia="ko-KR"/>
              </w:rPr>
              <w:t>6</w:t>
            </w:r>
            <w:r w:rsidR="00476D34" w:rsidRPr="005540A8">
              <w:rPr>
                <w:rFonts w:asciiTheme="majorHAnsi" w:hAnsiTheme="majorHAnsi" w:cstheme="majorHAnsi"/>
                <w:color w:val="000000"/>
                <w:sz w:val="22"/>
                <w:szCs w:val="22"/>
                <w:lang w:eastAsia="ko-KR"/>
              </w:rPr>
              <w:t>%</w:t>
            </w:r>
          </w:p>
        </w:tc>
      </w:tr>
    </w:tbl>
    <w:p w14:paraId="07BDAE08" w14:textId="296AC918" w:rsidR="00FA75F0" w:rsidRDefault="007B30CC" w:rsidP="00ED3A99">
      <w:pPr>
        <w:pStyle w:val="Heading3"/>
      </w:pPr>
      <w:bookmarkStart w:id="52" w:name="_Toc204106872"/>
      <w:bookmarkStart w:id="53" w:name="_Toc216179685"/>
      <w:r>
        <w:t xml:space="preserve">Analysis of VCAT </w:t>
      </w:r>
      <w:r w:rsidR="00B260B1">
        <w:t>c</w:t>
      </w:r>
      <w:r>
        <w:t>osts</w:t>
      </w:r>
      <w:bookmarkEnd w:id="53"/>
    </w:p>
    <w:p w14:paraId="71E1D384" w14:textId="692B72A5" w:rsidR="00893981" w:rsidRDefault="0025574C" w:rsidP="002B774B">
      <w:pPr>
        <w:pStyle w:val="DJCSbody"/>
        <w:ind w:left="709"/>
      </w:pPr>
      <w:r w:rsidRPr="00153E50">
        <w:t xml:space="preserve">To accurately inform </w:t>
      </w:r>
      <w:r w:rsidR="000A438A">
        <w:t>suitable</w:t>
      </w:r>
      <w:r w:rsidR="00893981">
        <w:t xml:space="preserve"> </w:t>
      </w:r>
      <w:r w:rsidRPr="00153E50">
        <w:t>cost recovery levels,</w:t>
      </w:r>
      <w:r w:rsidR="00D2726C" w:rsidRPr="00153E50">
        <w:t xml:space="preserve"> </w:t>
      </w:r>
      <w:r w:rsidR="0018381F" w:rsidRPr="00153E50">
        <w:t>DJCS</w:t>
      </w:r>
      <w:r w:rsidR="00B5526A" w:rsidRPr="00153E50">
        <w:t xml:space="preserve"> </w:t>
      </w:r>
      <w:r w:rsidRPr="00153E50">
        <w:t xml:space="preserve">procured an independent review of </w:t>
      </w:r>
      <w:r w:rsidR="00A001BA" w:rsidRPr="00153E50">
        <w:t xml:space="preserve">all </w:t>
      </w:r>
      <w:r w:rsidRPr="00153E50">
        <w:t>costs associated with delivering</w:t>
      </w:r>
      <w:r w:rsidRPr="0025574C">
        <w:t xml:space="preserve"> services</w:t>
      </w:r>
      <w:r>
        <w:t xml:space="preserve"> </w:t>
      </w:r>
      <w:r w:rsidR="00A4288C">
        <w:t>at</w:t>
      </w:r>
      <w:r>
        <w:t xml:space="preserve"> VCAT. </w:t>
      </w:r>
    </w:p>
    <w:p w14:paraId="008C9C14" w14:textId="00B170D2" w:rsidR="002D4F07" w:rsidRDefault="00FA4A1A" w:rsidP="002B774B">
      <w:pPr>
        <w:pStyle w:val="DJCSbody"/>
        <w:ind w:left="709"/>
      </w:pPr>
      <w:r>
        <w:t xml:space="preserve">Costs </w:t>
      </w:r>
      <w:r w:rsidR="003B236D">
        <w:t xml:space="preserve">reviewed included direct </w:t>
      </w:r>
      <w:r w:rsidR="00A056A0">
        <w:t xml:space="preserve">costs </w:t>
      </w:r>
      <w:r w:rsidR="003B236D">
        <w:t>(</w:t>
      </w:r>
      <w:r w:rsidR="00F219DC">
        <w:t>such as staff salaries</w:t>
      </w:r>
      <w:r w:rsidR="00437B7D">
        <w:t xml:space="preserve"> and</w:t>
      </w:r>
      <w:r w:rsidR="00F219DC">
        <w:t xml:space="preserve"> judicial/</w:t>
      </w:r>
      <w:r w:rsidR="006E5527">
        <w:t>Member</w:t>
      </w:r>
      <w:r w:rsidR="00F219DC">
        <w:t xml:space="preserve"> remuneration</w:t>
      </w:r>
      <w:r w:rsidR="00437B7D">
        <w:t>,</w:t>
      </w:r>
      <w:r w:rsidR="009850F6">
        <w:t xml:space="preserve"> and non-person</w:t>
      </w:r>
      <w:r w:rsidR="00437B7D">
        <w:t>nel</w:t>
      </w:r>
      <w:r w:rsidR="009850F6">
        <w:t xml:space="preserve"> cost</w:t>
      </w:r>
      <w:r w:rsidR="0063006C">
        <w:t>s</w:t>
      </w:r>
      <w:r w:rsidR="00DC4A70">
        <w:t xml:space="preserve"> including building maintenance</w:t>
      </w:r>
      <w:r w:rsidR="00551755">
        <w:t xml:space="preserve"> an</w:t>
      </w:r>
      <w:r w:rsidR="00437B7D">
        <w:t>d technology costs), as well as i</w:t>
      </w:r>
      <w:r w:rsidR="003B236D">
        <w:t>ndirect costs</w:t>
      </w:r>
      <w:r w:rsidR="00160BB2">
        <w:t xml:space="preserve"> associated with Court Services Victoria</w:t>
      </w:r>
      <w:r w:rsidR="001E65B3">
        <w:t>.</w:t>
      </w:r>
      <w:r w:rsidR="001E65B3">
        <w:rPr>
          <w:rStyle w:val="FootnoteReference"/>
        </w:rPr>
        <w:footnoteReference w:id="16"/>
      </w:r>
      <w:r w:rsidR="00227881">
        <w:t xml:space="preserve"> Across all VCAT lists, direct personnel costs accounted for </w:t>
      </w:r>
      <w:r w:rsidR="00FF14DD">
        <w:t>most of</w:t>
      </w:r>
      <w:r w:rsidR="00227881">
        <w:t xml:space="preserve"> the costs at 73-87% of </w:t>
      </w:r>
      <w:r w:rsidR="00700E7A">
        <w:t>total</w:t>
      </w:r>
      <w:r w:rsidR="00227881">
        <w:t xml:space="preserve"> expenditure. </w:t>
      </w:r>
      <w:r w:rsidR="002D4F07" w:rsidRPr="002D4F07">
        <w:t xml:space="preserve">The distribution of work and </w:t>
      </w:r>
      <w:r w:rsidR="002D4F07" w:rsidRPr="002D4F07">
        <w:lastRenderedPageBreak/>
        <w:t xml:space="preserve">associated costs between judicial and non-judicial </w:t>
      </w:r>
      <w:r w:rsidR="006E5527">
        <w:t>Member</w:t>
      </w:r>
      <w:r w:rsidR="002D4F07" w:rsidRPr="002D4F07">
        <w:t>s varied significantly across lists and generally reflected the frequency and nature of hearings.</w:t>
      </w:r>
    </w:p>
    <w:p w14:paraId="5BAF02FD" w14:textId="2D0AB157" w:rsidR="00563901" w:rsidRDefault="00A001BA" w:rsidP="002B774B">
      <w:pPr>
        <w:pStyle w:val="DJCSbody"/>
        <w:ind w:left="709"/>
      </w:pPr>
      <w:r>
        <w:t>In addition to total operating costs, t</w:t>
      </w:r>
      <w:r w:rsidR="0025574C">
        <w:t>he review</w:t>
      </w:r>
      <w:r w:rsidR="00C15B9A">
        <w:t xml:space="preserve"> </w:t>
      </w:r>
      <w:r w:rsidR="00C81C94">
        <w:t>looked at</w:t>
      </w:r>
      <w:r w:rsidR="00C15B9A">
        <w:t xml:space="preserve"> individual activity</w:t>
      </w:r>
      <w:r w:rsidR="00C81C94">
        <w:t xml:space="preserve"> costs across the lifecycle of</w:t>
      </w:r>
      <w:r w:rsidR="002B774B">
        <w:t xml:space="preserve"> matter</w:t>
      </w:r>
      <w:r w:rsidR="00173E60">
        <w:t>s</w:t>
      </w:r>
      <w:r w:rsidR="002B774B">
        <w:t xml:space="preserve"> passing</w:t>
      </w:r>
      <w:r w:rsidR="00C81C94">
        <w:t xml:space="preserve"> </w:t>
      </w:r>
      <w:r w:rsidR="002B774B">
        <w:t>through</w:t>
      </w:r>
      <w:r w:rsidR="00C81C94">
        <w:t xml:space="preserve"> </w:t>
      </w:r>
      <w:r w:rsidR="00F44815">
        <w:t xml:space="preserve">VCAT to </w:t>
      </w:r>
      <w:r w:rsidR="00077E33">
        <w:t>understand the level of</w:t>
      </w:r>
      <w:r w:rsidR="00410B79">
        <w:t xml:space="preserve"> effort</w:t>
      </w:r>
      <w:r w:rsidR="00077E33">
        <w:t xml:space="preserve"> </w:t>
      </w:r>
      <w:r w:rsidR="00410B79">
        <w:t xml:space="preserve">and </w:t>
      </w:r>
      <w:r w:rsidR="00077E33">
        <w:t>differing</w:t>
      </w:r>
      <w:r w:rsidR="00410B79">
        <w:t xml:space="preserve"> experti</w:t>
      </w:r>
      <w:r w:rsidR="00077E33">
        <w:t>se</w:t>
      </w:r>
      <w:r w:rsidR="00410B79">
        <w:t xml:space="preserve"> required</w:t>
      </w:r>
      <w:r>
        <w:t xml:space="preserve"> at each service stage. This</w:t>
      </w:r>
      <w:r w:rsidR="00404A47">
        <w:t xml:space="preserve"> means that fees applied to each activity or stage </w:t>
      </w:r>
      <w:r w:rsidR="000E56AB">
        <w:t>c</w:t>
      </w:r>
      <w:r w:rsidR="00CC7759">
        <w:t>an</w:t>
      </w:r>
      <w:r w:rsidR="00A95C66">
        <w:t xml:space="preserve"> be better matched to actual costs of delivery. This </w:t>
      </w:r>
      <w:r w:rsidR="00D73743">
        <w:t>w</w:t>
      </w:r>
      <w:r w:rsidR="00CC7759">
        <w:t>ill</w:t>
      </w:r>
      <w:r w:rsidR="00A95C66">
        <w:t xml:space="preserve"> </w:t>
      </w:r>
      <w:r>
        <w:t>offer a more flexible approach to fee setting</w:t>
      </w:r>
      <w:r w:rsidR="00077E33">
        <w:t xml:space="preserve">, </w:t>
      </w:r>
      <w:r>
        <w:t xml:space="preserve">in recognition </w:t>
      </w:r>
      <w:r w:rsidR="00C819B7">
        <w:t>th</w:t>
      </w:r>
      <w:r>
        <w:t>at not all matters proce</w:t>
      </w:r>
      <w:r w:rsidR="00E171D6">
        <w:t>ed</w:t>
      </w:r>
      <w:r>
        <w:t xml:space="preserve"> through VCAT in the same way.</w:t>
      </w:r>
    </w:p>
    <w:p w14:paraId="346F5C26" w14:textId="1519B08A" w:rsidR="006C765C" w:rsidRDefault="00CC7759" w:rsidP="006E5E60">
      <w:pPr>
        <w:pStyle w:val="DJCSbody"/>
        <w:ind w:left="709"/>
        <w:rPr>
          <w:lang w:eastAsia="en-AU"/>
        </w:rPr>
      </w:pPr>
      <w:r>
        <w:rPr>
          <w:lang w:eastAsia="en-AU"/>
        </w:rPr>
        <w:t xml:space="preserve">The review found that </w:t>
      </w:r>
      <w:r w:rsidR="00454E48" w:rsidRPr="006862E6">
        <w:rPr>
          <w:lang w:eastAsia="en-AU"/>
        </w:rPr>
        <w:t>the bulk of expenditure f</w:t>
      </w:r>
      <w:r w:rsidR="00396305">
        <w:rPr>
          <w:lang w:eastAsia="en-AU"/>
        </w:rPr>
        <w:t>ell within</w:t>
      </w:r>
      <w:r w:rsidR="00454E48" w:rsidRPr="006862E6">
        <w:rPr>
          <w:lang w:eastAsia="en-AU"/>
        </w:rPr>
        <w:t xml:space="preserve"> the </w:t>
      </w:r>
      <w:r w:rsidR="00454E48">
        <w:rPr>
          <w:lang w:eastAsia="en-AU"/>
        </w:rPr>
        <w:t>earlier stages</w:t>
      </w:r>
      <w:r w:rsidR="00454E48" w:rsidRPr="006862E6">
        <w:rPr>
          <w:lang w:eastAsia="en-AU"/>
        </w:rPr>
        <w:t xml:space="preserve"> of the matter lifecycle, particularly in pre-hearing case management, alternative dispute resolution </w:t>
      </w:r>
      <w:r w:rsidR="00863A42">
        <w:rPr>
          <w:lang w:eastAsia="en-AU"/>
        </w:rPr>
        <w:t xml:space="preserve">(ADR) </w:t>
      </w:r>
      <w:r w:rsidR="00454E48" w:rsidRPr="006862E6">
        <w:rPr>
          <w:lang w:eastAsia="en-AU"/>
        </w:rPr>
        <w:t>and hearings</w:t>
      </w:r>
      <w:r w:rsidR="006C765C">
        <w:rPr>
          <w:rStyle w:val="FootnoteReference"/>
          <w:lang w:eastAsia="en-AU"/>
        </w:rPr>
        <w:footnoteReference w:id="17"/>
      </w:r>
      <w:r w:rsidR="00454E48" w:rsidRPr="006862E6">
        <w:rPr>
          <w:lang w:eastAsia="en-AU"/>
        </w:rPr>
        <w:t>.</w:t>
      </w:r>
      <w:r>
        <w:rPr>
          <w:lang w:eastAsia="en-AU"/>
        </w:rPr>
        <w:t xml:space="preserve"> </w:t>
      </w:r>
      <w:r w:rsidR="00454E48" w:rsidRPr="006862E6">
        <w:rPr>
          <w:lang w:eastAsia="en-AU"/>
        </w:rPr>
        <w:t xml:space="preserve">Together, these stages account for </w:t>
      </w:r>
      <w:r w:rsidR="00CB6520" w:rsidRPr="006862E6">
        <w:rPr>
          <w:lang w:eastAsia="en-AU"/>
        </w:rPr>
        <w:t>most</w:t>
      </w:r>
      <w:r w:rsidR="00454E48" w:rsidRPr="006862E6">
        <w:rPr>
          <w:lang w:eastAsia="en-AU"/>
        </w:rPr>
        <w:t xml:space="preserve"> overall costs, reflecting the intensive resources required once matters </w:t>
      </w:r>
      <w:r w:rsidR="00454E48">
        <w:rPr>
          <w:lang w:eastAsia="en-AU"/>
        </w:rPr>
        <w:t>progress</w:t>
      </w:r>
      <w:r w:rsidR="00454E48" w:rsidRPr="006862E6">
        <w:rPr>
          <w:lang w:eastAsia="en-AU"/>
        </w:rPr>
        <w:t xml:space="preserve"> </w:t>
      </w:r>
      <w:r>
        <w:rPr>
          <w:lang w:eastAsia="en-AU"/>
        </w:rPr>
        <w:t xml:space="preserve">past </w:t>
      </w:r>
      <w:r w:rsidR="00454E48" w:rsidRPr="006862E6">
        <w:rPr>
          <w:lang w:eastAsia="en-AU"/>
        </w:rPr>
        <w:t xml:space="preserve">initiation and administrative processing. </w:t>
      </w:r>
      <w:r w:rsidR="001C31D2" w:rsidRPr="006C765C">
        <w:rPr>
          <w:lang w:eastAsia="en-AU"/>
        </w:rPr>
        <w:t>Except for</w:t>
      </w:r>
      <w:r w:rsidR="006C765C" w:rsidRPr="006C765C">
        <w:rPr>
          <w:lang w:eastAsia="en-AU"/>
        </w:rPr>
        <w:t xml:space="preserve"> hearing fees, these activities d</w:t>
      </w:r>
      <w:r w:rsidR="006C765C">
        <w:rPr>
          <w:lang w:eastAsia="en-AU"/>
        </w:rPr>
        <w:t>o</w:t>
      </w:r>
      <w:r w:rsidR="006C765C" w:rsidRPr="006C765C">
        <w:rPr>
          <w:lang w:eastAsia="en-AU"/>
        </w:rPr>
        <w:t xml:space="preserve"> not currently carry a fee.</w:t>
      </w:r>
    </w:p>
    <w:p w14:paraId="7BD52BDB" w14:textId="151522A6" w:rsidR="00454E48" w:rsidRDefault="00454E48" w:rsidP="006E5E60">
      <w:pPr>
        <w:pStyle w:val="DJCSbody"/>
        <w:ind w:left="709"/>
        <w:rPr>
          <w:lang w:eastAsia="en-AU"/>
        </w:rPr>
      </w:pPr>
      <w:r>
        <w:rPr>
          <w:lang w:eastAsia="en-AU"/>
        </w:rPr>
        <w:t>Initiation is</w:t>
      </w:r>
      <w:r w:rsidRPr="006862E6">
        <w:rPr>
          <w:lang w:eastAsia="en-AU"/>
        </w:rPr>
        <w:t xml:space="preserve"> relatively inexpensive</w:t>
      </w:r>
      <w:r w:rsidR="00CC7759">
        <w:rPr>
          <w:lang w:eastAsia="en-AU"/>
        </w:rPr>
        <w:t xml:space="preserve"> </w:t>
      </w:r>
      <w:r w:rsidR="006B492B" w:rsidRPr="006B492B">
        <w:rPr>
          <w:lang w:eastAsia="en-AU"/>
        </w:rPr>
        <w:t>and begins</w:t>
      </w:r>
      <w:r w:rsidR="00CC7759">
        <w:rPr>
          <w:lang w:eastAsia="en-AU"/>
        </w:rPr>
        <w:t xml:space="preserve"> once an application </w:t>
      </w:r>
      <w:r w:rsidR="006B492B" w:rsidRPr="006B492B">
        <w:rPr>
          <w:lang w:eastAsia="en-AU"/>
        </w:rPr>
        <w:t>is submitted and any required</w:t>
      </w:r>
      <w:r w:rsidR="00CC7759">
        <w:rPr>
          <w:lang w:eastAsia="en-AU"/>
        </w:rPr>
        <w:t xml:space="preserve"> fee </w:t>
      </w:r>
      <w:r w:rsidR="006B492B" w:rsidRPr="006B492B">
        <w:rPr>
          <w:lang w:eastAsia="en-AU"/>
        </w:rPr>
        <w:t xml:space="preserve">is </w:t>
      </w:r>
      <w:r w:rsidR="00CC7759">
        <w:rPr>
          <w:lang w:eastAsia="en-AU"/>
        </w:rPr>
        <w:t>paid</w:t>
      </w:r>
      <w:r w:rsidR="006B492B" w:rsidRPr="006B492B">
        <w:rPr>
          <w:lang w:eastAsia="en-AU"/>
        </w:rPr>
        <w:t xml:space="preserve">. This stage does not involve judicial officers or </w:t>
      </w:r>
      <w:r w:rsidR="005472CD">
        <w:rPr>
          <w:lang w:eastAsia="en-AU"/>
        </w:rPr>
        <w:t>t</w:t>
      </w:r>
      <w:r w:rsidR="00DB6A39" w:rsidRPr="006B492B">
        <w:rPr>
          <w:lang w:eastAsia="en-AU"/>
        </w:rPr>
        <w:t xml:space="preserve">ribunal </w:t>
      </w:r>
      <w:r w:rsidR="006E5527">
        <w:rPr>
          <w:lang w:eastAsia="en-AU"/>
        </w:rPr>
        <w:t>Member</w:t>
      </w:r>
      <w:r w:rsidR="006B492B" w:rsidRPr="006B492B">
        <w:rPr>
          <w:lang w:eastAsia="en-AU"/>
        </w:rPr>
        <w:t>s</w:t>
      </w:r>
      <w:r w:rsidR="00890214">
        <w:rPr>
          <w:lang w:eastAsia="en-AU"/>
        </w:rPr>
        <w:t>.</w:t>
      </w:r>
      <w:r w:rsidR="00CC7759">
        <w:rPr>
          <w:lang w:eastAsia="en-AU"/>
        </w:rPr>
        <w:t xml:space="preserve"> As such</w:t>
      </w:r>
      <w:r w:rsidR="00890214">
        <w:rPr>
          <w:lang w:eastAsia="en-AU"/>
        </w:rPr>
        <w:t>,</w:t>
      </w:r>
      <w:r w:rsidR="00CC7759">
        <w:rPr>
          <w:lang w:eastAsia="en-AU"/>
        </w:rPr>
        <w:t xml:space="preserve"> application fees are intended to be low.</w:t>
      </w:r>
      <w:r w:rsidR="006E5E60">
        <w:rPr>
          <w:lang w:eastAsia="en-AU"/>
        </w:rPr>
        <w:t xml:space="preserve"> </w:t>
      </w:r>
      <w:r>
        <w:rPr>
          <w:lang w:eastAsia="en-AU"/>
        </w:rPr>
        <w:t>Similarly,</w:t>
      </w:r>
      <w:r w:rsidRPr="006862E6">
        <w:rPr>
          <w:lang w:eastAsia="en-AU"/>
        </w:rPr>
        <w:t xml:space="preserve"> later stages such as summons, injunctions</w:t>
      </w:r>
      <w:r>
        <w:rPr>
          <w:lang w:eastAsia="en-AU"/>
        </w:rPr>
        <w:t xml:space="preserve">, </w:t>
      </w:r>
      <w:r w:rsidRPr="006862E6">
        <w:rPr>
          <w:lang w:eastAsia="en-AU"/>
        </w:rPr>
        <w:t>and post-order activities represent a very small share of costs</w:t>
      </w:r>
      <w:r>
        <w:rPr>
          <w:lang w:eastAsia="en-AU"/>
        </w:rPr>
        <w:t xml:space="preserve"> because they occur less frequently than the more</w:t>
      </w:r>
      <w:r w:rsidR="00651506">
        <w:rPr>
          <w:lang w:eastAsia="en-AU"/>
        </w:rPr>
        <w:t xml:space="preserve"> </w:t>
      </w:r>
      <w:r>
        <w:rPr>
          <w:lang w:eastAsia="en-AU"/>
        </w:rPr>
        <w:t>resource</w:t>
      </w:r>
      <w:r w:rsidR="00651506">
        <w:rPr>
          <w:lang w:eastAsia="en-AU"/>
        </w:rPr>
        <w:t>-</w:t>
      </w:r>
      <w:r>
        <w:rPr>
          <w:lang w:eastAsia="en-AU"/>
        </w:rPr>
        <w:t>intensive stages</w:t>
      </w:r>
      <w:r w:rsidRPr="006862E6">
        <w:rPr>
          <w:lang w:eastAsia="en-AU"/>
        </w:rPr>
        <w:t>.</w:t>
      </w:r>
    </w:p>
    <w:p w14:paraId="4114B8F6" w14:textId="083AE27E" w:rsidR="0029697A" w:rsidRDefault="009B66E9" w:rsidP="0029697A">
      <w:pPr>
        <w:pStyle w:val="DJCSbody"/>
        <w:ind w:left="709" w:right="142"/>
        <w:rPr>
          <w:lang w:eastAsia="en-AU"/>
        </w:rPr>
      </w:pPr>
      <w:r>
        <w:rPr>
          <w:lang w:eastAsia="en-AU"/>
        </w:rPr>
        <w:t>In addition to the in</w:t>
      </w:r>
      <w:r w:rsidR="00A87863">
        <w:rPr>
          <w:lang w:eastAsia="en-AU"/>
        </w:rPr>
        <w:t xml:space="preserve">dividual </w:t>
      </w:r>
      <w:r>
        <w:rPr>
          <w:lang w:eastAsia="en-AU"/>
        </w:rPr>
        <w:t>activities and</w:t>
      </w:r>
      <w:r w:rsidR="00A87863">
        <w:rPr>
          <w:lang w:eastAsia="en-AU"/>
        </w:rPr>
        <w:t xml:space="preserve"> services</w:t>
      </w:r>
      <w:r>
        <w:rPr>
          <w:lang w:eastAsia="en-AU"/>
        </w:rPr>
        <w:t xml:space="preserve"> stages</w:t>
      </w:r>
      <w:r w:rsidR="00A87863">
        <w:rPr>
          <w:lang w:eastAsia="en-AU"/>
        </w:rPr>
        <w:t xml:space="preserve"> across </w:t>
      </w:r>
      <w:r w:rsidR="00037951">
        <w:rPr>
          <w:lang w:eastAsia="en-AU"/>
        </w:rPr>
        <w:t>the</w:t>
      </w:r>
      <w:r w:rsidR="00A87863">
        <w:rPr>
          <w:lang w:eastAsia="en-AU"/>
        </w:rPr>
        <w:t xml:space="preserve"> </w:t>
      </w:r>
      <w:r w:rsidR="00037951">
        <w:rPr>
          <w:lang w:eastAsia="en-AU"/>
        </w:rPr>
        <w:t>matter lifecycle</w:t>
      </w:r>
      <w:r>
        <w:rPr>
          <w:lang w:eastAsia="en-AU"/>
        </w:rPr>
        <w:t xml:space="preserve">, the review looked at </w:t>
      </w:r>
      <w:r w:rsidR="00A87863">
        <w:rPr>
          <w:lang w:eastAsia="en-AU"/>
        </w:rPr>
        <w:t>differences</w:t>
      </w:r>
      <w:r>
        <w:rPr>
          <w:lang w:eastAsia="en-AU"/>
        </w:rPr>
        <w:t xml:space="preserve"> in costs across the VCAT lists</w:t>
      </w:r>
      <w:r w:rsidR="00037951">
        <w:rPr>
          <w:lang w:eastAsia="en-AU"/>
        </w:rPr>
        <w:t xml:space="preserve"> </w:t>
      </w:r>
      <w:r w:rsidR="00A87863">
        <w:rPr>
          <w:lang w:eastAsia="en-AU"/>
        </w:rPr>
        <w:t xml:space="preserve">to better understand whether </w:t>
      </w:r>
      <w:r w:rsidR="00037951">
        <w:rPr>
          <w:lang w:eastAsia="en-AU"/>
        </w:rPr>
        <w:t xml:space="preserve">certain </w:t>
      </w:r>
      <w:r w:rsidR="00A87863">
        <w:rPr>
          <w:lang w:eastAsia="en-AU"/>
        </w:rPr>
        <w:t>types of matters were more or less costly. The review found that</w:t>
      </w:r>
      <w:r w:rsidR="00147EFD">
        <w:rPr>
          <w:lang w:eastAsia="en-AU"/>
        </w:rPr>
        <w:t xml:space="preserve"> </w:t>
      </w:r>
      <w:r w:rsidR="001C1D18">
        <w:rPr>
          <w:lang w:eastAsia="en-AU"/>
        </w:rPr>
        <w:t>R</w:t>
      </w:r>
      <w:r w:rsidR="005805BB">
        <w:rPr>
          <w:lang w:eastAsia="en-AU"/>
        </w:rPr>
        <w:t xml:space="preserve">esidential </w:t>
      </w:r>
      <w:r w:rsidR="001C1D18">
        <w:rPr>
          <w:lang w:eastAsia="en-AU"/>
        </w:rPr>
        <w:t>T</w:t>
      </w:r>
      <w:r w:rsidR="005805BB">
        <w:rPr>
          <w:lang w:eastAsia="en-AU"/>
        </w:rPr>
        <w:t xml:space="preserve">enancy </w:t>
      </w:r>
      <w:r w:rsidR="00F90722">
        <w:rPr>
          <w:lang w:eastAsia="en-AU"/>
        </w:rPr>
        <w:t>matters</w:t>
      </w:r>
      <w:r w:rsidR="00C3312C">
        <w:rPr>
          <w:lang w:eastAsia="en-AU"/>
        </w:rPr>
        <w:t>, Gu</w:t>
      </w:r>
      <w:r w:rsidR="001B0562">
        <w:rPr>
          <w:lang w:eastAsia="en-AU"/>
        </w:rPr>
        <w:t>ardianship Orders,</w:t>
      </w:r>
      <w:r w:rsidR="00F90722">
        <w:rPr>
          <w:lang w:eastAsia="en-AU"/>
        </w:rPr>
        <w:t xml:space="preserve"> Planning</w:t>
      </w:r>
      <w:r w:rsidR="007B7DE6">
        <w:rPr>
          <w:lang w:eastAsia="en-AU"/>
        </w:rPr>
        <w:t>, and Civil Claims</w:t>
      </w:r>
      <w:r w:rsidR="00F90722">
        <w:rPr>
          <w:lang w:eastAsia="en-AU"/>
        </w:rPr>
        <w:t xml:space="preserve"> matters </w:t>
      </w:r>
      <w:r w:rsidR="008D1E34">
        <w:rPr>
          <w:lang w:eastAsia="en-AU"/>
        </w:rPr>
        <w:t xml:space="preserve">were notably more costly than </w:t>
      </w:r>
      <w:r w:rsidR="007B7DE6">
        <w:rPr>
          <w:lang w:eastAsia="en-AU"/>
        </w:rPr>
        <w:t>matters in</w:t>
      </w:r>
      <w:r w:rsidR="008D1E34">
        <w:rPr>
          <w:lang w:eastAsia="en-AU"/>
        </w:rPr>
        <w:t xml:space="preserve"> other lists</w:t>
      </w:r>
      <w:r w:rsidR="00F90722">
        <w:rPr>
          <w:lang w:eastAsia="en-AU"/>
        </w:rPr>
        <w:t>. Whilst the high costs of delivering the</w:t>
      </w:r>
      <w:r w:rsidR="00F90722" w:rsidRPr="00F90722">
        <w:rPr>
          <w:lang w:eastAsia="en-AU"/>
        </w:rPr>
        <w:t xml:space="preserve"> Residential Tenancies List </w:t>
      </w:r>
      <w:r w:rsidR="00F90722">
        <w:rPr>
          <w:lang w:eastAsia="en-AU"/>
        </w:rPr>
        <w:t xml:space="preserve">can be explained by </w:t>
      </w:r>
      <w:r w:rsidR="00F90722" w:rsidRPr="00F90722">
        <w:rPr>
          <w:lang w:eastAsia="en-AU"/>
        </w:rPr>
        <w:t>high case volumes</w:t>
      </w:r>
      <w:r w:rsidR="00F90722">
        <w:rPr>
          <w:lang w:eastAsia="en-AU"/>
        </w:rPr>
        <w:t>, this is not consistent with the</w:t>
      </w:r>
      <w:r w:rsidR="00F90722" w:rsidRPr="00F90722">
        <w:rPr>
          <w:lang w:eastAsia="en-AU"/>
        </w:rPr>
        <w:t xml:space="preserve"> Guardianship </w:t>
      </w:r>
      <w:r w:rsidR="00F90722">
        <w:rPr>
          <w:lang w:eastAsia="en-AU"/>
        </w:rPr>
        <w:t xml:space="preserve">and </w:t>
      </w:r>
      <w:r w:rsidR="00F90722" w:rsidRPr="00F90722">
        <w:rPr>
          <w:lang w:eastAsia="en-AU"/>
        </w:rPr>
        <w:t>Planning List</w:t>
      </w:r>
      <w:r w:rsidR="00F90722">
        <w:rPr>
          <w:lang w:eastAsia="en-AU"/>
        </w:rPr>
        <w:t>s</w:t>
      </w:r>
      <w:r w:rsidR="003F205F">
        <w:rPr>
          <w:lang w:eastAsia="en-AU"/>
        </w:rPr>
        <w:t>,</w:t>
      </w:r>
      <w:r w:rsidR="00F90722" w:rsidRPr="00F90722">
        <w:rPr>
          <w:lang w:eastAsia="en-AU"/>
        </w:rPr>
        <w:t xml:space="preserve"> which are smaller in total cost but demonstrate </w:t>
      </w:r>
      <w:r w:rsidR="00275DD8">
        <w:rPr>
          <w:lang w:eastAsia="en-AU"/>
        </w:rPr>
        <w:t>a</w:t>
      </w:r>
      <w:r w:rsidR="00F90722" w:rsidRPr="00F90722">
        <w:rPr>
          <w:lang w:eastAsia="en-AU"/>
        </w:rPr>
        <w:t xml:space="preserve"> higher concentration </w:t>
      </w:r>
      <w:r w:rsidR="00275DD8">
        <w:rPr>
          <w:lang w:eastAsia="en-AU"/>
        </w:rPr>
        <w:t>of costs across services s</w:t>
      </w:r>
      <w:r w:rsidR="00F90722" w:rsidRPr="00F90722">
        <w:rPr>
          <w:lang w:eastAsia="en-AU"/>
        </w:rPr>
        <w:t>tages such as pre-hearing case management and hearings</w:t>
      </w:r>
      <w:r w:rsidR="00984A92">
        <w:rPr>
          <w:lang w:eastAsia="en-AU"/>
        </w:rPr>
        <w:t>, which</w:t>
      </w:r>
      <w:r w:rsidR="00492969">
        <w:rPr>
          <w:lang w:eastAsia="en-AU"/>
        </w:rPr>
        <w:t xml:space="preserve"> account for a large proportion of cost.</w:t>
      </w:r>
    </w:p>
    <w:p w14:paraId="3FC2B9AB" w14:textId="7F4AA818" w:rsidR="00E20CC4" w:rsidRDefault="00E20CC4" w:rsidP="003036D1">
      <w:pPr>
        <w:pStyle w:val="DJCSbody"/>
        <w:ind w:left="709"/>
        <w:rPr>
          <w:lang w:eastAsia="en-AU"/>
        </w:rPr>
      </w:pPr>
      <w:bookmarkStart w:id="54" w:name="_Toc208241273"/>
      <w:bookmarkStart w:id="55" w:name="_Toc207716321"/>
      <w:bookmarkStart w:id="56" w:name="_Toc207716322"/>
      <w:bookmarkEnd w:id="52"/>
      <w:bookmarkEnd w:id="54"/>
      <w:bookmarkEnd w:id="55"/>
      <w:bookmarkEnd w:id="56"/>
      <w:r>
        <w:rPr>
          <w:lang w:eastAsia="en-AU"/>
        </w:rPr>
        <w:t xml:space="preserve">This analysis provides a strong case for maintaining proportional hearing fees and reveals a large gap </w:t>
      </w:r>
      <w:r w:rsidR="00CE20AB">
        <w:rPr>
          <w:lang w:eastAsia="en-AU"/>
        </w:rPr>
        <w:t>between</w:t>
      </w:r>
      <w:r>
        <w:rPr>
          <w:lang w:eastAsia="en-AU"/>
        </w:rPr>
        <w:t xml:space="preserve"> fee revenue collected at the time of application and subsequent costs of delivery up until a hearing or resolution of a matter.</w:t>
      </w:r>
    </w:p>
    <w:p w14:paraId="728F44D3" w14:textId="77777777" w:rsidR="00B72B85" w:rsidRPr="00BF4FBD" w:rsidRDefault="00B72B85" w:rsidP="00B72B85">
      <w:pPr>
        <w:pStyle w:val="Heading2"/>
      </w:pPr>
      <w:bookmarkStart w:id="57" w:name="_Relevant_contextual_changes"/>
      <w:bookmarkStart w:id="58" w:name="_Toc216179686"/>
      <w:bookmarkEnd w:id="57"/>
      <w:r w:rsidRPr="00BF4FBD">
        <w:t>Relevant contextual changes since the Regulations were last made</w:t>
      </w:r>
      <w:bookmarkEnd w:id="58"/>
    </w:p>
    <w:p w14:paraId="7D503627" w14:textId="02FE8052" w:rsidR="00B72B85" w:rsidRDefault="00B72B85" w:rsidP="00B72B85">
      <w:pPr>
        <w:pStyle w:val="DJCSbodyafterbullets"/>
        <w:ind w:left="709"/>
      </w:pPr>
      <w:r>
        <w:t xml:space="preserve">In remaking the fees, </w:t>
      </w:r>
      <w:r w:rsidR="00DE3B09">
        <w:t>DJCS h</w:t>
      </w:r>
      <w:r>
        <w:t xml:space="preserve">as </w:t>
      </w:r>
      <w:r w:rsidR="00C512D0">
        <w:t xml:space="preserve">also </w:t>
      </w:r>
      <w:r>
        <w:t xml:space="preserve">considered </w:t>
      </w:r>
      <w:r w:rsidR="00193AAE">
        <w:t>relevant legislative and</w:t>
      </w:r>
      <w:r>
        <w:t xml:space="preserve"> </w:t>
      </w:r>
      <w:r w:rsidR="00DA7696">
        <w:t xml:space="preserve">operational </w:t>
      </w:r>
      <w:r>
        <w:t xml:space="preserve">developments since the fees were last set in </w:t>
      </w:r>
      <w:r w:rsidRPr="008B4210">
        <w:t>2016</w:t>
      </w:r>
      <w:r w:rsidRPr="00703834">
        <w:t xml:space="preserve">. </w:t>
      </w:r>
      <w:r w:rsidR="00DA7696" w:rsidRPr="00703834">
        <w:t>These chan</w:t>
      </w:r>
      <w:r w:rsidR="00193AAE" w:rsidRPr="00703834">
        <w:t>ges have</w:t>
      </w:r>
      <w:r w:rsidR="00047D49" w:rsidRPr="00703834">
        <w:t xml:space="preserve"> impacted both demand and </w:t>
      </w:r>
      <w:r w:rsidR="00401FF7" w:rsidRPr="00703834">
        <w:t xml:space="preserve">service </w:t>
      </w:r>
      <w:r w:rsidR="008B4210" w:rsidRPr="00703834">
        <w:t xml:space="preserve">delivery </w:t>
      </w:r>
      <w:r w:rsidR="00401FF7" w:rsidRPr="00703834">
        <w:t>across VCAT, making the current fee structure and rates less</w:t>
      </w:r>
      <w:r w:rsidR="008B4210" w:rsidRPr="00703834">
        <w:t xml:space="preserve"> relevan</w:t>
      </w:r>
      <w:r w:rsidR="00812D77">
        <w:t>t.</w:t>
      </w:r>
    </w:p>
    <w:p w14:paraId="7E1B2008" w14:textId="77777777" w:rsidR="00B72B85" w:rsidRDefault="00B72B85" w:rsidP="00B72B85">
      <w:pPr>
        <w:pStyle w:val="Heading3"/>
      </w:pPr>
      <w:bookmarkStart w:id="59" w:name="_Toc216179687"/>
      <w:r>
        <w:t xml:space="preserve">Court of Appeal decision in </w:t>
      </w:r>
      <w:r w:rsidRPr="008E20EA">
        <w:rPr>
          <w:i/>
          <w:iCs/>
        </w:rPr>
        <w:t>Meringnage</w:t>
      </w:r>
      <w:r>
        <w:rPr>
          <w:i/>
          <w:iCs/>
        </w:rPr>
        <w:t xml:space="preserve"> </w:t>
      </w:r>
      <w:r>
        <w:t xml:space="preserve">(2020) and </w:t>
      </w:r>
      <w:r>
        <w:rPr>
          <w:i/>
          <w:iCs/>
        </w:rPr>
        <w:t xml:space="preserve">Thurin v </w:t>
      </w:r>
      <w:proofErr w:type="spellStart"/>
      <w:r>
        <w:rPr>
          <w:i/>
          <w:iCs/>
        </w:rPr>
        <w:t>Krongold</w:t>
      </w:r>
      <w:proofErr w:type="spellEnd"/>
      <w:r>
        <w:rPr>
          <w:i/>
          <w:iCs/>
        </w:rPr>
        <w:t xml:space="preserve"> </w:t>
      </w:r>
      <w:r>
        <w:t>(2022)</w:t>
      </w:r>
      <w:bookmarkEnd w:id="59"/>
    </w:p>
    <w:p w14:paraId="71A8CED6" w14:textId="7B08A75E" w:rsidR="00B72B85" w:rsidRPr="000A674F" w:rsidRDefault="00B72B85" w:rsidP="00B72B85">
      <w:pPr>
        <w:pStyle w:val="DJCSbodyafterbullets"/>
        <w:ind w:left="709"/>
      </w:pPr>
      <w:r w:rsidRPr="000A674F">
        <w:t>Two appellate decisions</w:t>
      </w:r>
      <w:r w:rsidRPr="00B40F03">
        <w:t xml:space="preserve">, </w:t>
      </w:r>
      <w:r w:rsidRPr="00C329DD">
        <w:rPr>
          <w:i/>
        </w:rPr>
        <w:t>Meringnage v Interstate Enterprises Pty Ltd</w:t>
      </w:r>
      <w:r w:rsidRPr="000A674F">
        <w:t xml:space="preserve"> (2020)</w:t>
      </w:r>
      <w:r w:rsidR="00275301">
        <w:rPr>
          <w:rStyle w:val="FootnoteReference"/>
        </w:rPr>
        <w:footnoteReference w:id="18"/>
      </w:r>
      <w:r w:rsidRPr="000A674F">
        <w:t xml:space="preserve"> and </w:t>
      </w:r>
      <w:r w:rsidRPr="00C329DD">
        <w:rPr>
          <w:i/>
        </w:rPr>
        <w:t xml:space="preserve">Thurin v </w:t>
      </w:r>
      <w:proofErr w:type="spellStart"/>
      <w:r w:rsidRPr="00C329DD">
        <w:rPr>
          <w:i/>
        </w:rPr>
        <w:t>Krongold</w:t>
      </w:r>
      <w:proofErr w:type="spellEnd"/>
      <w:r w:rsidRPr="00C329DD">
        <w:rPr>
          <w:i/>
        </w:rPr>
        <w:t xml:space="preserve"> Constructions Pty Ltd</w:t>
      </w:r>
      <w:r w:rsidRPr="000A674F">
        <w:t xml:space="preserve"> (2022)</w:t>
      </w:r>
      <w:r w:rsidR="000E4221">
        <w:rPr>
          <w:rStyle w:val="FootnoteReference"/>
        </w:rPr>
        <w:footnoteReference w:id="19"/>
      </w:r>
      <w:r w:rsidRPr="00B40F03">
        <w:t xml:space="preserve"> </w:t>
      </w:r>
      <w:r w:rsidRPr="000A674F">
        <w:t>clarified that VCAT lack</w:t>
      </w:r>
      <w:r w:rsidRPr="00B40F03">
        <w:t>ed</w:t>
      </w:r>
      <w:r w:rsidRPr="000A674F">
        <w:t xml:space="preserve"> jurisdiction over federal matters. These include cases involving interpretation or application of Commonwealth law, disputes between parties from different states, or those involving the Commonwealth itself. These rulings confirm that VCAT is not a “Chapter III court” under the </w:t>
      </w:r>
      <w:r w:rsidR="0058579A">
        <w:t xml:space="preserve">Commonwealth </w:t>
      </w:r>
      <w:r w:rsidRPr="000A674F">
        <w:t>Constitution and cannot hear such cases</w:t>
      </w:r>
      <w:r w:rsidRPr="00B40F03">
        <w:t>.</w:t>
      </w:r>
    </w:p>
    <w:p w14:paraId="7413D25D" w14:textId="10C65654" w:rsidR="00B72B85" w:rsidRPr="000A674F" w:rsidRDefault="0058579A" w:rsidP="00B72B85">
      <w:pPr>
        <w:pStyle w:val="DJCSbodyafterbullets"/>
        <w:ind w:left="709"/>
      </w:pPr>
      <w:r>
        <w:lastRenderedPageBreak/>
        <w:t xml:space="preserve">As a result of these decisions, </w:t>
      </w:r>
      <w:r w:rsidR="00B72B85" w:rsidRPr="000A674F">
        <w:t xml:space="preserve">VCAT must now screen </w:t>
      </w:r>
      <w:r w:rsidR="00876DEE">
        <w:t xml:space="preserve">out </w:t>
      </w:r>
      <w:r w:rsidR="00B72B85" w:rsidRPr="000A674F">
        <w:t xml:space="preserve">applications for </w:t>
      </w:r>
      <w:r w:rsidR="00545D4A">
        <w:t xml:space="preserve">the </w:t>
      </w:r>
      <w:r w:rsidR="00B72B85" w:rsidRPr="000A674F">
        <w:t xml:space="preserve">federal jurisdiction. If a case raises federal questions or </w:t>
      </w:r>
      <w:r w:rsidR="00A342F4">
        <w:t>involves</w:t>
      </w:r>
      <w:r w:rsidR="00A342F4" w:rsidRPr="000A674F">
        <w:t xml:space="preserve"> </w:t>
      </w:r>
      <w:r w:rsidR="00A342F4">
        <w:t>inter</w:t>
      </w:r>
      <w:r w:rsidR="00B72B85" w:rsidRPr="000A674F">
        <w:t xml:space="preserve">state parties or </w:t>
      </w:r>
      <w:r w:rsidR="00A342F4">
        <w:t>the</w:t>
      </w:r>
      <w:r w:rsidR="00B72B85" w:rsidRPr="000A674F">
        <w:t xml:space="preserve"> Commonwealth, VCAT must strike it out or refer it under section 77 of the VCAT Act. Affected applicants must refile in a</w:t>
      </w:r>
      <w:r w:rsidR="00786462">
        <w:t>n alternative</w:t>
      </w:r>
      <w:r w:rsidR="00B72B85" w:rsidRPr="000A674F">
        <w:t xml:space="preserve"> court </w:t>
      </w:r>
      <w:r w:rsidR="00786462">
        <w:t>that has</w:t>
      </w:r>
      <w:r w:rsidR="00B72B85" w:rsidRPr="000A674F">
        <w:t xml:space="preserve"> jurisdiction (e.g., Magistrates’, County, or Supreme Court), leading to increased administrative tasks and procedural coordination.</w:t>
      </w:r>
    </w:p>
    <w:p w14:paraId="377A25E8" w14:textId="14379BB1" w:rsidR="00B72B85" w:rsidRPr="000A674F" w:rsidRDefault="008064B6" w:rsidP="00B72B85">
      <w:pPr>
        <w:pStyle w:val="DJCSbodyafterbullets"/>
        <w:ind w:left="709"/>
      </w:pPr>
      <w:r>
        <w:t>To manage this,</w:t>
      </w:r>
      <w:r w:rsidR="00B72B85" w:rsidRPr="000A674F">
        <w:t xml:space="preserve"> </w:t>
      </w:r>
      <w:r w:rsidR="00E71C2C">
        <w:t>VCAT</w:t>
      </w:r>
      <w:r w:rsidR="00E71C2C" w:rsidRPr="000A674F">
        <w:t xml:space="preserve"> </w:t>
      </w:r>
      <w:r w:rsidR="00B72B85" w:rsidRPr="000A674F">
        <w:t>operations have changed to include mandatory jurisdiction checks and referrals, more frequent engagement with court registries, and additional communications with applicants explaining why cases cannot proceed in VCAT.</w:t>
      </w:r>
    </w:p>
    <w:p w14:paraId="640D1350" w14:textId="52291A75" w:rsidR="00B72B85" w:rsidRDefault="00B72B85" w:rsidP="00B72B85">
      <w:pPr>
        <w:pStyle w:val="DJCSbodyafterbullets"/>
        <w:ind w:left="709"/>
      </w:pPr>
      <w:r w:rsidRPr="00DF79B8">
        <w:t xml:space="preserve">These changes impact service accessibility and cost, reinforcing the importance </w:t>
      </w:r>
      <w:r>
        <w:t>of reviewing the service delivery cost</w:t>
      </w:r>
      <w:r w:rsidR="00AB51C0">
        <w:t>s</w:t>
      </w:r>
      <w:r>
        <w:t xml:space="preserve"> as part of the </w:t>
      </w:r>
      <w:r w:rsidR="00AB51C0">
        <w:t>R</w:t>
      </w:r>
      <w:r>
        <w:t>egulations</w:t>
      </w:r>
      <w:r w:rsidR="00B670C0">
        <w:t xml:space="preserve"> when considering </w:t>
      </w:r>
      <w:r w:rsidR="00F1108E">
        <w:t>changes to VCAT fees.</w:t>
      </w:r>
    </w:p>
    <w:p w14:paraId="64AAE2B0" w14:textId="77777777" w:rsidR="00B72B85" w:rsidRDefault="00B72B85" w:rsidP="00B72B85">
      <w:pPr>
        <w:pStyle w:val="Heading3"/>
      </w:pPr>
      <w:bookmarkStart w:id="60" w:name="_Toc216179688"/>
      <w:r>
        <w:t>Introduction of Rental Dispute Resolution Victoria (RDRV) (2025)</w:t>
      </w:r>
      <w:bookmarkEnd w:id="60"/>
    </w:p>
    <w:p w14:paraId="0AC77918" w14:textId="0152A7B6" w:rsidR="00B72B85" w:rsidRDefault="00B72B85" w:rsidP="00B72B85">
      <w:pPr>
        <w:pStyle w:val="DJCSbodyafterbullets"/>
        <w:ind w:left="709"/>
      </w:pPr>
      <w:r>
        <w:t>RDRV</w:t>
      </w:r>
      <w:r w:rsidR="00F1108E">
        <w:t xml:space="preserve"> was </w:t>
      </w:r>
      <w:r w:rsidR="000B157F">
        <w:t>introduced in July 2025</w:t>
      </w:r>
      <w:r>
        <w:t xml:space="preserve"> to streamline resolution of </w:t>
      </w:r>
      <w:r w:rsidR="00D0226F">
        <w:t xml:space="preserve">frequent </w:t>
      </w:r>
      <w:r>
        <w:t>tenancy disputes under VCAT’s oversight</w:t>
      </w:r>
      <w:r w:rsidR="00255C79">
        <w:t>.</w:t>
      </w:r>
      <w:r>
        <w:t xml:space="preserve"> RDRV offers free, early intervention for bond, compensation, rent increase, and repair disputes via designated coordinators. </w:t>
      </w:r>
    </w:p>
    <w:p w14:paraId="217D4A90" w14:textId="5AF8990D" w:rsidR="00B72B85" w:rsidRDefault="00F23EBB" w:rsidP="00B72B85">
      <w:pPr>
        <w:pStyle w:val="DJCSbodyafterbullets"/>
        <w:ind w:left="709"/>
      </w:pPr>
      <w:r>
        <w:t>To</w:t>
      </w:r>
      <w:r w:rsidDel="00D0226F">
        <w:t xml:space="preserve"> </w:t>
      </w:r>
      <w:r w:rsidR="00D0226F">
        <w:t>facilitate the establishment of</w:t>
      </w:r>
      <w:r>
        <w:t xml:space="preserve"> RDRV, </w:t>
      </w:r>
      <w:r w:rsidR="00B72B85">
        <w:t>VCAT deployed approximately 40 resolution coordinators and intake staff, implemented new digital case management via a standalone portal, and established support centres in the CBD, Oakleigh, Bundoora, Frankston, and Bendigo. It reallocated resources from routine tenancy hearings to the RDRV model.</w:t>
      </w:r>
    </w:p>
    <w:p w14:paraId="5EA23CAB" w14:textId="1ABF931B" w:rsidR="00B72B85" w:rsidRDefault="00CA43A6" w:rsidP="00B72B85">
      <w:pPr>
        <w:pStyle w:val="DJCSbodyafterbullets"/>
        <w:ind w:left="709"/>
      </w:pPr>
      <w:r>
        <w:t xml:space="preserve">During an initial trial, </w:t>
      </w:r>
      <w:r w:rsidR="00B72B85">
        <w:t>RDRV resolved approximately 5,000 bond and compensation disputes, achieving around 70% resolution without hearings and delivering outcomes within days. The service eases pressure on VCAT’s Residential Tenancies List, enhancing efficiency and reducing stress and costs for users. The reform improves housing stability by offering faster, fairer, and cheaper dispute resolution.</w:t>
      </w:r>
    </w:p>
    <w:p w14:paraId="03EC5786" w14:textId="77777777" w:rsidR="00F14F08" w:rsidRDefault="00F14F08" w:rsidP="00F14F08">
      <w:pPr>
        <w:pStyle w:val="DJCSbodyafterbullets"/>
        <w:ind w:left="709"/>
      </w:pPr>
      <w:r w:rsidRPr="00DF79B8">
        <w:t xml:space="preserve">The launch of RDRV supports </w:t>
      </w:r>
      <w:r>
        <w:t>VCAT</w:t>
      </w:r>
      <w:r w:rsidRPr="00DF79B8">
        <w:t xml:space="preserve"> by offering free, early resolution for common tenancy disputes, reducing the need for formal hearings and associated costs. By reallocating resources and streamlining dispute handling, VCAT improves efficiency and delivers better value for users, aligning with the review’s goals of affordability, transparency, and user-focused service delivery.</w:t>
      </w:r>
    </w:p>
    <w:p w14:paraId="10FE5B78" w14:textId="6BE6C674" w:rsidR="00B72B85" w:rsidRDefault="00DB2135" w:rsidP="00B72B85">
      <w:pPr>
        <w:pStyle w:val="DJCSbodyafterbullets"/>
        <w:ind w:left="709"/>
      </w:pPr>
      <w:r>
        <w:t>However</w:t>
      </w:r>
      <w:r w:rsidR="00B72B85" w:rsidRPr="00A87863">
        <w:t xml:space="preserve">, it also introduces operational challenges for VCAT, including significant resource reallocation, new infrastructure demands, and the need to maintain oversight across a growing service footprint. Sustaining this model </w:t>
      </w:r>
      <w:r w:rsidR="002E7A13" w:rsidRPr="00A87863">
        <w:t xml:space="preserve">presents with </w:t>
      </w:r>
      <w:r w:rsidR="00834638" w:rsidRPr="00A87863">
        <w:t>operational costs relevant to rem</w:t>
      </w:r>
      <w:r w:rsidR="00A52897" w:rsidRPr="00A87863">
        <w:t>aking of the fee regulations.</w:t>
      </w:r>
      <w:r w:rsidR="00B72B85" w:rsidRPr="00E16835">
        <w:t xml:space="preserve"> </w:t>
      </w:r>
    </w:p>
    <w:p w14:paraId="3DF5B185" w14:textId="77777777" w:rsidR="00B72B85" w:rsidRDefault="00B72B85" w:rsidP="00B72B85">
      <w:pPr>
        <w:pStyle w:val="Heading3"/>
      </w:pPr>
      <w:bookmarkStart w:id="61" w:name="_Toc216179689"/>
      <w:r>
        <w:t>Introduction of Fast Track List</w:t>
      </w:r>
      <w:bookmarkEnd w:id="61"/>
    </w:p>
    <w:p w14:paraId="15A80B1E" w14:textId="2CB6BF8F" w:rsidR="00B72B85" w:rsidRPr="000A674F" w:rsidRDefault="00B72B85" w:rsidP="00B72B85">
      <w:pPr>
        <w:pStyle w:val="DJCSbody"/>
        <w:ind w:left="720"/>
      </w:pPr>
      <w:r w:rsidRPr="005825D2">
        <w:t>In</w:t>
      </w:r>
      <w:r w:rsidRPr="000A674F">
        <w:t xml:space="preserve"> Ju</w:t>
      </w:r>
      <w:r w:rsidR="008B0623">
        <w:t>ly</w:t>
      </w:r>
      <w:r w:rsidRPr="000A674F">
        <w:t xml:space="preserve"> 2022</w:t>
      </w:r>
      <w:r w:rsidR="00DB2135">
        <w:t>,</w:t>
      </w:r>
      <w:r w:rsidRPr="000A674F">
        <w:t xml:space="preserve"> VCAT </w:t>
      </w:r>
      <w:r w:rsidR="008B0623">
        <w:t xml:space="preserve">implemented the </w:t>
      </w:r>
      <w:r w:rsidRPr="000A674F">
        <w:t xml:space="preserve">Fast Track List to expedite specific post-permit planning applications under the </w:t>
      </w:r>
      <w:r w:rsidRPr="00C329DD">
        <w:t>Planning and Environment Act</w:t>
      </w:r>
      <w:r w:rsidRPr="000A674F">
        <w:t>. This initiative responds to demand for faster decision-making on straightforward permit-related matters</w:t>
      </w:r>
      <w:r w:rsidR="008114D2">
        <w:t xml:space="preserve"> </w:t>
      </w:r>
      <w:r w:rsidR="00D8105A">
        <w:t xml:space="preserve">where there are limited </w:t>
      </w:r>
      <w:r w:rsidR="00286F75">
        <w:t xml:space="preserve">parties </w:t>
      </w:r>
      <w:r w:rsidR="00D24366">
        <w:t xml:space="preserve">involved, amended plans </w:t>
      </w:r>
      <w:r w:rsidR="007B76AB">
        <w:t>do not need to be</w:t>
      </w:r>
      <w:r w:rsidR="00D24366">
        <w:t xml:space="preserve"> filed</w:t>
      </w:r>
      <w:r w:rsidR="008B7EB6">
        <w:t xml:space="preserve"> </w:t>
      </w:r>
      <w:r w:rsidR="00D24366">
        <w:t>and Cultural Heritage Management Plan requirements have been addressed or</w:t>
      </w:r>
      <w:r w:rsidR="008B7EB6">
        <w:t xml:space="preserve"> are</w:t>
      </w:r>
      <w:r w:rsidR="00D24366">
        <w:t xml:space="preserve"> not relevant.</w:t>
      </w:r>
    </w:p>
    <w:p w14:paraId="6ABF4288" w14:textId="1F8CBE35" w:rsidR="00B72B85" w:rsidRPr="000A674F" w:rsidRDefault="00B72B85" w:rsidP="00B72B85">
      <w:pPr>
        <w:pStyle w:val="DJCSbody"/>
        <w:ind w:left="720"/>
      </w:pPr>
      <w:r w:rsidRPr="000A674F">
        <w:t>VCAT</w:t>
      </w:r>
      <w:r w:rsidR="008114D2">
        <w:t xml:space="preserve"> now</w:t>
      </w:r>
      <w:r w:rsidRPr="000A674F">
        <w:t xml:space="preserve"> automatically places applications such as permit extensions (</w:t>
      </w:r>
      <w:r w:rsidR="00DB575C">
        <w:t xml:space="preserve">sections </w:t>
      </w:r>
      <w:r w:rsidR="00DB575C" w:rsidRPr="000A674F">
        <w:t>81</w:t>
      </w:r>
      <w:r w:rsidRPr="000A674F">
        <w:t>(1)</w:t>
      </w:r>
      <w:r w:rsidR="00DB575C">
        <w:t xml:space="preserve"> and </w:t>
      </w:r>
      <w:r w:rsidRPr="000A674F">
        <w:t> 81(2)</w:t>
      </w:r>
      <w:r w:rsidR="00DB575C">
        <w:t xml:space="preserve"> of the Planning and Environment Act</w:t>
      </w:r>
      <w:r w:rsidRPr="000A674F">
        <w:t>), permit cancellations/amendments (</w:t>
      </w:r>
      <w:r w:rsidR="00DB575C">
        <w:t>sections</w:t>
      </w:r>
      <w:r w:rsidR="00DB575C" w:rsidRPr="000A674F">
        <w:t> 87</w:t>
      </w:r>
      <w:r w:rsidRPr="000A674F">
        <w:t>, 89</w:t>
      </w:r>
      <w:r w:rsidR="00DB575C">
        <w:t xml:space="preserve"> and </w:t>
      </w:r>
      <w:r w:rsidRPr="000A674F">
        <w:t>93</w:t>
      </w:r>
      <w:r w:rsidR="00DB575C">
        <w:t xml:space="preserve"> of the Planning and Environment Act</w:t>
      </w:r>
      <w:r w:rsidRPr="000A674F">
        <w:t>), certificate-of-compliance matters (</w:t>
      </w:r>
      <w:r w:rsidR="00DB575C">
        <w:t xml:space="preserve">sections </w:t>
      </w:r>
      <w:r w:rsidR="00DB575C" w:rsidRPr="000A674F">
        <w:t>97P</w:t>
      </w:r>
      <w:r w:rsidR="00DB575C">
        <w:t xml:space="preserve"> and </w:t>
      </w:r>
      <w:r w:rsidRPr="000A674F">
        <w:t> 97Q</w:t>
      </w:r>
      <w:r w:rsidR="00DB575C">
        <w:t xml:space="preserve"> of the Planning and Environment Act</w:t>
      </w:r>
      <w:r w:rsidRPr="000A674F">
        <w:t>), declarations (</w:t>
      </w:r>
      <w:r w:rsidR="00DB575C">
        <w:t xml:space="preserve">section </w:t>
      </w:r>
      <w:r w:rsidR="00DB575C" w:rsidRPr="000A674F">
        <w:t> 149A</w:t>
      </w:r>
      <w:r w:rsidR="00DB575C">
        <w:t xml:space="preserve"> of the Planning and Environment Act</w:t>
      </w:r>
      <w:r w:rsidRPr="000A674F">
        <w:t>), satisfaction reviews (</w:t>
      </w:r>
      <w:r w:rsidR="00DB575C">
        <w:t xml:space="preserve">section </w:t>
      </w:r>
      <w:r w:rsidR="00DB575C" w:rsidRPr="000A674F">
        <w:t> 149</w:t>
      </w:r>
      <w:r w:rsidRPr="000A674F">
        <w:t>(1)</w:t>
      </w:r>
      <w:r w:rsidR="00DB575C">
        <w:t xml:space="preserve"> of the Planning and Environment Act</w:t>
      </w:r>
      <w:r w:rsidRPr="000A674F">
        <w:t>), and section 173 agreement changes (</w:t>
      </w:r>
      <w:r w:rsidR="00DB575C">
        <w:t xml:space="preserve">section </w:t>
      </w:r>
      <w:r w:rsidRPr="000A674F">
        <w:t> 184</w:t>
      </w:r>
      <w:r w:rsidR="00DB575C">
        <w:t>-</w:t>
      </w:r>
      <w:r w:rsidRPr="000A674F">
        <w:t>184D</w:t>
      </w:r>
      <w:r w:rsidR="00DB575C">
        <w:t xml:space="preserve"> of the Planning and Environment Act</w:t>
      </w:r>
      <w:r w:rsidRPr="000A674F">
        <w:t xml:space="preserve">) into the Fast Track List. Hearings are scheduled 9–12 weeks </w:t>
      </w:r>
      <w:r w:rsidR="009F1423">
        <w:t xml:space="preserve">after </w:t>
      </w:r>
      <w:r w:rsidRPr="000A674F">
        <w:t>lodgement</w:t>
      </w:r>
      <w:r w:rsidR="00DB575C">
        <w:t>, with VCAT making decisions</w:t>
      </w:r>
      <w:r w:rsidRPr="000A674F">
        <w:t xml:space="preserve"> within 2</w:t>
      </w:r>
      <w:r w:rsidR="00DB575C">
        <w:t> </w:t>
      </w:r>
      <w:r w:rsidRPr="000A674F">
        <w:t>weeks for straightforward cases and 6 weeks for complex matters after hearings. Parties may</w:t>
      </w:r>
      <w:r w:rsidR="009F1423">
        <w:t xml:space="preserve"> </w:t>
      </w:r>
      <w:r w:rsidR="009F1423">
        <w:lastRenderedPageBreak/>
        <w:t>even</w:t>
      </w:r>
      <w:r w:rsidRPr="000A674F">
        <w:t xml:space="preserve"> request ‘on-the-papers’ decisions</w:t>
      </w:r>
      <w:r w:rsidR="00C51B83">
        <w:t>, which means a decision can be</w:t>
      </w:r>
      <w:r w:rsidRPr="000A674F">
        <w:t xml:space="preserve"> </w:t>
      </w:r>
      <w:r w:rsidR="00C325C3">
        <w:t xml:space="preserve">made </w:t>
      </w:r>
      <w:r w:rsidRPr="000A674F">
        <w:t xml:space="preserve">without </w:t>
      </w:r>
      <w:r w:rsidR="00C325C3">
        <w:t xml:space="preserve">their </w:t>
      </w:r>
      <w:r w:rsidRPr="000A674F">
        <w:t>attendance.</w:t>
      </w:r>
    </w:p>
    <w:p w14:paraId="2902EA36" w14:textId="72D98169" w:rsidR="00B72B85" w:rsidRPr="00D167A0" w:rsidRDefault="00B72B85" w:rsidP="00B72B85">
      <w:pPr>
        <w:pStyle w:val="DJCSbody"/>
        <w:ind w:left="720"/>
      </w:pPr>
      <w:r w:rsidRPr="000A674F">
        <w:t>VCAT has adjusted its scheduling</w:t>
      </w:r>
      <w:r w:rsidR="00DA096D">
        <w:rPr>
          <w:rStyle w:val="FootnoteReference"/>
        </w:rPr>
        <w:footnoteReference w:id="20"/>
      </w:r>
      <w:r w:rsidRPr="000A674F">
        <w:t>, pre</w:t>
      </w:r>
      <w:r w:rsidRPr="000A674F">
        <w:noBreakHyphen/>
        <w:t>hearing directions, and case management practices to meet th</w:t>
      </w:r>
      <w:r w:rsidR="00570736">
        <w:t>ese</w:t>
      </w:r>
      <w:r w:rsidRPr="000A674F">
        <w:t xml:space="preserve"> compressed timelines. </w:t>
      </w:r>
      <w:r w:rsidR="00AE6301">
        <w:t>These changes are relevant to the remaking of VCAT fee</w:t>
      </w:r>
      <w:r w:rsidR="00C203B7">
        <w:t xml:space="preserve"> regulations because</w:t>
      </w:r>
      <w:r w:rsidR="00FF5101">
        <w:t xml:space="preserve"> they</w:t>
      </w:r>
      <w:r w:rsidRPr="00784D1D">
        <w:t xml:space="preserve"> accelerat</w:t>
      </w:r>
      <w:r w:rsidR="00B67073">
        <w:t>e</w:t>
      </w:r>
      <w:r w:rsidRPr="00784D1D">
        <w:t xml:space="preserve"> decision-making for straightforward planning matters. By reducing</w:t>
      </w:r>
      <w:r w:rsidRPr="00D167A0">
        <w:t xml:space="preserve"> hearing backlogs and enabling faster resolutions, VCAT delivers better value for fees paid and ensures resources are focused on complex cases.</w:t>
      </w:r>
    </w:p>
    <w:p w14:paraId="6FDFF0E8" w14:textId="77777777" w:rsidR="00B72B85" w:rsidRDefault="00B72B85" w:rsidP="00B72B85">
      <w:pPr>
        <w:pStyle w:val="Heading3"/>
      </w:pPr>
      <w:bookmarkStart w:id="62" w:name="_Toc216179690"/>
      <w:r>
        <w:t>Operating Model Improvement Program</w:t>
      </w:r>
      <w:bookmarkEnd w:id="62"/>
    </w:p>
    <w:p w14:paraId="7D29E592" w14:textId="77777777" w:rsidR="00B72B85" w:rsidRPr="00F44CDE" w:rsidRDefault="00B72B85" w:rsidP="00630DA0">
      <w:pPr>
        <w:pStyle w:val="DJCSbody"/>
        <w:ind w:left="720"/>
      </w:pPr>
      <w:r w:rsidRPr="00F44CDE">
        <w:t>In April 2024, VCAT launched the Operating Model Improvement Program to reduce delays, simplify processes, and improve user outcomes. The program began with the Residential Tenancies List and builds on insights from the Backlog Recovery Program, directly addressing user feedback on delays, rework, and system complexity.</w:t>
      </w:r>
    </w:p>
    <w:p w14:paraId="4B590474" w14:textId="77777777" w:rsidR="00B72B85" w:rsidRDefault="00B72B85" w:rsidP="00630DA0">
      <w:pPr>
        <w:pStyle w:val="DJCSbody"/>
        <w:ind w:left="720"/>
      </w:pPr>
      <w:r w:rsidRPr="00F44CDE">
        <w:t xml:space="preserve">The new model enhances user support by referring individuals to more appropriate agencies when needed and encouraging early resolution through agreements or mediation. It ensures applications are complete and ready to progress, while providing clear guidance and regular status updates. Technology plays a key role in personalising communication and streamlining case tracking, making VCAT more user-friendly and efficient. These changes help deliver better value for users and </w:t>
      </w:r>
      <w:r>
        <w:t xml:space="preserve">achieve </w:t>
      </w:r>
      <w:r w:rsidRPr="00F44CDE">
        <w:t>transparency, cost-effectiveness, and user focus.</w:t>
      </w:r>
    </w:p>
    <w:p w14:paraId="310CBE11" w14:textId="3957B7EF" w:rsidR="00B72B85" w:rsidRPr="0066011D" w:rsidRDefault="00B72B85" w:rsidP="00630DA0">
      <w:pPr>
        <w:pStyle w:val="DJCSbody"/>
        <w:ind w:left="720"/>
      </w:pPr>
      <w:r w:rsidRPr="0066011D">
        <w:t xml:space="preserve">The model when applied to the Planning and Environment </w:t>
      </w:r>
      <w:r w:rsidR="00054C03">
        <w:t>L</w:t>
      </w:r>
      <w:r w:rsidR="00054C03" w:rsidRPr="0066011D">
        <w:t xml:space="preserve">ist </w:t>
      </w:r>
      <w:r w:rsidRPr="0066011D">
        <w:t>has been particularly effective at reducing the number and length of hearings.</w:t>
      </w:r>
      <w:r>
        <w:t xml:space="preserve"> The model has involved the more effective use of compulsory conferences </w:t>
      </w:r>
      <w:r w:rsidR="00132D55">
        <w:t>to</w:t>
      </w:r>
      <w:r>
        <w:t xml:space="preserve"> reduce the reliance on hearings. This has </w:t>
      </w:r>
      <w:r w:rsidR="00B652A4">
        <w:t>reduced</w:t>
      </w:r>
      <w:r>
        <w:t xml:space="preserve"> the </w:t>
      </w:r>
      <w:r w:rsidR="00602144">
        <w:t xml:space="preserve">amount </w:t>
      </w:r>
      <w:r>
        <w:t>of hearing fees collected</w:t>
      </w:r>
      <w:r w:rsidR="006B0026">
        <w:t xml:space="preserve"> as</w:t>
      </w:r>
      <w:r>
        <w:t xml:space="preserve"> compulsory conferences </w:t>
      </w:r>
      <w:r w:rsidR="00E11840">
        <w:t xml:space="preserve">are </w:t>
      </w:r>
      <w:r>
        <w:t xml:space="preserve">not reflected in the current fee structure. </w:t>
      </w:r>
      <w:r w:rsidR="002C72AF">
        <w:t>Cost recovery for c</w:t>
      </w:r>
      <w:r>
        <w:t xml:space="preserve">ompulsory conferences </w:t>
      </w:r>
      <w:r w:rsidR="002C72AF">
        <w:t>was included</w:t>
      </w:r>
      <w:r>
        <w:t xml:space="preserve"> in the</w:t>
      </w:r>
      <w:r w:rsidR="00F7245A">
        <w:t xml:space="preserve"> </w:t>
      </w:r>
      <w:r w:rsidR="008E5EF7">
        <w:t>Regulations</w:t>
      </w:r>
      <w:r w:rsidR="002C72AF">
        <w:t xml:space="preserve"> as part of the</w:t>
      </w:r>
      <w:r w:rsidR="00F7245A">
        <w:t xml:space="preserve"> </w:t>
      </w:r>
      <w:r>
        <w:t>application fee</w:t>
      </w:r>
      <w:r w:rsidR="00602144">
        <w:t>. This</w:t>
      </w:r>
      <w:r w:rsidR="00F7245A">
        <w:t xml:space="preserve"> </w:t>
      </w:r>
      <w:r w:rsidR="00207149">
        <w:t>approach</w:t>
      </w:r>
      <w:r w:rsidR="00F7245A">
        <w:t xml:space="preserve"> does not accurately capture the amount of </w:t>
      </w:r>
      <w:r w:rsidR="00C304AA">
        <w:t xml:space="preserve">service </w:t>
      </w:r>
      <w:r>
        <w:t>activity</w:t>
      </w:r>
      <w:r w:rsidR="0018202C">
        <w:t xml:space="preserve"> and </w:t>
      </w:r>
      <w:r w:rsidR="00BD1EA1">
        <w:t>cannot be increased further without compromising access to justice</w:t>
      </w:r>
      <w:r>
        <w:t>.</w:t>
      </w:r>
    </w:p>
    <w:p w14:paraId="4CE281C4" w14:textId="0FC4F3D6" w:rsidR="00A00994" w:rsidRPr="00FB6A59" w:rsidRDefault="00A3622A" w:rsidP="00767CF3">
      <w:pPr>
        <w:pStyle w:val="Heading2"/>
      </w:pPr>
      <w:bookmarkStart w:id="63" w:name="_Toc216179691"/>
      <w:r w:rsidRPr="00FB6A59">
        <w:t xml:space="preserve">Access to </w:t>
      </w:r>
      <w:r w:rsidR="00207149">
        <w:t>j</w:t>
      </w:r>
      <w:r w:rsidR="00207149" w:rsidRPr="00FB6A59">
        <w:t>ustice</w:t>
      </w:r>
      <w:bookmarkEnd w:id="63"/>
    </w:p>
    <w:p w14:paraId="3CEED345" w14:textId="1717169C" w:rsidR="00822980" w:rsidRDefault="0007246F" w:rsidP="00630DA0">
      <w:pPr>
        <w:pStyle w:val="DJCSbody"/>
        <w:ind w:left="720"/>
      </w:pPr>
      <w:r w:rsidRPr="0007246F">
        <w:t xml:space="preserve">VCAT plays an important role in ensuring all Victorians have access to </w:t>
      </w:r>
      <w:r w:rsidR="00671DB1">
        <w:t xml:space="preserve">an </w:t>
      </w:r>
      <w:r w:rsidRPr="0007246F">
        <w:t xml:space="preserve">affordable and efficient avenue for dispute resolution. </w:t>
      </w:r>
      <w:r w:rsidR="00663462">
        <w:t>However</w:t>
      </w:r>
      <w:r w:rsidR="00836D32">
        <w:t>, d</w:t>
      </w:r>
      <w:r w:rsidR="00F958C3">
        <w:t xml:space="preserve">epending on the nature of the </w:t>
      </w:r>
      <w:r w:rsidR="004E2B41">
        <w:t>matter,</w:t>
      </w:r>
      <w:r w:rsidR="00F958C3">
        <w:t xml:space="preserve"> </w:t>
      </w:r>
      <w:r w:rsidR="0077109B">
        <w:t xml:space="preserve">there is </w:t>
      </w:r>
      <w:r w:rsidR="009865D0">
        <w:t xml:space="preserve">still </w:t>
      </w:r>
      <w:r w:rsidR="0077109B">
        <w:t xml:space="preserve">potential for </w:t>
      </w:r>
      <w:r w:rsidRPr="0007246F">
        <w:t xml:space="preserve">cases </w:t>
      </w:r>
      <w:r w:rsidR="0077109B">
        <w:t xml:space="preserve">to become </w:t>
      </w:r>
      <w:r w:rsidRPr="0007246F">
        <w:t>lengthy and costly</w:t>
      </w:r>
      <w:r w:rsidR="00836D32">
        <w:t>, particularly</w:t>
      </w:r>
      <w:r w:rsidR="004E2B41">
        <w:t xml:space="preserve"> if </w:t>
      </w:r>
      <w:r w:rsidR="002A0A3E">
        <w:t xml:space="preserve">the applicant </w:t>
      </w:r>
      <w:r w:rsidR="008B0248">
        <w:t>engage</w:t>
      </w:r>
      <w:r w:rsidR="00817C6A">
        <w:t>s</w:t>
      </w:r>
      <w:r w:rsidR="002A0A3E">
        <w:t xml:space="preserve"> legal representation.</w:t>
      </w:r>
      <w:r w:rsidR="00A8405E">
        <w:t xml:space="preserve"> To mitigate this financial burden, t</w:t>
      </w:r>
      <w:r w:rsidRPr="0007246F">
        <w:t xml:space="preserve">here </w:t>
      </w:r>
      <w:r w:rsidR="00E25FFC">
        <w:t>are</w:t>
      </w:r>
      <w:r w:rsidR="00553CD8">
        <w:t xml:space="preserve"> </w:t>
      </w:r>
      <w:r w:rsidRPr="0007246F">
        <w:t>fee relief</w:t>
      </w:r>
      <w:r w:rsidR="00553CD8">
        <w:t xml:space="preserve"> </w:t>
      </w:r>
      <w:r w:rsidR="00E25FFC">
        <w:t xml:space="preserve">options </w:t>
      </w:r>
      <w:r w:rsidR="00553CD8">
        <w:t xml:space="preserve">available </w:t>
      </w:r>
      <w:r w:rsidRPr="0007246F">
        <w:t>at VCAT</w:t>
      </w:r>
      <w:r w:rsidR="00081DD3">
        <w:t>,</w:t>
      </w:r>
      <w:r w:rsidRPr="0007246F">
        <w:t xml:space="preserve"> such as fee waivers and lower </w:t>
      </w:r>
      <w:r w:rsidR="0077362F">
        <w:t xml:space="preserve">fees </w:t>
      </w:r>
      <w:r w:rsidRPr="0007246F">
        <w:t xml:space="preserve">for concession </w:t>
      </w:r>
      <w:r w:rsidR="0077362F">
        <w:t>fee payers</w:t>
      </w:r>
      <w:r w:rsidR="00081DD3">
        <w:t xml:space="preserve">. </w:t>
      </w:r>
      <w:r w:rsidR="0016015A">
        <w:t>The following sections</w:t>
      </w:r>
      <w:r w:rsidR="008473AD">
        <w:t xml:space="preserve"> </w:t>
      </w:r>
      <w:r w:rsidR="0016015A">
        <w:t xml:space="preserve">detail some of the </w:t>
      </w:r>
      <w:r w:rsidR="000A65F1">
        <w:t xml:space="preserve">gaps in </w:t>
      </w:r>
      <w:r w:rsidR="008C26B1">
        <w:t>the current</w:t>
      </w:r>
      <w:r w:rsidR="000A65F1">
        <w:t xml:space="preserve"> fee </w:t>
      </w:r>
      <w:r w:rsidR="006A7270">
        <w:t xml:space="preserve">relief measures </w:t>
      </w:r>
      <w:r w:rsidR="004F2C37">
        <w:t>that may act as barriers to accessing tribunal services</w:t>
      </w:r>
      <w:r w:rsidR="0016015A">
        <w:t xml:space="preserve"> and access to justice.</w:t>
      </w:r>
    </w:p>
    <w:p w14:paraId="323F316E" w14:textId="77777777" w:rsidR="00E21BA0" w:rsidRDefault="00E21BA0" w:rsidP="003C0D06">
      <w:pPr>
        <w:pStyle w:val="Heading3"/>
      </w:pPr>
      <w:bookmarkStart w:id="64" w:name="_Toc216179692"/>
      <w:r>
        <w:t>Gaps in existing fee reliefs in VCAT</w:t>
      </w:r>
      <w:bookmarkEnd w:id="64"/>
    </w:p>
    <w:p w14:paraId="3D580FEB" w14:textId="5CC1B322" w:rsidR="00E21BA0" w:rsidRDefault="00E21BA0" w:rsidP="00630DA0">
      <w:pPr>
        <w:pStyle w:val="DJCSbody"/>
        <w:ind w:left="720"/>
      </w:pPr>
      <w:r>
        <w:t xml:space="preserve">VCAT currently provides automatic waivers to various individuals who have financial disadvantage and other specific characteristics. </w:t>
      </w:r>
      <w:r w:rsidR="000F3089">
        <w:t>This means they are aut</w:t>
      </w:r>
      <w:r w:rsidR="0010701D">
        <w:t>omatically considered eligible for free or reduced fees.</w:t>
      </w:r>
    </w:p>
    <w:p w14:paraId="766784BB" w14:textId="3EF36514" w:rsidR="00E21BA0" w:rsidRDefault="00E21BA0" w:rsidP="00630DA0">
      <w:pPr>
        <w:pStyle w:val="DJCSbody"/>
        <w:ind w:left="720"/>
      </w:pPr>
      <w:r>
        <w:t xml:space="preserve">Automatic waivers for financial hardship </w:t>
      </w:r>
      <w:r w:rsidR="006D2CFD">
        <w:t>in VCAT</w:t>
      </w:r>
      <w:r w:rsidR="0010701D">
        <w:t xml:space="preserve"> currently</w:t>
      </w:r>
      <w:r>
        <w:t xml:space="preserve"> have a narrow scope because they are tied to receiving legal assistance</w:t>
      </w:r>
      <w:r w:rsidR="006D2CFD">
        <w:t xml:space="preserve"> through Victoria Legal Aid</w:t>
      </w:r>
      <w:r w:rsidR="00487A9C">
        <w:t xml:space="preserve">, </w:t>
      </w:r>
      <w:r w:rsidR="003F7338">
        <w:t>community legal centres</w:t>
      </w:r>
      <w:r w:rsidR="0032514D">
        <w:t>, providers under the Tenancy Assistance Advocacy program and other</w:t>
      </w:r>
      <w:r w:rsidR="00166F6B">
        <w:t xml:space="preserve"> recognised provi</w:t>
      </w:r>
      <w:r w:rsidR="00094722">
        <w:t>ders that apply</w:t>
      </w:r>
      <w:r w:rsidR="000E7009">
        <w:t xml:space="preserve"> a</w:t>
      </w:r>
      <w:r w:rsidR="00094722">
        <w:t xml:space="preserve"> means test</w:t>
      </w:r>
      <w:r>
        <w:t xml:space="preserve">. Legal assistance in civil cases is rare and largely captures those with the lowest capacity to pay, </w:t>
      </w:r>
      <w:r w:rsidR="000B5BBB">
        <w:t>which means</w:t>
      </w:r>
      <w:r w:rsidR="00B4696E">
        <w:t xml:space="preserve"> people</w:t>
      </w:r>
      <w:r>
        <w:t xml:space="preserve"> experiencing financial disadvantage are</w:t>
      </w:r>
      <w:r w:rsidR="00B4696E">
        <w:t xml:space="preserve"> currently</w:t>
      </w:r>
      <w:r>
        <w:t xml:space="preserve"> required to pay </w:t>
      </w:r>
      <w:r w:rsidR="00917937">
        <w:t xml:space="preserve">VCAT </w:t>
      </w:r>
      <w:r>
        <w:t>fees. While VCAT has discretion to provide</w:t>
      </w:r>
      <w:r w:rsidR="008E7C59">
        <w:t xml:space="preserve"> a</w:t>
      </w:r>
      <w:r>
        <w:t xml:space="preserve"> financial hardship waiver as a flexible </w:t>
      </w:r>
      <w:r>
        <w:lastRenderedPageBreak/>
        <w:t>alternative, discretionary waivers can be administratively burdensome for both tribunal users and registry staff</w:t>
      </w:r>
      <w:r w:rsidR="00DA19E7">
        <w:t xml:space="preserve"> to apply.</w:t>
      </w:r>
    </w:p>
    <w:p w14:paraId="5F2E7881" w14:textId="0A0D7490" w:rsidR="001449D1" w:rsidRDefault="00DA19E7" w:rsidP="00630DA0">
      <w:pPr>
        <w:pStyle w:val="DJCSbody"/>
        <w:ind w:left="720"/>
      </w:pPr>
      <w:r>
        <w:t>The following groups are also eligible for</w:t>
      </w:r>
      <w:r w:rsidR="00E21BA0">
        <w:t xml:space="preserve"> automatic</w:t>
      </w:r>
      <w:r w:rsidR="001449D1">
        <w:t xml:space="preserve"> fee</w:t>
      </w:r>
      <w:r w:rsidR="00E21BA0">
        <w:t xml:space="preserve"> waivers due to specific characteristics</w:t>
      </w:r>
      <w:r w:rsidR="001F31ED">
        <w:t>:</w:t>
      </w:r>
    </w:p>
    <w:p w14:paraId="400983F5" w14:textId="071139DE" w:rsidR="001449D1" w:rsidRDefault="00524CD9" w:rsidP="003C4FE7">
      <w:pPr>
        <w:pStyle w:val="DJCSbody"/>
        <w:numPr>
          <w:ilvl w:val="0"/>
          <w:numId w:val="37"/>
        </w:numPr>
        <w:tabs>
          <w:tab w:val="left" w:pos="993"/>
        </w:tabs>
        <w:ind w:left="1276"/>
      </w:pPr>
      <w:r>
        <w:t>p</w:t>
      </w:r>
      <w:r w:rsidR="001449D1">
        <w:t xml:space="preserve">eople </w:t>
      </w:r>
      <w:r w:rsidR="00E21BA0">
        <w:t>detained</w:t>
      </w:r>
      <w:r w:rsidR="00917937">
        <w:t xml:space="preserve"> in custody</w:t>
      </w:r>
      <w:r w:rsidR="00E21BA0">
        <w:t xml:space="preserve"> (</w:t>
      </w:r>
      <w:r w:rsidR="00447361">
        <w:t xml:space="preserve">in recognition of restricted </w:t>
      </w:r>
      <w:r w:rsidR="00E21BA0">
        <w:t>capacity to generate income</w:t>
      </w:r>
      <w:r w:rsidR="00447361">
        <w:t xml:space="preserve"> and access their assets</w:t>
      </w:r>
      <w:r w:rsidR="00E21BA0">
        <w:t>)</w:t>
      </w:r>
      <w:r w:rsidR="001449D1">
        <w:t>,</w:t>
      </w:r>
    </w:p>
    <w:p w14:paraId="56A55E81" w14:textId="77777777" w:rsidR="00524CD9" w:rsidRDefault="00E21BA0" w:rsidP="003C4FE7">
      <w:pPr>
        <w:pStyle w:val="DJCSbody"/>
        <w:numPr>
          <w:ilvl w:val="0"/>
          <w:numId w:val="37"/>
        </w:numPr>
        <w:tabs>
          <w:tab w:val="left" w:pos="993"/>
        </w:tabs>
        <w:ind w:left="1276"/>
      </w:pPr>
      <w:r>
        <w:t xml:space="preserve">those under 18 years old (a group with limited capacity to pay fees and a vulnerable group in society more broadly), </w:t>
      </w:r>
    </w:p>
    <w:p w14:paraId="5E8B0DE7" w14:textId="5C3AB01E" w:rsidR="00AE042D" w:rsidRDefault="00E21BA0" w:rsidP="003C4FE7">
      <w:pPr>
        <w:pStyle w:val="DJCSbody"/>
        <w:numPr>
          <w:ilvl w:val="0"/>
          <w:numId w:val="37"/>
        </w:numPr>
        <w:tabs>
          <w:tab w:val="left" w:pos="993"/>
        </w:tabs>
        <w:ind w:left="1276"/>
      </w:pPr>
      <w:r>
        <w:t>providers under the Tenancy Assistance Advocacy program</w:t>
      </w:r>
      <w:r w:rsidR="001F31ED">
        <w:t>,</w:t>
      </w:r>
    </w:p>
    <w:p w14:paraId="28099791" w14:textId="2D4CCFFF" w:rsidR="00524CD9" w:rsidRDefault="00E21BA0" w:rsidP="003C4FE7">
      <w:pPr>
        <w:pStyle w:val="DJCSbody"/>
        <w:numPr>
          <w:ilvl w:val="0"/>
          <w:numId w:val="37"/>
        </w:numPr>
        <w:tabs>
          <w:tab w:val="left" w:pos="993"/>
        </w:tabs>
        <w:ind w:left="1276"/>
      </w:pPr>
      <w:r>
        <w:t xml:space="preserve">and those experiencing family violence (for residential tenancies cases). </w:t>
      </w:r>
    </w:p>
    <w:p w14:paraId="2626F00E" w14:textId="405E45E4" w:rsidR="001824A8" w:rsidRDefault="00C703F6" w:rsidP="00630DA0">
      <w:pPr>
        <w:pStyle w:val="DJCSbody"/>
        <w:ind w:left="720"/>
      </w:pPr>
      <w:r>
        <w:t>P</w:t>
      </w:r>
      <w:r w:rsidR="00AE042D">
        <w:t>eople w</w:t>
      </w:r>
      <w:r w:rsidR="00E21BA0">
        <w:t xml:space="preserve">ho may </w:t>
      </w:r>
      <w:r w:rsidR="00AE042D">
        <w:t xml:space="preserve">be </w:t>
      </w:r>
      <w:r w:rsidR="00E21BA0">
        <w:t>experienc</w:t>
      </w:r>
      <w:r w:rsidR="00AE042D">
        <w:t>ing</w:t>
      </w:r>
      <w:r w:rsidR="00E21BA0">
        <w:t xml:space="preserve"> </w:t>
      </w:r>
      <w:r w:rsidR="00D46AA0">
        <w:t xml:space="preserve">other </w:t>
      </w:r>
      <w:r w:rsidR="00E21BA0">
        <w:t>barriers to accessing justice or disadvantage are not currently eligible</w:t>
      </w:r>
      <w:r w:rsidR="00721A2A">
        <w:t xml:space="preserve"> for fee waivers</w:t>
      </w:r>
      <w:r w:rsidR="00E21BA0">
        <w:t>.</w:t>
      </w:r>
      <w:r w:rsidR="00AB2378">
        <w:t xml:space="preserve"> </w:t>
      </w:r>
    </w:p>
    <w:p w14:paraId="7F006C7E" w14:textId="7BAC118B" w:rsidR="004220C7" w:rsidRDefault="001824A8" w:rsidP="00630DA0">
      <w:pPr>
        <w:pStyle w:val="DJCSbody"/>
        <w:ind w:left="720"/>
      </w:pPr>
      <w:r w:rsidRPr="00703834">
        <w:t xml:space="preserve">In </w:t>
      </w:r>
      <w:r w:rsidR="00B20C8C" w:rsidRPr="00703834">
        <w:t>2014</w:t>
      </w:r>
      <w:r w:rsidR="00E315AD">
        <w:t xml:space="preserve">, a </w:t>
      </w:r>
      <w:r>
        <w:t>report</w:t>
      </w:r>
      <w:r w:rsidR="00CF0FEF">
        <w:rPr>
          <w:rStyle w:val="FootnoteReference"/>
        </w:rPr>
        <w:footnoteReference w:id="21"/>
      </w:r>
      <w:r>
        <w:t xml:space="preserve"> by t</w:t>
      </w:r>
      <w:r w:rsidR="00AB2378">
        <w:t>he Productivity Commission</w:t>
      </w:r>
      <w:r w:rsidR="00E315AD">
        <w:t xml:space="preserve">, </w:t>
      </w:r>
      <w:r w:rsidR="00AB2378">
        <w:t>also identified a group</w:t>
      </w:r>
      <w:r w:rsidR="00730B3F">
        <w:t xml:space="preserve"> that was</w:t>
      </w:r>
      <w:r w:rsidR="00AB2378">
        <w:t xml:space="preserve"> labelled as the ‘missing middle’ of low-middle incomes</w:t>
      </w:r>
      <w:r w:rsidR="00CA24E6">
        <w:t>,</w:t>
      </w:r>
      <w:r w:rsidR="00AB2378">
        <w:t xml:space="preserve"> who had limited capacity to manage unexpected legal costs but did not meet the criteria for a concession fee, nor eligibility to receive legal assistance.</w:t>
      </w:r>
      <w:r w:rsidDel="001824A8">
        <w:t xml:space="preserve"> </w:t>
      </w:r>
      <w:r w:rsidR="00E315AD">
        <w:t>In this report, the</w:t>
      </w:r>
      <w:r>
        <w:t xml:space="preserve"> P</w:t>
      </w:r>
      <w:r w:rsidR="007D2D97">
        <w:t xml:space="preserve">roductivity Commissioner </w:t>
      </w:r>
      <w:r w:rsidR="00721A2A">
        <w:t xml:space="preserve">recommended </w:t>
      </w:r>
      <w:r w:rsidR="007D2D97">
        <w:t>that it is in the interest of the community to waive fees for cases that produce substantial public benefit and have insufficient private benefits at stake.</w:t>
      </w:r>
    </w:p>
    <w:p w14:paraId="3F782634" w14:textId="3F0CCB1E" w:rsidR="00E21BA0" w:rsidRPr="00302EF3" w:rsidRDefault="004A33B8" w:rsidP="008303F1">
      <w:pPr>
        <w:pStyle w:val="Heading3"/>
      </w:pPr>
      <w:bookmarkStart w:id="65" w:name="_Toc216179693"/>
      <w:r>
        <w:t xml:space="preserve">Commonwealth </w:t>
      </w:r>
      <w:r w:rsidR="008D0CDE">
        <w:t>concession card holders</w:t>
      </w:r>
      <w:bookmarkEnd w:id="65"/>
    </w:p>
    <w:p w14:paraId="1E8702DA" w14:textId="432FD9BC" w:rsidR="00F71E99" w:rsidRDefault="00D35AE4" w:rsidP="00630DA0">
      <w:pPr>
        <w:pStyle w:val="DJCSbody"/>
        <w:ind w:left="720"/>
      </w:pPr>
      <w:r>
        <w:t>Current e</w:t>
      </w:r>
      <w:r w:rsidR="00D26E59">
        <w:t xml:space="preserve">ligibility </w:t>
      </w:r>
      <w:r w:rsidR="003A1E02">
        <w:t xml:space="preserve">for </w:t>
      </w:r>
      <w:r w:rsidR="00F71E99">
        <w:t>VCAT</w:t>
      </w:r>
      <w:r w:rsidR="00D26E59">
        <w:t xml:space="preserve"> concession fee rates </w:t>
      </w:r>
      <w:r>
        <w:t>i</w:t>
      </w:r>
      <w:r w:rsidR="001F6981">
        <w:t>s</w:t>
      </w:r>
      <w:r w:rsidR="008734E9">
        <w:t xml:space="preserve"> </w:t>
      </w:r>
      <w:r>
        <w:t xml:space="preserve">inconsistent and confusing for </w:t>
      </w:r>
      <w:r w:rsidR="003A1E02">
        <w:t xml:space="preserve">tribunal </w:t>
      </w:r>
      <w:r>
        <w:t>users</w:t>
      </w:r>
      <w:r w:rsidR="00346917">
        <w:t xml:space="preserve">. </w:t>
      </w:r>
      <w:r w:rsidR="00D26E59" w:rsidRPr="00B95F42">
        <w:t>The limited eligibility for concession fee rates is</w:t>
      </w:r>
      <w:r w:rsidR="004B705D">
        <w:t xml:space="preserve"> also</w:t>
      </w:r>
      <w:r w:rsidR="00D26E59" w:rsidRPr="00B95F42">
        <w:t xml:space="preserve"> inconsistent with other state and territory </w:t>
      </w:r>
      <w:r w:rsidR="00D26E59" w:rsidRPr="00FB6A59">
        <w:t xml:space="preserve">jurisdictions. </w:t>
      </w:r>
      <w:r w:rsidR="00D26E59" w:rsidRPr="00703834">
        <w:t>For example, in the NSW Civil and Administrative Tribunal, concession eligibility is extended to pension card holders.</w:t>
      </w:r>
    </w:p>
    <w:p w14:paraId="4A2AA0BB" w14:textId="1329F9E9" w:rsidR="00346917" w:rsidRDefault="00346917" w:rsidP="003C4FE7">
      <w:pPr>
        <w:pStyle w:val="DJCSbody"/>
        <w:numPr>
          <w:ilvl w:val="0"/>
          <w:numId w:val="38"/>
        </w:numPr>
      </w:pPr>
      <w:r w:rsidRPr="008303F1">
        <w:rPr>
          <w:b/>
          <w:bCs/>
        </w:rPr>
        <w:t>Health Care Card</w:t>
      </w:r>
      <w:r>
        <w:t xml:space="preserve"> holders are currently the only </w:t>
      </w:r>
      <w:r w:rsidR="00DA0AAC">
        <w:t>group who can access VCAT concession fee rates</w:t>
      </w:r>
      <w:r>
        <w:t>. As a simple proof of eligibility</w:t>
      </w:r>
      <w:r w:rsidR="00062B5B">
        <w:t>,</w:t>
      </w:r>
      <w:r>
        <w:t xml:space="preserve"> the Health Care Card has operated well to date and has been helpful for identifying those who need a reduced fee. However, the Health Care Card has restrictive eligibility criteria and does not capture all of those without capacity to pay standard court and tribunal fees.</w:t>
      </w:r>
    </w:p>
    <w:p w14:paraId="7F5E714D" w14:textId="67C5974B" w:rsidR="00E21BA0" w:rsidRDefault="00E21BA0" w:rsidP="003C4FE7">
      <w:pPr>
        <w:pStyle w:val="DJCSbody"/>
        <w:numPr>
          <w:ilvl w:val="0"/>
          <w:numId w:val="38"/>
        </w:numPr>
      </w:pPr>
      <w:r w:rsidRPr="008303F1">
        <w:rPr>
          <w:b/>
          <w:bCs/>
        </w:rPr>
        <w:t>Pension</w:t>
      </w:r>
      <w:r w:rsidR="003B71F3" w:rsidRPr="008303F1">
        <w:rPr>
          <w:b/>
          <w:bCs/>
        </w:rPr>
        <w:t xml:space="preserve"> </w:t>
      </w:r>
      <w:r w:rsidRPr="008303F1">
        <w:rPr>
          <w:b/>
          <w:bCs/>
        </w:rPr>
        <w:t>Concession Cards</w:t>
      </w:r>
      <w:r w:rsidR="00692CF4">
        <w:t xml:space="preserve"> are issued by the Commonwealth </w:t>
      </w:r>
      <w:r w:rsidR="000D497A">
        <w:t xml:space="preserve">government </w:t>
      </w:r>
      <w:r w:rsidR="00692CF4">
        <w:t>to</w:t>
      </w:r>
      <w:r w:rsidR="00026B62">
        <w:t xml:space="preserve"> pensioners aged 67 or older,</w:t>
      </w:r>
      <w:r>
        <w:t xml:space="preserve"> </w:t>
      </w:r>
      <w:r w:rsidR="003E3DDF">
        <w:t xml:space="preserve">full-term carers, </w:t>
      </w:r>
      <w:r w:rsidR="00F76967">
        <w:t xml:space="preserve">and </w:t>
      </w:r>
      <w:r w:rsidR="003E3DDF">
        <w:t>people with long-term</w:t>
      </w:r>
      <w:r>
        <w:t xml:space="preserve"> </w:t>
      </w:r>
      <w:r w:rsidR="00032820">
        <w:t>physical, intellectual and psychiatric condition</w:t>
      </w:r>
      <w:r w:rsidR="00C23011">
        <w:t>s</w:t>
      </w:r>
      <w:r w:rsidR="00032820">
        <w:t>.</w:t>
      </w:r>
      <w:r>
        <w:t xml:space="preserve"> </w:t>
      </w:r>
      <w:r w:rsidR="00F76967">
        <w:t>Th</w:t>
      </w:r>
      <w:r w:rsidR="007905F4">
        <w:t>is is</w:t>
      </w:r>
      <w:r>
        <w:t xml:space="preserve"> the most common group </w:t>
      </w:r>
      <w:r w:rsidR="00B0676F">
        <w:t xml:space="preserve">of fee payers </w:t>
      </w:r>
      <w:r w:rsidR="00A84269">
        <w:t>who request</w:t>
      </w:r>
      <w:r>
        <w:t xml:space="preserve"> </w:t>
      </w:r>
      <w:r w:rsidR="000C4AB6">
        <w:t xml:space="preserve">VCAT </w:t>
      </w:r>
      <w:r>
        <w:t>concession rates but are</w:t>
      </w:r>
      <w:r w:rsidR="002F4FDD">
        <w:t xml:space="preserve"> deemed</w:t>
      </w:r>
      <w:r>
        <w:t xml:space="preserve"> ineligible</w:t>
      </w:r>
      <w:r w:rsidR="002F4FDD">
        <w:t xml:space="preserve">. This is inconsistent with </w:t>
      </w:r>
      <w:r w:rsidR="00E20E0F">
        <w:t xml:space="preserve">their </w:t>
      </w:r>
      <w:r>
        <w:t xml:space="preserve">eligibility </w:t>
      </w:r>
      <w:r w:rsidR="00E20E0F">
        <w:t>to receive</w:t>
      </w:r>
      <w:r>
        <w:t xml:space="preserve"> concession fee rat</w:t>
      </w:r>
      <w:r w:rsidR="001130BE">
        <w:t>e</w:t>
      </w:r>
      <w:r w:rsidR="00E20E0F">
        <w:t xml:space="preserve">s </w:t>
      </w:r>
      <w:r>
        <w:t>for other Victorian service charges (including energy costs, council rates, water charges, public transport, and land transfer duty)</w:t>
      </w:r>
      <w:r w:rsidR="001964FD">
        <w:t>.</w:t>
      </w:r>
      <w:r w:rsidR="00A352DF">
        <w:rPr>
          <w:rStyle w:val="FootnoteReference"/>
        </w:rPr>
        <w:footnoteReference w:id="22"/>
      </w:r>
    </w:p>
    <w:p w14:paraId="001DFCCA" w14:textId="5C05E4A8" w:rsidR="001352E2" w:rsidRDefault="001352E2" w:rsidP="003C4FE7">
      <w:pPr>
        <w:pStyle w:val="DJCSbody"/>
        <w:numPr>
          <w:ilvl w:val="0"/>
          <w:numId w:val="38"/>
        </w:numPr>
      </w:pPr>
      <w:r w:rsidRPr="008303F1">
        <w:rPr>
          <w:b/>
          <w:bCs/>
        </w:rPr>
        <w:t xml:space="preserve">Veteran Gold Card </w:t>
      </w:r>
      <w:r w:rsidRPr="001B4CF4">
        <w:t>holders are</w:t>
      </w:r>
      <w:r>
        <w:t xml:space="preserve"> </w:t>
      </w:r>
      <w:r w:rsidRPr="001B4CF4">
        <w:t>assessed against specific Commonwealth eligibility criteria</w:t>
      </w:r>
      <w:r w:rsidR="00615FF2">
        <w:t xml:space="preserve">, which </w:t>
      </w:r>
      <w:r w:rsidRPr="00ED113E">
        <w:t>include characteristics not covered by the</w:t>
      </w:r>
      <w:r w:rsidR="00281A44">
        <w:t xml:space="preserve"> Pension and</w:t>
      </w:r>
      <w:r w:rsidRPr="00ED113E">
        <w:t xml:space="preserve"> Health Care Card</w:t>
      </w:r>
      <w:r w:rsidR="00281A44">
        <w:t>s</w:t>
      </w:r>
      <w:r w:rsidRPr="00ED113E">
        <w:t>.</w:t>
      </w:r>
      <w:r w:rsidR="00281A44">
        <w:t xml:space="preserve"> Eligibility </w:t>
      </w:r>
      <w:r w:rsidR="00840D06">
        <w:t>includes</w:t>
      </w:r>
      <w:r w:rsidR="00281A44">
        <w:t xml:space="preserve"> </w:t>
      </w:r>
      <w:r w:rsidRPr="00E14459">
        <w:t xml:space="preserve">previously undertaking eligible service, having a service-related disability or </w:t>
      </w:r>
      <w:r w:rsidR="00E605DD">
        <w:t>receiving</w:t>
      </w:r>
      <w:r w:rsidRPr="00E14459">
        <w:t xml:space="preserve"> a service pension</w:t>
      </w:r>
      <w:r w:rsidR="00535518">
        <w:t xml:space="preserve">, and </w:t>
      </w:r>
      <w:r w:rsidR="00D72A31">
        <w:t xml:space="preserve">being assessed as </w:t>
      </w:r>
      <w:r w:rsidR="006042C9">
        <w:t>unable to</w:t>
      </w:r>
      <w:r w:rsidRPr="00E8262C">
        <w:t xml:space="preserve"> work or earn </w:t>
      </w:r>
      <w:r w:rsidR="00D72A31">
        <w:t xml:space="preserve">a </w:t>
      </w:r>
      <w:r w:rsidRPr="00E8262C">
        <w:t xml:space="preserve">normal wage due to severe incapacitation, permanent impairment or severe injuries </w:t>
      </w:r>
      <w:r w:rsidRPr="00E8262C">
        <w:lastRenderedPageBreak/>
        <w:t>sustained from service</w:t>
      </w:r>
      <w:r w:rsidRPr="00551B9E">
        <w:t>.</w:t>
      </w:r>
      <w:r>
        <w:rPr>
          <w:rStyle w:val="FootnoteReference"/>
        </w:rPr>
        <w:footnoteReference w:id="23"/>
      </w:r>
      <w:r w:rsidR="006042C9">
        <w:t xml:space="preserve"> They are also</w:t>
      </w:r>
      <w:r w:rsidR="006042C9" w:rsidRPr="00E14459">
        <w:t xml:space="preserve"> required to undertake an income/asset test to prove their eligibility</w:t>
      </w:r>
      <w:r w:rsidR="006042C9">
        <w:t>.</w:t>
      </w:r>
      <w:r w:rsidR="002A512C">
        <w:t xml:space="preserve"> </w:t>
      </w:r>
      <w:r w:rsidRPr="00E14459">
        <w:t>Given th</w:t>
      </w:r>
      <w:r>
        <w:t>e</w:t>
      </w:r>
      <w:r w:rsidRPr="00E14459">
        <w:t xml:space="preserve"> established limited income/assets</w:t>
      </w:r>
      <w:r>
        <w:t>,</w:t>
      </w:r>
      <w:r w:rsidRPr="00E14459">
        <w:t xml:space="preserve"> th</w:t>
      </w:r>
      <w:r>
        <w:t>is group of veterans</w:t>
      </w:r>
      <w:r w:rsidRPr="00E14459">
        <w:t xml:space="preserve"> would have limited ability to pay </w:t>
      </w:r>
      <w:r>
        <w:t>VCAT</w:t>
      </w:r>
      <w:r w:rsidRPr="00E14459">
        <w:t xml:space="preserve"> fees.</w:t>
      </w:r>
    </w:p>
    <w:p w14:paraId="0282EFAF" w14:textId="1B8E0E87" w:rsidR="000C622D" w:rsidRDefault="000C622D" w:rsidP="000C622D">
      <w:pPr>
        <w:pStyle w:val="Heading3"/>
      </w:pPr>
      <w:bookmarkStart w:id="66" w:name="_Toc216179694"/>
      <w:r>
        <w:t xml:space="preserve">Older </w:t>
      </w:r>
      <w:r w:rsidR="008D0CDE">
        <w:t>people</w:t>
      </w:r>
      <w:bookmarkEnd w:id="66"/>
    </w:p>
    <w:p w14:paraId="7431B4CF" w14:textId="562388A9" w:rsidR="000C622D" w:rsidRDefault="000C622D" w:rsidP="00630DA0">
      <w:pPr>
        <w:pStyle w:val="DJCSbody"/>
        <w:ind w:left="720"/>
      </w:pPr>
      <w:r>
        <w:t xml:space="preserve">The Victorian Government investigated systemic flaws and service gaps </w:t>
      </w:r>
      <w:r w:rsidR="004B4CE1">
        <w:t xml:space="preserve">in the Victorian justice system </w:t>
      </w:r>
      <w:r>
        <w:t>in the Access to Justice Review (2016) and found older generations to be a growing group in the community whose legal needs are not fully met.</w:t>
      </w:r>
      <w:r>
        <w:rPr>
          <w:rStyle w:val="FootnoteReference"/>
        </w:rPr>
        <w:footnoteReference w:id="24"/>
      </w:r>
      <w:r>
        <w:t xml:space="preserve"> Similarly, the Justice Project Report (2018) also found many older Australians who are cash poor cannot access free legal representation because they have some assets.</w:t>
      </w:r>
      <w:r>
        <w:rPr>
          <w:rStyle w:val="FootnoteReference"/>
        </w:rPr>
        <w:footnoteReference w:id="25"/>
      </w:r>
      <w:r>
        <w:t xml:space="preserve"> </w:t>
      </w:r>
      <w:r w:rsidR="00A7062C">
        <w:t xml:space="preserve">To ease this </w:t>
      </w:r>
      <w:r w:rsidR="002A512C">
        <w:t>disadvantage</w:t>
      </w:r>
      <w:r w:rsidR="008D0CDE">
        <w:t>,</w:t>
      </w:r>
      <w:r w:rsidR="002A512C">
        <w:t xml:space="preserve"> older Victoria</w:t>
      </w:r>
      <w:r w:rsidR="008D0CDE">
        <w:t>n</w:t>
      </w:r>
      <w:r w:rsidR="002A512C">
        <w:t>s wanting to access VCAT services</w:t>
      </w:r>
      <w:r w:rsidR="00A7062C">
        <w:t xml:space="preserve"> should be considered suitable for reduced fee rates.</w:t>
      </w:r>
    </w:p>
    <w:p w14:paraId="652DA410" w14:textId="32FE7226" w:rsidR="00E21BA0" w:rsidRPr="00202DC6" w:rsidRDefault="00E21BA0" w:rsidP="008303F1">
      <w:pPr>
        <w:pStyle w:val="Heading3"/>
      </w:pPr>
      <w:bookmarkStart w:id="67" w:name="_Toc216179695"/>
      <w:r w:rsidRPr="00202DC6">
        <w:t xml:space="preserve">Small </w:t>
      </w:r>
      <w:r w:rsidR="008D0CDE">
        <w:t>b</w:t>
      </w:r>
      <w:r w:rsidR="008D0CDE" w:rsidRPr="00202DC6">
        <w:t xml:space="preserve">usiness </w:t>
      </w:r>
      <w:r w:rsidR="008D0CDE">
        <w:t>o</w:t>
      </w:r>
      <w:r w:rsidR="008D0CDE" w:rsidRPr="00202DC6">
        <w:t>wners</w:t>
      </w:r>
      <w:bookmarkEnd w:id="67"/>
    </w:p>
    <w:p w14:paraId="54F0DC1A" w14:textId="2B892BA2" w:rsidR="00623889" w:rsidRDefault="002D06C2" w:rsidP="00630DA0">
      <w:pPr>
        <w:pStyle w:val="DJCSbody"/>
        <w:ind w:left="720"/>
      </w:pPr>
      <w:r>
        <w:t xml:space="preserve">The Justice Project Report (2018) </w:t>
      </w:r>
      <w:r w:rsidR="00B0416F">
        <w:t>also</w:t>
      </w:r>
      <w:r w:rsidR="006F3F55">
        <w:t xml:space="preserve"> </w:t>
      </w:r>
      <w:r>
        <w:t xml:space="preserve">found small businesses </w:t>
      </w:r>
      <w:r w:rsidR="00DE5048">
        <w:t>can be</w:t>
      </w:r>
      <w:r>
        <w:t xml:space="preserve"> ‘income poor and asset rich’ which </w:t>
      </w:r>
      <w:r w:rsidR="006F3F55">
        <w:t>can be</w:t>
      </w:r>
      <w:r>
        <w:t xml:space="preserve"> a barrier to affording private lawyers or meeting legal aid means tests.</w:t>
      </w:r>
      <w:r w:rsidR="00F45A18">
        <w:rPr>
          <w:rStyle w:val="FootnoteReference"/>
        </w:rPr>
        <w:footnoteReference w:id="26"/>
      </w:r>
      <w:r w:rsidR="00623889">
        <w:t xml:space="preserve"> Small businesses make up a large portion </w:t>
      </w:r>
      <w:r w:rsidR="0058468C">
        <w:t xml:space="preserve">of </w:t>
      </w:r>
      <w:r w:rsidR="00623889">
        <w:t>the Australian market as suggested by the following statistics:</w:t>
      </w:r>
      <w:r>
        <w:t xml:space="preserve"> </w:t>
      </w:r>
    </w:p>
    <w:p w14:paraId="7EE61A30" w14:textId="48210E5E" w:rsidR="00623889" w:rsidRDefault="004C2DD7" w:rsidP="003C4FE7">
      <w:pPr>
        <w:pStyle w:val="DJCSbody"/>
        <w:numPr>
          <w:ilvl w:val="0"/>
          <w:numId w:val="26"/>
        </w:numPr>
      </w:pPr>
      <w:r>
        <w:t xml:space="preserve">Around 98% of </w:t>
      </w:r>
      <w:r w:rsidR="00C92B6B">
        <w:t>business</w:t>
      </w:r>
      <w:r w:rsidR="0014080E">
        <w:t>es</w:t>
      </w:r>
      <w:r w:rsidR="00C92B6B">
        <w:t xml:space="preserve"> in Australia are small business</w:t>
      </w:r>
      <w:r w:rsidR="0014080E">
        <w:t>es</w:t>
      </w:r>
      <w:r w:rsidR="00C92B6B">
        <w:t xml:space="preserve"> (defined as </w:t>
      </w:r>
      <w:r w:rsidR="0014080E">
        <w:t>businesses with</w:t>
      </w:r>
      <w:r w:rsidR="00C92B6B">
        <w:t xml:space="preserve"> 0-19 employees)</w:t>
      </w:r>
      <w:r w:rsidR="00623889">
        <w:t>.</w:t>
      </w:r>
    </w:p>
    <w:p w14:paraId="06AB778F" w14:textId="09DA9924" w:rsidR="00623889" w:rsidRDefault="00623889" w:rsidP="003C4FE7">
      <w:pPr>
        <w:pStyle w:val="DJCSbody"/>
        <w:numPr>
          <w:ilvl w:val="0"/>
          <w:numId w:val="26"/>
        </w:numPr>
      </w:pPr>
      <w:r>
        <w:t>Approximately 40% of registered companies are small business</w:t>
      </w:r>
      <w:r w:rsidR="0014080E">
        <w:t>es</w:t>
      </w:r>
      <w:r>
        <w:t>.</w:t>
      </w:r>
    </w:p>
    <w:p w14:paraId="7099F2B3" w14:textId="570E5021" w:rsidR="005F4512" w:rsidRDefault="00977692" w:rsidP="00630DA0">
      <w:pPr>
        <w:pStyle w:val="DJCSbody"/>
        <w:ind w:left="720"/>
      </w:pPr>
      <w:r>
        <w:t xml:space="preserve">While sole traders and those operating in partnership can apply for </w:t>
      </w:r>
      <w:r w:rsidR="0014080E">
        <w:t xml:space="preserve">a </w:t>
      </w:r>
      <w:r>
        <w:t>financial hardship waiver at VCAT, the existing eligibility criteria excludes</w:t>
      </w:r>
      <w:r w:rsidR="007222C1">
        <w:t xml:space="preserve"> registered companies</w:t>
      </w:r>
      <w:r w:rsidR="008B4899">
        <w:t>, leaving</w:t>
      </w:r>
      <w:r w:rsidR="00DD2891">
        <w:t xml:space="preserve"> </w:t>
      </w:r>
      <w:r w:rsidR="00241065">
        <w:t>a group of small businesses</w:t>
      </w:r>
      <w:r w:rsidR="008B4899">
        <w:t xml:space="preserve"> without any fee relief </w:t>
      </w:r>
      <w:r w:rsidR="00B430AB">
        <w:t>for financial hardship.</w:t>
      </w:r>
    </w:p>
    <w:p w14:paraId="3DEFC073" w14:textId="284AE9B6" w:rsidR="00EC0A8D" w:rsidRPr="00A5206D" w:rsidRDefault="00EC0A8D" w:rsidP="00EC0A8D">
      <w:pPr>
        <w:pStyle w:val="Heading3"/>
      </w:pPr>
      <w:bookmarkStart w:id="68" w:name="_Toc216179696"/>
      <w:r w:rsidRPr="00ED3A99">
        <w:t xml:space="preserve">Private and </w:t>
      </w:r>
      <w:r w:rsidR="005C1A0D">
        <w:t>p</w:t>
      </w:r>
      <w:r w:rsidR="005C1A0D" w:rsidRPr="00ED3A99">
        <w:t xml:space="preserve">ublic </w:t>
      </w:r>
      <w:r w:rsidR="005C1A0D">
        <w:t>b</w:t>
      </w:r>
      <w:r w:rsidR="005C1A0D" w:rsidRPr="00ED3A99">
        <w:t xml:space="preserve">enefits </w:t>
      </w:r>
      <w:r w:rsidRPr="00ED3A99">
        <w:t xml:space="preserve">of </w:t>
      </w:r>
      <w:r w:rsidR="005C1A0D">
        <w:t>c</w:t>
      </w:r>
      <w:r w:rsidR="005C1A0D" w:rsidRPr="00ED3A99">
        <w:t xml:space="preserve">ivil </w:t>
      </w:r>
      <w:r w:rsidR="005C1A0D">
        <w:t>l</w:t>
      </w:r>
      <w:r w:rsidR="005C1A0D" w:rsidRPr="00ED3A99">
        <w:t>itigation</w:t>
      </w:r>
      <w:bookmarkEnd w:id="68"/>
    </w:p>
    <w:p w14:paraId="3468EC59" w14:textId="3DD1BA18" w:rsidR="00B04E2D" w:rsidRDefault="00FA4434" w:rsidP="00630DA0">
      <w:pPr>
        <w:pStyle w:val="DJCSbody"/>
        <w:ind w:left="720"/>
      </w:pPr>
      <w:r>
        <w:t>Whilst it is important to consider</w:t>
      </w:r>
      <w:r w:rsidR="00AC73C0">
        <w:t xml:space="preserve"> relevant</w:t>
      </w:r>
      <w:r>
        <w:t xml:space="preserve"> financial hardship for small businesses, there </w:t>
      </w:r>
      <w:r w:rsidR="004F00C1">
        <w:t>are</w:t>
      </w:r>
      <w:r w:rsidR="00B04E2D">
        <w:t xml:space="preserve"> </w:t>
      </w:r>
      <w:r w:rsidR="00C937D7">
        <w:t xml:space="preserve">a </w:t>
      </w:r>
      <w:r w:rsidR="00B04E2D">
        <w:t xml:space="preserve">wide </w:t>
      </w:r>
      <w:r w:rsidR="00C937D7">
        <w:t xml:space="preserve">range of matters heard at VCAT, some of which have </w:t>
      </w:r>
      <w:r w:rsidR="00B04E2D">
        <w:t>significant financial implications</w:t>
      </w:r>
      <w:r w:rsidR="00ED3FE2">
        <w:t xml:space="preserve"> and can result</w:t>
      </w:r>
      <w:r w:rsidR="0041192A">
        <w:t xml:space="preserve"> in</w:t>
      </w:r>
      <w:r w:rsidR="00994647">
        <w:t xml:space="preserve"> </w:t>
      </w:r>
      <w:r w:rsidR="007A064E">
        <w:t xml:space="preserve">large </w:t>
      </w:r>
      <w:r w:rsidR="00994647">
        <w:t>private benefit.</w:t>
      </w:r>
      <w:r w:rsidR="006526C9" w:rsidRPr="006526C9">
        <w:t xml:space="preserve"> </w:t>
      </w:r>
      <w:r w:rsidR="006526C9">
        <w:t>When considering fee rates</w:t>
      </w:r>
      <w:r w:rsidR="00861845">
        <w:t xml:space="preserve"> under the </w:t>
      </w:r>
      <w:r w:rsidR="00E47B47">
        <w:t>proposed Regulations</w:t>
      </w:r>
      <w:r w:rsidR="006526C9">
        <w:t xml:space="preserve">, the </w:t>
      </w:r>
      <w:r w:rsidR="006526C9" w:rsidRPr="006526C9">
        <w:t xml:space="preserve">level of cost recovery </w:t>
      </w:r>
      <w:r w:rsidR="00250454">
        <w:t>should</w:t>
      </w:r>
      <w:r w:rsidR="006526C9" w:rsidRPr="006526C9">
        <w:t xml:space="preserve"> balance the degree to which government subsidises the public and private benefits that are derived from pursuing a claim through VCAT.</w:t>
      </w:r>
    </w:p>
    <w:p w14:paraId="31B6C908" w14:textId="0003FEA7" w:rsidR="00EC0A8D" w:rsidRDefault="007A064E" w:rsidP="00630DA0">
      <w:pPr>
        <w:pStyle w:val="DJCSbody"/>
        <w:ind w:left="720"/>
      </w:pPr>
      <w:r>
        <w:t>Fees charged to those able to pay</w:t>
      </w:r>
      <w:r w:rsidR="00C767C1">
        <w:t xml:space="preserve"> should take into consideration the </w:t>
      </w:r>
      <w:r w:rsidR="00AC5B20">
        <w:t xml:space="preserve">likelihood of gaining </w:t>
      </w:r>
      <w:r w:rsidR="00815DD4">
        <w:t xml:space="preserve">considerable </w:t>
      </w:r>
      <w:r w:rsidR="00E47B47">
        <w:t>private</w:t>
      </w:r>
      <w:r w:rsidR="00815DD4">
        <w:t xml:space="preserve"> financial benefit </w:t>
      </w:r>
      <w:r w:rsidR="008C12EB">
        <w:t xml:space="preserve">from </w:t>
      </w:r>
      <w:r w:rsidR="00AC758C">
        <w:t>VCAT services.</w:t>
      </w:r>
      <w:r w:rsidR="002825C6">
        <w:t xml:space="preserve"> </w:t>
      </w:r>
      <w:r w:rsidR="00EC0A8D">
        <w:t xml:space="preserve">For example, planning matters would have a higher degree of private benefit when compared to the public benefits of a proceeding in the </w:t>
      </w:r>
      <w:r w:rsidR="00E47B47">
        <w:t>Human R</w:t>
      </w:r>
      <w:r w:rsidR="00EC0A8D">
        <w:t xml:space="preserve">ights </w:t>
      </w:r>
      <w:r w:rsidR="00E47B47">
        <w:t>List</w:t>
      </w:r>
      <w:r w:rsidR="00EC0A8D">
        <w:t xml:space="preserve">. </w:t>
      </w:r>
    </w:p>
    <w:p w14:paraId="7DA2490C" w14:textId="77777777" w:rsidR="00335509" w:rsidRDefault="00EC0A8D" w:rsidP="00630DA0">
      <w:pPr>
        <w:pStyle w:val="DJCSbody"/>
        <w:ind w:left="720"/>
      </w:pPr>
      <w:r>
        <w:t xml:space="preserve">Larger corporate fee payers are likely to have a higher capacity to pay fees and where there is a private benefit to be derived from pursuing a claim through VCAT, should pay closer to full cost recovery. For individuals and smaller businesses, the barriers to starting proceedings with a higher public benefit should be relatively small to encourage these activities. </w:t>
      </w:r>
    </w:p>
    <w:p w14:paraId="38ADCFDF" w14:textId="2C3EA4D2" w:rsidR="00EC0A8D" w:rsidRDefault="001C5C35" w:rsidP="00630DA0">
      <w:pPr>
        <w:pStyle w:val="DJCSbody"/>
        <w:ind w:left="720"/>
      </w:pPr>
      <w:r>
        <w:t xml:space="preserve">This means that </w:t>
      </w:r>
      <w:r w:rsidR="009D10BA">
        <w:t>VCAT can continue to provide concession fees to</w:t>
      </w:r>
      <w:r w:rsidR="00EC0A8D">
        <w:t xml:space="preserve"> support the public benefits associated with certain proceedings</w:t>
      </w:r>
      <w:r w:rsidR="00307674">
        <w:t>,</w:t>
      </w:r>
      <w:r w:rsidR="00EC0A8D">
        <w:t xml:space="preserve"> </w:t>
      </w:r>
      <w:r w:rsidR="009C40D5">
        <w:t xml:space="preserve">through the collection of </w:t>
      </w:r>
      <w:r w:rsidR="00BA3E69">
        <w:t xml:space="preserve">higher corporate </w:t>
      </w:r>
      <w:r w:rsidR="003D120D">
        <w:t>fees</w:t>
      </w:r>
      <w:r w:rsidR="005D2B0F">
        <w:t xml:space="preserve"> </w:t>
      </w:r>
      <w:r w:rsidR="00EC0A8D">
        <w:t xml:space="preserve">from </w:t>
      </w:r>
      <w:r w:rsidR="006744D9">
        <w:t xml:space="preserve">other </w:t>
      </w:r>
      <w:r w:rsidR="00EC0A8D">
        <w:t xml:space="preserve">proceedings with a greater degree of private </w:t>
      </w:r>
      <w:r w:rsidR="00EC0A8D" w:rsidRPr="00213FD2">
        <w:t>benefit to the parties</w:t>
      </w:r>
      <w:r w:rsidR="009C40D5">
        <w:t>.</w:t>
      </w:r>
    </w:p>
    <w:p w14:paraId="3DDCD91B" w14:textId="0B778EB2" w:rsidR="00E21BA0" w:rsidRDefault="00240A2D" w:rsidP="003C0D06">
      <w:pPr>
        <w:pStyle w:val="Heading3"/>
      </w:pPr>
      <w:bookmarkStart w:id="69" w:name="_Toc216179697"/>
      <w:r>
        <w:lastRenderedPageBreak/>
        <w:t>Victims</w:t>
      </w:r>
      <w:bookmarkEnd w:id="69"/>
    </w:p>
    <w:p w14:paraId="5D534AD5" w14:textId="4A94D28E" w:rsidR="000F3EFD" w:rsidRDefault="00E21BA0" w:rsidP="00630DA0">
      <w:pPr>
        <w:pStyle w:val="DJCSbody"/>
        <w:ind w:left="720"/>
      </w:pPr>
      <w:r>
        <w:t>The victimisation rate in Victoria is continuing to rise with an 8.2% increase in 2024 (3,416 reports per 100,000 Victorians).</w:t>
      </w:r>
      <w:r w:rsidR="00D078B6">
        <w:rPr>
          <w:rStyle w:val="FootnoteReference"/>
        </w:rPr>
        <w:footnoteReference w:id="27"/>
      </w:r>
      <w:r>
        <w:t xml:space="preserve"> Particularly, family incidents and assaults have increased by 6.1% in the last 12 months, with 98,816 incidents recorded across Victoria, reaching the highest levels in a decade.</w:t>
      </w:r>
      <w:r w:rsidR="00C23033">
        <w:rPr>
          <w:rStyle w:val="FootnoteReference"/>
        </w:rPr>
        <w:footnoteReference w:id="28"/>
      </w:r>
      <w:r>
        <w:t xml:space="preserve"> </w:t>
      </w:r>
      <w:r w:rsidR="00310600">
        <w:t>Victims</w:t>
      </w:r>
      <w:r w:rsidR="00084F64">
        <w:t xml:space="preserve"> face</w:t>
      </w:r>
      <w:r>
        <w:t xml:space="preserve"> unique challenges </w:t>
      </w:r>
      <w:r w:rsidR="00084F64">
        <w:t>as they</w:t>
      </w:r>
      <w:r>
        <w:t xml:space="preserve"> may be dealing with significant emotional and financial stress, and trauma from previous interaction</w:t>
      </w:r>
      <w:r w:rsidR="003B5302">
        <w:t>s</w:t>
      </w:r>
      <w:r>
        <w:t xml:space="preserve"> with the justice system relating to the criminal offence.</w:t>
      </w:r>
      <w:r w:rsidR="000F3EFD">
        <w:t xml:space="preserve"> </w:t>
      </w:r>
      <w:r w:rsidR="00CB3B5F" w:rsidRPr="00160C3D">
        <w:t>In recognition of these challenges,</w:t>
      </w:r>
      <w:r w:rsidR="00134144" w:rsidRPr="00160C3D">
        <w:t xml:space="preserve"> </w:t>
      </w:r>
      <w:r w:rsidR="000C35B3" w:rsidRPr="00160C3D">
        <w:t xml:space="preserve">VCAT </w:t>
      </w:r>
      <w:r w:rsidR="009E7CB6" w:rsidRPr="00160C3D">
        <w:t xml:space="preserve">currently </w:t>
      </w:r>
      <w:r w:rsidR="000C35B3" w:rsidRPr="00160C3D">
        <w:t xml:space="preserve">waives fees in residential tenancies list for those experiencing </w:t>
      </w:r>
      <w:r w:rsidR="00A7478B" w:rsidRPr="00160C3D">
        <w:t xml:space="preserve">family </w:t>
      </w:r>
      <w:r w:rsidR="000C35B3" w:rsidRPr="00160C3D">
        <w:t xml:space="preserve">violence. </w:t>
      </w:r>
    </w:p>
    <w:p w14:paraId="14FFD3CA" w14:textId="182B2833" w:rsidR="00AB1AF7" w:rsidRPr="00160C3D" w:rsidRDefault="000C35B3" w:rsidP="00630DA0">
      <w:pPr>
        <w:pStyle w:val="DJCSbody"/>
        <w:ind w:left="720"/>
      </w:pPr>
      <w:r w:rsidRPr="00160C3D">
        <w:t>Other government support</w:t>
      </w:r>
      <w:r w:rsidR="000265D1" w:rsidRPr="00160C3D">
        <w:t xml:space="preserve"> </w:t>
      </w:r>
      <w:r w:rsidR="00EF49DA" w:rsidRPr="00160C3D">
        <w:t xml:space="preserve">available </w:t>
      </w:r>
      <w:r w:rsidR="000265D1" w:rsidRPr="00160C3D">
        <w:t>to victims</w:t>
      </w:r>
      <w:r w:rsidRPr="00160C3D">
        <w:t xml:space="preserve"> includes the</w:t>
      </w:r>
      <w:r w:rsidR="00753F3E" w:rsidRPr="00160C3D">
        <w:t xml:space="preserve"> Financial Assistance Scheme</w:t>
      </w:r>
      <w:r w:rsidR="003F07AE" w:rsidRPr="00160C3D">
        <w:t xml:space="preserve"> (FAS)</w:t>
      </w:r>
      <w:r w:rsidR="00504A8C" w:rsidRPr="00160C3D">
        <w:t xml:space="preserve"> </w:t>
      </w:r>
      <w:r w:rsidR="000265D1" w:rsidRPr="00160C3D">
        <w:t>which is</w:t>
      </w:r>
      <w:r w:rsidR="00504A8C" w:rsidRPr="00160C3D">
        <w:t xml:space="preserve"> </w:t>
      </w:r>
      <w:r w:rsidR="008151A0" w:rsidRPr="00160C3D">
        <w:t xml:space="preserve">designed to provide financial support to victims of </w:t>
      </w:r>
      <w:r w:rsidR="00C65B16" w:rsidRPr="00160C3D">
        <w:t xml:space="preserve">violent crime. </w:t>
      </w:r>
      <w:r w:rsidR="00D4285E">
        <w:t>FAS commenced in November 2024, replacing the</w:t>
      </w:r>
      <w:r w:rsidR="003F07AE" w:rsidRPr="00160C3D">
        <w:t xml:space="preserve"> Victims of Crime Assistance Tribunal (VOCAT).</w:t>
      </w:r>
      <w:r w:rsidR="001D6D18" w:rsidRPr="00160C3D">
        <w:t xml:space="preserve"> The FAS ha</w:t>
      </w:r>
      <w:r w:rsidR="00C65B16" w:rsidRPr="00160C3D">
        <w:t>s</w:t>
      </w:r>
      <w:r w:rsidR="001D6D18" w:rsidRPr="00160C3D">
        <w:t xml:space="preserve"> similar victim and assistance </w:t>
      </w:r>
      <w:r w:rsidR="00284928">
        <w:t>services to those offered by</w:t>
      </w:r>
      <w:r w:rsidR="001D6D18" w:rsidRPr="00160C3D">
        <w:t xml:space="preserve"> VOCAT, however eligibility and the amount of financial assistance available </w:t>
      </w:r>
      <w:r w:rsidR="008926E2" w:rsidRPr="00160C3D">
        <w:t>differ</w:t>
      </w:r>
      <w:r w:rsidR="00075A4F">
        <w:t>s</w:t>
      </w:r>
      <w:r w:rsidR="008926E2" w:rsidRPr="00160C3D">
        <w:t xml:space="preserve"> from VOCAT.</w:t>
      </w:r>
    </w:p>
    <w:p w14:paraId="4FBD5FB9" w14:textId="3508F3FC" w:rsidR="00D33774" w:rsidRDefault="00EA530F" w:rsidP="00630DA0">
      <w:pPr>
        <w:pStyle w:val="DJCSbody"/>
        <w:ind w:left="720"/>
      </w:pPr>
      <w:r w:rsidRPr="00160C3D">
        <w:t>With the introduction of FAS and changes to eligibility for</w:t>
      </w:r>
      <w:r w:rsidR="00E87A0F" w:rsidRPr="00160C3D">
        <w:t xml:space="preserve"> financial support, there may be more applications for</w:t>
      </w:r>
      <w:r w:rsidR="00E807F5" w:rsidRPr="00160C3D">
        <w:t xml:space="preserve"> VCAT</w:t>
      </w:r>
      <w:r w:rsidR="00E87A0F" w:rsidRPr="00160C3D">
        <w:t xml:space="preserve"> review of government decision</w:t>
      </w:r>
      <w:r w:rsidR="00E807F5" w:rsidRPr="00160C3D">
        <w:t>s</w:t>
      </w:r>
      <w:r w:rsidR="000A04B1" w:rsidRPr="00160C3D">
        <w:t xml:space="preserve"> in this area</w:t>
      </w:r>
      <w:r w:rsidR="006A4F81" w:rsidRPr="00160C3D">
        <w:t xml:space="preserve">. </w:t>
      </w:r>
      <w:r w:rsidR="00BD67BC">
        <w:t xml:space="preserve">For some victims, this </w:t>
      </w:r>
      <w:r w:rsidR="006A4F81" w:rsidRPr="00160C3D">
        <w:t xml:space="preserve">may </w:t>
      </w:r>
      <w:r w:rsidR="00297EEB" w:rsidRPr="00160C3D">
        <w:t>exacerbate stress th</w:t>
      </w:r>
      <w:r w:rsidR="00BD67BC">
        <w:t xml:space="preserve">ey already face in </w:t>
      </w:r>
      <w:r w:rsidR="00297EEB" w:rsidRPr="00160C3D">
        <w:t>navigat</w:t>
      </w:r>
      <w:r w:rsidR="00BD67BC">
        <w:t>ing</w:t>
      </w:r>
      <w:r w:rsidR="00297EEB" w:rsidRPr="00160C3D">
        <w:t xml:space="preserve"> the </w:t>
      </w:r>
      <w:r w:rsidR="0033576E" w:rsidRPr="00160C3D">
        <w:t>justice system</w:t>
      </w:r>
      <w:r w:rsidR="00820F67">
        <w:t>. It</w:t>
      </w:r>
      <w:r w:rsidR="003570B0">
        <w:t xml:space="preserve"> is important to ensure that VCAT remains accessible </w:t>
      </w:r>
      <w:r w:rsidR="00820F67">
        <w:t>to</w:t>
      </w:r>
      <w:r w:rsidR="003570B0">
        <w:t xml:space="preserve"> this </w:t>
      </w:r>
      <w:r w:rsidR="0095646A">
        <w:t>group of people.</w:t>
      </w:r>
    </w:p>
    <w:p w14:paraId="69C22AE7" w14:textId="77777777" w:rsidR="002B7726" w:rsidRDefault="002B7726" w:rsidP="003036D1">
      <w:pPr>
        <w:pStyle w:val="DJCSbody"/>
        <w:ind w:left="0"/>
        <w:sectPr w:rsidR="002B7726" w:rsidSect="00C5670C">
          <w:pgSz w:w="11906" w:h="16838" w:code="9"/>
          <w:pgMar w:top="1871" w:right="707" w:bottom="1588" w:left="851" w:header="283" w:footer="680" w:gutter="0"/>
          <w:cols w:space="720"/>
          <w:docGrid w:linePitch="360"/>
        </w:sectPr>
      </w:pPr>
      <w:bookmarkStart w:id="70" w:name="_Toc207716328"/>
      <w:bookmarkStart w:id="71" w:name="_Toc207716329"/>
      <w:bookmarkStart w:id="72" w:name="_Toc207716330"/>
      <w:bookmarkStart w:id="73" w:name="_Toc207716331"/>
      <w:bookmarkStart w:id="74" w:name="_Toc207716332"/>
      <w:bookmarkStart w:id="75" w:name="_Toc207716333"/>
      <w:bookmarkStart w:id="76" w:name="_Objectives"/>
      <w:bookmarkEnd w:id="70"/>
      <w:bookmarkEnd w:id="71"/>
      <w:bookmarkEnd w:id="72"/>
      <w:bookmarkEnd w:id="73"/>
      <w:bookmarkEnd w:id="74"/>
      <w:bookmarkEnd w:id="75"/>
      <w:bookmarkEnd w:id="76"/>
    </w:p>
    <w:p w14:paraId="3988CAA2" w14:textId="10E79661" w:rsidR="00EC2AE9" w:rsidRPr="00FB6A59" w:rsidRDefault="009E57B6" w:rsidP="00BE6A62">
      <w:pPr>
        <w:pStyle w:val="Heading1"/>
      </w:pPr>
      <w:bookmarkStart w:id="77" w:name="_Toc216179698"/>
      <w:r w:rsidRPr="00FB6A59">
        <w:lastRenderedPageBreak/>
        <w:t>Objectives</w:t>
      </w:r>
      <w:bookmarkEnd w:id="77"/>
    </w:p>
    <w:p w14:paraId="1235703C" w14:textId="087D46B5" w:rsidR="004F2D39" w:rsidRDefault="004F2D39" w:rsidP="00630DA0">
      <w:pPr>
        <w:pStyle w:val="DJCSbody"/>
        <w:ind w:left="720"/>
      </w:pPr>
      <w:r>
        <w:t xml:space="preserve">In determining the objectives of the proposed </w:t>
      </w:r>
      <w:r w:rsidR="00A82B87">
        <w:t>R</w:t>
      </w:r>
      <w:r>
        <w:t xml:space="preserve">egulations, DJCS considered several factors, including the problems being addressed and the Pricing Principles that underpin </w:t>
      </w:r>
      <w:r w:rsidRPr="00A54374">
        <w:t xml:space="preserve">the </w:t>
      </w:r>
      <w:r w:rsidRPr="004416CB">
        <w:rPr>
          <w:i/>
          <w:iCs/>
        </w:rPr>
        <w:t>Pricing for Value Guide</w:t>
      </w:r>
      <w:r w:rsidRPr="00D93DA9">
        <w:t>.</w:t>
      </w:r>
    </w:p>
    <w:p w14:paraId="271F5E81" w14:textId="27D82659" w:rsidR="004F2D39" w:rsidRDefault="0095646A" w:rsidP="00630DA0">
      <w:pPr>
        <w:pStyle w:val="DJCSbody"/>
        <w:ind w:left="720"/>
      </w:pPr>
      <w:r>
        <w:t>Th</w:t>
      </w:r>
      <w:r w:rsidR="004F2D39">
        <w:t>e proposed Regulations are guided by the following objectives:</w:t>
      </w:r>
    </w:p>
    <w:p w14:paraId="797930E2" w14:textId="7E84FED6" w:rsidR="004F2D39" w:rsidRPr="00CE7669" w:rsidRDefault="004F2D39" w:rsidP="003C4FE7">
      <w:pPr>
        <w:pStyle w:val="DJCSbody"/>
        <w:numPr>
          <w:ilvl w:val="0"/>
          <w:numId w:val="43"/>
        </w:numPr>
      </w:pPr>
      <w:r>
        <w:rPr>
          <w:b/>
          <w:bCs/>
        </w:rPr>
        <w:t>Fiscal Sustainability</w:t>
      </w:r>
      <w:r>
        <w:t xml:space="preserve"> – Fees should seek to support the overall fiscal sustainability of </w:t>
      </w:r>
      <w:r w:rsidR="00985D79">
        <w:t>VCAT</w:t>
      </w:r>
      <w:r>
        <w:t>.</w:t>
      </w:r>
    </w:p>
    <w:p w14:paraId="2243FC97" w14:textId="4FF70053" w:rsidR="00A36B3F" w:rsidRDefault="00DE0878" w:rsidP="003C4FE7">
      <w:pPr>
        <w:pStyle w:val="DJCSbody"/>
        <w:numPr>
          <w:ilvl w:val="0"/>
          <w:numId w:val="43"/>
        </w:numPr>
      </w:pPr>
      <w:r>
        <w:rPr>
          <w:b/>
          <w:bCs/>
        </w:rPr>
        <w:t xml:space="preserve">Equity </w:t>
      </w:r>
      <w:r w:rsidR="004F2D39">
        <w:t xml:space="preserve">– </w:t>
      </w:r>
      <w:r w:rsidR="00A36B3F" w:rsidRPr="00A36B3F">
        <w:t xml:space="preserve">Fees should seek to safeguard access to justice through ensuring that </w:t>
      </w:r>
      <w:r w:rsidR="00985D79">
        <w:t xml:space="preserve">fees reflect </w:t>
      </w:r>
      <w:r w:rsidR="00710F01">
        <w:t>different users’ ability to pay. S</w:t>
      </w:r>
      <w:r w:rsidR="00A36B3F" w:rsidRPr="00A36B3F">
        <w:t xml:space="preserve">ervices </w:t>
      </w:r>
      <w:r w:rsidR="00710F01">
        <w:t xml:space="preserve">should remain </w:t>
      </w:r>
      <w:r w:rsidR="00A36B3F" w:rsidRPr="00A36B3F">
        <w:t>accessible for those who are likely to have a limited capacity to pay.</w:t>
      </w:r>
    </w:p>
    <w:p w14:paraId="18733A78" w14:textId="0E5E72A6" w:rsidR="004F2D39" w:rsidRDefault="00A36B3F" w:rsidP="003C4FE7">
      <w:pPr>
        <w:pStyle w:val="DJCSbody"/>
        <w:numPr>
          <w:ilvl w:val="0"/>
          <w:numId w:val="43"/>
        </w:numPr>
      </w:pPr>
      <w:r>
        <w:rPr>
          <w:b/>
          <w:bCs/>
        </w:rPr>
        <w:t>Efficien</w:t>
      </w:r>
      <w:r w:rsidR="00DE0878">
        <w:rPr>
          <w:b/>
          <w:bCs/>
        </w:rPr>
        <w:t>cy</w:t>
      </w:r>
      <w:r>
        <w:rPr>
          <w:b/>
          <w:bCs/>
        </w:rPr>
        <w:t xml:space="preserve"> </w:t>
      </w:r>
      <w:r w:rsidR="004F2D39">
        <w:t xml:space="preserve">– </w:t>
      </w:r>
      <w:r w:rsidRPr="00A36B3F">
        <w:t xml:space="preserve">Fees should support and enable efficient VCAT operations. This includes </w:t>
      </w:r>
      <w:r w:rsidR="00624F21">
        <w:t>enabling</w:t>
      </w:r>
      <w:r w:rsidR="00624F21" w:rsidRPr="00A36B3F">
        <w:t xml:space="preserve"> </w:t>
      </w:r>
      <w:r w:rsidRPr="00A36B3F">
        <w:t xml:space="preserve">matters </w:t>
      </w:r>
      <w:r w:rsidR="00624F21">
        <w:t>to be</w:t>
      </w:r>
      <w:r w:rsidR="00624F21" w:rsidRPr="00A36B3F">
        <w:t xml:space="preserve"> </w:t>
      </w:r>
      <w:r w:rsidRPr="00A36B3F">
        <w:t xml:space="preserve">held in the most appropriate forum </w:t>
      </w:r>
      <w:r w:rsidR="00624F21">
        <w:t>and</w:t>
      </w:r>
      <w:r w:rsidRPr="00A36B3F">
        <w:t xml:space="preserve"> encouraging the most expedient and efficient way to resolve matters.</w:t>
      </w:r>
    </w:p>
    <w:p w14:paraId="1796C232" w14:textId="346E5B24" w:rsidR="004F2D39" w:rsidRDefault="004F2D39" w:rsidP="003C4FE7">
      <w:pPr>
        <w:pStyle w:val="DJCSbody"/>
        <w:numPr>
          <w:ilvl w:val="0"/>
          <w:numId w:val="43"/>
        </w:numPr>
      </w:pPr>
      <w:r>
        <w:rPr>
          <w:b/>
          <w:bCs/>
        </w:rPr>
        <w:t>Simplicity</w:t>
      </w:r>
      <w:r>
        <w:t xml:space="preserve">– </w:t>
      </w:r>
      <w:r w:rsidR="00C8001D">
        <w:t>f</w:t>
      </w:r>
      <w:r w:rsidR="00A36B3F" w:rsidRPr="00A36B3F">
        <w:t xml:space="preserve">ee structures should </w:t>
      </w:r>
      <w:r w:rsidR="00C8001D">
        <w:t xml:space="preserve">reduce the complexity for </w:t>
      </w:r>
      <w:r w:rsidR="00C5041F">
        <w:t>VCAT users as well as VCAT in administering the system</w:t>
      </w:r>
      <w:r w:rsidR="00A36B3F">
        <w:t>.</w:t>
      </w:r>
    </w:p>
    <w:p w14:paraId="0DA4BF46" w14:textId="0E9D1A29" w:rsidR="004F2D39" w:rsidRDefault="004F2D39" w:rsidP="00630DA0">
      <w:pPr>
        <w:pStyle w:val="DJCSbody"/>
        <w:ind w:left="720"/>
      </w:pPr>
      <w:r>
        <w:t xml:space="preserve">The above objectives </w:t>
      </w:r>
      <w:r w:rsidR="00B3149D">
        <w:t xml:space="preserve">align with </w:t>
      </w:r>
      <w:r>
        <w:t>the Pricing Principles</w:t>
      </w:r>
      <w:r w:rsidR="00B3149D">
        <w:t xml:space="preserve"> as</w:t>
      </w:r>
      <w:r>
        <w:t xml:space="preserve"> follow</w:t>
      </w:r>
      <w:r w:rsidR="00B3149D">
        <w:t>s:</w:t>
      </w:r>
    </w:p>
    <w:p w14:paraId="08F9999B" w14:textId="52E2D315" w:rsidR="004F2D39" w:rsidRPr="00813208" w:rsidRDefault="004F2D39" w:rsidP="00813208">
      <w:pPr>
        <w:pStyle w:val="DJCStablecaption"/>
      </w:pPr>
      <w:r w:rsidRPr="00813208">
        <w:t xml:space="preserve">Table </w:t>
      </w:r>
      <w:r w:rsidR="006B3984">
        <w:t>8</w:t>
      </w:r>
      <w:r w:rsidRPr="00813208">
        <w:t>: Objectives and Pricing Principles</w:t>
      </w:r>
    </w:p>
    <w:tbl>
      <w:tblPr>
        <w:tblStyle w:val="TableGrid"/>
        <w:tblW w:w="9492" w:type="dxa"/>
        <w:tblInd w:w="8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17"/>
        <w:gridCol w:w="7975"/>
      </w:tblGrid>
      <w:tr w:rsidR="004F2D39" w:rsidRPr="00C9236A" w14:paraId="38C69853" w14:textId="77777777" w:rsidTr="00F73BFD">
        <w:trPr>
          <w:trHeight w:val="423"/>
        </w:trPr>
        <w:tc>
          <w:tcPr>
            <w:tcW w:w="1271" w:type="dxa"/>
            <w:shd w:val="clear" w:color="auto" w:fill="16145F" w:themeFill="accent3"/>
            <w:vAlign w:val="center"/>
          </w:tcPr>
          <w:p w14:paraId="6A86942A" w14:textId="77777777" w:rsidR="004F2D39" w:rsidRPr="00C9236A" w:rsidRDefault="004F2D39">
            <w:pPr>
              <w:pStyle w:val="DJCSbody-landscape"/>
              <w:spacing w:before="60" w:after="60"/>
              <w:jc w:val="center"/>
              <w:rPr>
                <w:b/>
                <w:sz w:val="20"/>
              </w:rPr>
            </w:pPr>
            <w:r w:rsidRPr="00C9236A">
              <w:rPr>
                <w:b/>
                <w:sz w:val="20"/>
              </w:rPr>
              <w:t>Objective</w:t>
            </w:r>
          </w:p>
        </w:tc>
        <w:tc>
          <w:tcPr>
            <w:tcW w:w="8221" w:type="dxa"/>
            <w:shd w:val="clear" w:color="auto" w:fill="16145F" w:themeFill="accent3"/>
            <w:vAlign w:val="center"/>
          </w:tcPr>
          <w:p w14:paraId="47EF0CB0" w14:textId="77777777" w:rsidR="004F2D39" w:rsidRPr="00C9236A" w:rsidRDefault="004F2D39">
            <w:pPr>
              <w:pStyle w:val="DJCSbody-landscape"/>
              <w:spacing w:before="60" w:after="60"/>
              <w:jc w:val="center"/>
              <w:rPr>
                <w:b/>
                <w:sz w:val="20"/>
              </w:rPr>
            </w:pPr>
            <w:r w:rsidRPr="00C9236A">
              <w:rPr>
                <w:b/>
                <w:sz w:val="20"/>
              </w:rPr>
              <w:t>Pricing Principle</w:t>
            </w:r>
            <w:r w:rsidRPr="00C9236A">
              <w:rPr>
                <w:rStyle w:val="FootnoteReference"/>
                <w:b/>
                <w:sz w:val="20"/>
              </w:rPr>
              <w:footnoteReference w:id="29"/>
            </w:r>
          </w:p>
        </w:tc>
      </w:tr>
      <w:tr w:rsidR="00C5041F" w:rsidRPr="00C9236A" w14:paraId="067441B6" w14:textId="77777777" w:rsidTr="00F73BFD">
        <w:trPr>
          <w:trHeight w:val="411"/>
        </w:trPr>
        <w:tc>
          <w:tcPr>
            <w:tcW w:w="1271" w:type="dxa"/>
            <w:vMerge w:val="restart"/>
            <w:vAlign w:val="center"/>
          </w:tcPr>
          <w:p w14:paraId="35CE8092" w14:textId="77777777" w:rsidR="00C5041F" w:rsidRPr="00C9236A" w:rsidRDefault="00C5041F">
            <w:pPr>
              <w:pStyle w:val="DJCSbody-landscape"/>
              <w:spacing w:before="60" w:after="60"/>
              <w:rPr>
                <w:b/>
                <w:bCs/>
                <w:sz w:val="20"/>
              </w:rPr>
            </w:pPr>
            <w:r w:rsidRPr="00C9236A">
              <w:rPr>
                <w:b/>
                <w:bCs/>
                <w:sz w:val="20"/>
              </w:rPr>
              <w:t>Fiscal Sustainability</w:t>
            </w:r>
          </w:p>
          <w:p w14:paraId="4E272167" w14:textId="77777777" w:rsidR="00C5041F" w:rsidRPr="00C9236A" w:rsidRDefault="00C5041F">
            <w:pPr>
              <w:pStyle w:val="DJCSbody-landscape"/>
              <w:spacing w:before="60" w:after="60"/>
              <w:rPr>
                <w:b/>
                <w:bCs/>
                <w:sz w:val="20"/>
              </w:rPr>
            </w:pPr>
          </w:p>
        </w:tc>
        <w:tc>
          <w:tcPr>
            <w:tcW w:w="8221" w:type="dxa"/>
            <w:vAlign w:val="center"/>
          </w:tcPr>
          <w:p w14:paraId="4E394761" w14:textId="77777777" w:rsidR="00C5041F" w:rsidRPr="00C9236A" w:rsidRDefault="00C5041F">
            <w:pPr>
              <w:pStyle w:val="DJCSbody-landscape"/>
              <w:spacing w:before="60" w:after="60"/>
              <w:rPr>
                <w:sz w:val="20"/>
              </w:rPr>
            </w:pPr>
            <w:r w:rsidRPr="00C9236A">
              <w:rPr>
                <w:sz w:val="20"/>
              </w:rPr>
              <w:t>1 – Agencies should aim to recover the full costs of service provision to promote efficient consumption.</w:t>
            </w:r>
          </w:p>
        </w:tc>
      </w:tr>
      <w:tr w:rsidR="00C5041F" w:rsidRPr="00C9236A" w14:paraId="0507D71F" w14:textId="77777777" w:rsidTr="00F73BFD">
        <w:trPr>
          <w:trHeight w:val="411"/>
        </w:trPr>
        <w:tc>
          <w:tcPr>
            <w:tcW w:w="1271" w:type="dxa"/>
            <w:vMerge/>
            <w:vAlign w:val="center"/>
          </w:tcPr>
          <w:p w14:paraId="3509A50E" w14:textId="77777777" w:rsidR="00C5041F" w:rsidRPr="00C9236A" w:rsidRDefault="00C5041F">
            <w:pPr>
              <w:pStyle w:val="DJCSbody-landscape"/>
              <w:spacing w:before="60" w:after="60"/>
              <w:rPr>
                <w:b/>
                <w:bCs/>
                <w:sz w:val="20"/>
              </w:rPr>
            </w:pPr>
          </w:p>
        </w:tc>
        <w:tc>
          <w:tcPr>
            <w:tcW w:w="8221" w:type="dxa"/>
            <w:vAlign w:val="center"/>
          </w:tcPr>
          <w:p w14:paraId="4E0DDDEE" w14:textId="586110D0" w:rsidR="00C5041F" w:rsidRPr="00C9236A" w:rsidRDefault="00C5041F">
            <w:pPr>
              <w:pStyle w:val="DJCSbody-landscape"/>
              <w:spacing w:before="60" w:after="60"/>
              <w:rPr>
                <w:sz w:val="20"/>
              </w:rPr>
            </w:pPr>
            <w:r w:rsidRPr="00C9236A">
              <w:rPr>
                <w:sz w:val="20"/>
              </w:rPr>
              <w:t>7 – The public should share in the value generated by pricing based on user differentiation</w:t>
            </w:r>
            <w:r w:rsidR="00CF01F3">
              <w:rPr>
                <w:sz w:val="20"/>
              </w:rPr>
              <w:t>.</w:t>
            </w:r>
          </w:p>
        </w:tc>
      </w:tr>
      <w:tr w:rsidR="00C5041F" w:rsidRPr="00C9236A" w14:paraId="0103F901" w14:textId="77777777" w:rsidTr="00F73BFD">
        <w:trPr>
          <w:trHeight w:val="310"/>
        </w:trPr>
        <w:tc>
          <w:tcPr>
            <w:tcW w:w="1271" w:type="dxa"/>
            <w:vMerge/>
            <w:vAlign w:val="center"/>
          </w:tcPr>
          <w:p w14:paraId="4BBB1AE6" w14:textId="77777777" w:rsidR="00C5041F" w:rsidRPr="00C9236A" w:rsidRDefault="00C5041F">
            <w:pPr>
              <w:pStyle w:val="DJCSbody-landscape"/>
              <w:spacing w:before="60" w:after="60"/>
              <w:rPr>
                <w:b/>
                <w:bCs/>
                <w:sz w:val="20"/>
                <w:highlight w:val="yellow"/>
              </w:rPr>
            </w:pPr>
          </w:p>
        </w:tc>
        <w:tc>
          <w:tcPr>
            <w:tcW w:w="8221" w:type="dxa"/>
            <w:vAlign w:val="center"/>
          </w:tcPr>
          <w:p w14:paraId="6403CE08" w14:textId="4E133E74" w:rsidR="00C5041F" w:rsidRPr="00C9236A" w:rsidRDefault="00C5041F">
            <w:pPr>
              <w:pStyle w:val="DJCSbody-landscape"/>
              <w:spacing w:before="60" w:after="60"/>
              <w:rPr>
                <w:sz w:val="20"/>
              </w:rPr>
            </w:pPr>
            <w:r w:rsidRPr="00C9236A">
              <w:rPr>
                <w:sz w:val="20"/>
              </w:rPr>
              <w:t>8 – Pricing should support positive behaviours</w:t>
            </w:r>
            <w:r w:rsidR="00CF01F3">
              <w:rPr>
                <w:sz w:val="20"/>
              </w:rPr>
              <w:t>.</w:t>
            </w:r>
          </w:p>
        </w:tc>
      </w:tr>
      <w:tr w:rsidR="00C5041F" w:rsidRPr="00C9236A" w14:paraId="5FF51ADC" w14:textId="77777777" w:rsidTr="00F73BFD">
        <w:trPr>
          <w:trHeight w:val="310"/>
        </w:trPr>
        <w:tc>
          <w:tcPr>
            <w:tcW w:w="1271" w:type="dxa"/>
            <w:vMerge/>
            <w:vAlign w:val="center"/>
          </w:tcPr>
          <w:p w14:paraId="49C1C5A0" w14:textId="77777777" w:rsidR="00C5041F" w:rsidRPr="00C9236A" w:rsidRDefault="00C5041F">
            <w:pPr>
              <w:pStyle w:val="DJCSbody-landscape"/>
              <w:spacing w:before="60" w:after="60"/>
              <w:rPr>
                <w:b/>
                <w:bCs/>
                <w:sz w:val="20"/>
                <w:highlight w:val="yellow"/>
              </w:rPr>
            </w:pPr>
          </w:p>
        </w:tc>
        <w:tc>
          <w:tcPr>
            <w:tcW w:w="8221" w:type="dxa"/>
            <w:vAlign w:val="center"/>
          </w:tcPr>
          <w:p w14:paraId="29C75ADA" w14:textId="084C00B3" w:rsidR="00C5041F" w:rsidRPr="00C9236A" w:rsidRDefault="00C5041F">
            <w:pPr>
              <w:pStyle w:val="DJCSbody-landscape"/>
              <w:spacing w:before="60" w:after="60"/>
              <w:rPr>
                <w:sz w:val="20"/>
              </w:rPr>
            </w:pPr>
            <w:r w:rsidRPr="00C9236A">
              <w:rPr>
                <w:sz w:val="20"/>
              </w:rPr>
              <w:t>9 – Pricing should ensure sustainable usage of public services and reflect the value of natural resources</w:t>
            </w:r>
            <w:r w:rsidR="00CF01F3">
              <w:rPr>
                <w:sz w:val="20"/>
              </w:rPr>
              <w:t>.</w:t>
            </w:r>
          </w:p>
        </w:tc>
      </w:tr>
      <w:tr w:rsidR="004F2D39" w:rsidRPr="00C9236A" w14:paraId="0F5BF90F" w14:textId="77777777" w:rsidTr="00F73BFD">
        <w:trPr>
          <w:trHeight w:val="483"/>
        </w:trPr>
        <w:tc>
          <w:tcPr>
            <w:tcW w:w="1271" w:type="dxa"/>
            <w:vAlign w:val="center"/>
          </w:tcPr>
          <w:p w14:paraId="107444A7" w14:textId="2E9F84A1" w:rsidR="004F2D39" w:rsidRPr="00C9236A" w:rsidRDefault="00C5041F">
            <w:pPr>
              <w:pStyle w:val="DJCSbody-landscape"/>
              <w:spacing w:before="60" w:after="60"/>
              <w:rPr>
                <w:b/>
                <w:bCs/>
                <w:sz w:val="20"/>
                <w:highlight w:val="yellow"/>
              </w:rPr>
            </w:pPr>
            <w:r w:rsidRPr="00C9236A">
              <w:rPr>
                <w:b/>
                <w:bCs/>
                <w:sz w:val="20"/>
              </w:rPr>
              <w:t>Equity</w:t>
            </w:r>
          </w:p>
        </w:tc>
        <w:tc>
          <w:tcPr>
            <w:tcW w:w="8221" w:type="dxa"/>
            <w:vAlign w:val="center"/>
          </w:tcPr>
          <w:p w14:paraId="096F32F9" w14:textId="37F4859C" w:rsidR="004F2D39" w:rsidRPr="00C9236A" w:rsidRDefault="004F2D39">
            <w:pPr>
              <w:pStyle w:val="DJCSbody-landscape"/>
              <w:spacing w:before="60" w:after="60"/>
              <w:rPr>
                <w:sz w:val="20"/>
              </w:rPr>
            </w:pPr>
            <w:r w:rsidRPr="00C9236A">
              <w:rPr>
                <w:sz w:val="20"/>
              </w:rPr>
              <w:t>5 – The price of services should not limit access to those with a lower ability to pay</w:t>
            </w:r>
            <w:r w:rsidR="00CF01F3">
              <w:rPr>
                <w:sz w:val="20"/>
              </w:rPr>
              <w:t>.</w:t>
            </w:r>
          </w:p>
          <w:p w14:paraId="577A715E" w14:textId="1F60F79E" w:rsidR="00A37797" w:rsidRPr="00C9236A" w:rsidRDefault="00A37797">
            <w:pPr>
              <w:pStyle w:val="DJCSbody-landscape"/>
              <w:spacing w:before="60" w:after="60"/>
              <w:rPr>
                <w:sz w:val="20"/>
              </w:rPr>
            </w:pPr>
            <w:r w:rsidRPr="00C9236A">
              <w:rPr>
                <w:sz w:val="20"/>
              </w:rPr>
              <w:t>7 – The public should share in the value generated by pricing based on user differentiation</w:t>
            </w:r>
            <w:r w:rsidR="00CF01F3">
              <w:rPr>
                <w:sz w:val="20"/>
              </w:rPr>
              <w:t>.</w:t>
            </w:r>
          </w:p>
        </w:tc>
      </w:tr>
      <w:tr w:rsidR="00F7440C" w:rsidRPr="00C9236A" w14:paraId="2B2296D8" w14:textId="77777777" w:rsidTr="00F73BFD">
        <w:trPr>
          <w:trHeight w:val="1000"/>
        </w:trPr>
        <w:tc>
          <w:tcPr>
            <w:tcW w:w="1271" w:type="dxa"/>
            <w:vAlign w:val="center"/>
          </w:tcPr>
          <w:p w14:paraId="566E5E68" w14:textId="38AFF393" w:rsidR="00F7440C" w:rsidRPr="00C9236A" w:rsidRDefault="00F7440C">
            <w:pPr>
              <w:pStyle w:val="DJCSbody-landscape"/>
              <w:spacing w:before="60" w:after="60"/>
              <w:rPr>
                <w:b/>
                <w:bCs/>
                <w:sz w:val="20"/>
              </w:rPr>
            </w:pPr>
            <w:r w:rsidRPr="00C9236A">
              <w:rPr>
                <w:b/>
                <w:bCs/>
                <w:sz w:val="20"/>
              </w:rPr>
              <w:t>Efficiency</w:t>
            </w:r>
          </w:p>
        </w:tc>
        <w:tc>
          <w:tcPr>
            <w:tcW w:w="8221" w:type="dxa"/>
            <w:vAlign w:val="center"/>
          </w:tcPr>
          <w:p w14:paraId="6328B131" w14:textId="36615D1A" w:rsidR="00F7440C" w:rsidRPr="00C9236A" w:rsidRDefault="00F7440C" w:rsidP="004452E6">
            <w:pPr>
              <w:pStyle w:val="DJCSbody-landscape"/>
              <w:spacing w:before="60" w:after="60"/>
              <w:rPr>
                <w:sz w:val="20"/>
              </w:rPr>
            </w:pPr>
            <w:r w:rsidRPr="00C9236A">
              <w:rPr>
                <w:sz w:val="20"/>
              </w:rPr>
              <w:t xml:space="preserve">2 – </w:t>
            </w:r>
            <w:r w:rsidR="00D12348" w:rsidRPr="00C9236A">
              <w:rPr>
                <w:sz w:val="20"/>
              </w:rPr>
              <w:t>The cost of service provision should be borne by those who benefit from the service.</w:t>
            </w:r>
          </w:p>
        </w:tc>
      </w:tr>
      <w:tr w:rsidR="004452E6" w:rsidRPr="00C9236A" w14:paraId="5B3F064C" w14:textId="77777777" w:rsidTr="00F73BFD">
        <w:trPr>
          <w:trHeight w:val="426"/>
        </w:trPr>
        <w:tc>
          <w:tcPr>
            <w:tcW w:w="1271" w:type="dxa"/>
            <w:vAlign w:val="center"/>
          </w:tcPr>
          <w:p w14:paraId="6901A17A" w14:textId="503D7D0B" w:rsidR="004452E6" w:rsidRPr="00C9236A" w:rsidRDefault="004452E6" w:rsidP="004452E6">
            <w:pPr>
              <w:pStyle w:val="DJCSbody-landscape"/>
              <w:spacing w:before="60" w:after="60"/>
              <w:rPr>
                <w:b/>
                <w:bCs/>
                <w:sz w:val="20"/>
              </w:rPr>
            </w:pPr>
            <w:r w:rsidRPr="00C9236A">
              <w:rPr>
                <w:b/>
                <w:bCs/>
                <w:sz w:val="20"/>
              </w:rPr>
              <w:t xml:space="preserve">Simplicity </w:t>
            </w:r>
          </w:p>
        </w:tc>
        <w:tc>
          <w:tcPr>
            <w:tcW w:w="8221" w:type="dxa"/>
            <w:vAlign w:val="center"/>
          </w:tcPr>
          <w:p w14:paraId="7E9CAA52" w14:textId="5C702262" w:rsidR="004452E6" w:rsidRPr="00C9236A" w:rsidRDefault="004452E6" w:rsidP="004452E6">
            <w:pPr>
              <w:pStyle w:val="DJCSbody-landscape"/>
              <w:spacing w:before="60" w:after="60"/>
              <w:rPr>
                <w:sz w:val="20"/>
              </w:rPr>
            </w:pPr>
            <w:r w:rsidRPr="00C9236A">
              <w:rPr>
                <w:sz w:val="20"/>
              </w:rPr>
              <w:t>11 – Pricing structures should be easy to understand and simple to administer</w:t>
            </w:r>
            <w:r w:rsidR="00CF01F3">
              <w:rPr>
                <w:sz w:val="20"/>
              </w:rPr>
              <w:t>.</w:t>
            </w:r>
          </w:p>
        </w:tc>
      </w:tr>
    </w:tbl>
    <w:p w14:paraId="761F8AA2" w14:textId="77777777" w:rsidR="007F2BAB" w:rsidRDefault="007F2BAB" w:rsidP="007F2BAB">
      <w:pPr>
        <w:pStyle w:val="Heading1"/>
        <w:numPr>
          <w:ilvl w:val="0"/>
          <w:numId w:val="0"/>
        </w:numPr>
        <w:sectPr w:rsidR="007F2BAB" w:rsidSect="00C5670C">
          <w:pgSz w:w="11906" w:h="16838" w:code="9"/>
          <w:pgMar w:top="1871" w:right="707" w:bottom="1588" w:left="851" w:header="283" w:footer="680" w:gutter="0"/>
          <w:cols w:space="720"/>
          <w:docGrid w:linePitch="360"/>
        </w:sectPr>
      </w:pPr>
      <w:bookmarkStart w:id="78" w:name="_Identifying_Options"/>
      <w:bookmarkEnd w:id="78"/>
    </w:p>
    <w:p w14:paraId="29B5A293" w14:textId="11A25C5B" w:rsidR="009E57B6" w:rsidRPr="009E57B6" w:rsidRDefault="009E57B6" w:rsidP="009E57B6">
      <w:pPr>
        <w:pStyle w:val="Heading1"/>
      </w:pPr>
      <w:bookmarkStart w:id="79" w:name="_Toc216179699"/>
      <w:r w:rsidRPr="009E57B6">
        <w:lastRenderedPageBreak/>
        <w:t>Identifying Options</w:t>
      </w:r>
      <w:bookmarkEnd w:id="79"/>
    </w:p>
    <w:p w14:paraId="423FE45A" w14:textId="6C3840EB" w:rsidR="008E5FEE" w:rsidRDefault="008E5FEE" w:rsidP="004D6D2D">
      <w:pPr>
        <w:pStyle w:val="DJCSbody"/>
        <w:ind w:left="709"/>
      </w:pPr>
      <w:r w:rsidRPr="008E5FEE">
        <w:t>DJCS has identified three feasible options to re</w:t>
      </w:r>
      <w:r w:rsidR="00EF265F">
        <w:t>make</w:t>
      </w:r>
      <w:r w:rsidRPr="008E5FEE">
        <w:t xml:space="preserve"> the fees charged by VCAT to meet the objectives </w:t>
      </w:r>
      <w:r w:rsidR="00FD7151">
        <w:t>mentioned above.</w:t>
      </w:r>
    </w:p>
    <w:p w14:paraId="41ED45AA" w14:textId="1ECED27B" w:rsidR="00FD7151" w:rsidRDefault="00FD7151" w:rsidP="00FD7151">
      <w:pPr>
        <w:pStyle w:val="DJCSbody"/>
        <w:ind w:left="709"/>
      </w:pPr>
      <w:r w:rsidRPr="00E64538">
        <w:rPr>
          <w:b/>
          <w:bCs/>
        </w:rPr>
        <w:t>Base Case</w:t>
      </w:r>
      <w:r>
        <w:t xml:space="preserve"> –the</w:t>
      </w:r>
      <w:r w:rsidRPr="00822FE1">
        <w:t xml:space="preserve"> </w:t>
      </w:r>
      <w:r>
        <w:t>Re</w:t>
      </w:r>
      <w:r w:rsidRPr="00822FE1">
        <w:t>gulations will not be remade and VCAT will be unable to charg</w:t>
      </w:r>
      <w:r>
        <w:t xml:space="preserve">e existing fees after 28 June 2026. </w:t>
      </w:r>
    </w:p>
    <w:p w14:paraId="46966233" w14:textId="1E088B86" w:rsidR="00FD7151" w:rsidRDefault="00FD7151" w:rsidP="00FD7151">
      <w:pPr>
        <w:pStyle w:val="DJCSbody"/>
        <w:ind w:left="709"/>
      </w:pPr>
      <w:r w:rsidRPr="00E64538">
        <w:rPr>
          <w:b/>
          <w:bCs/>
        </w:rPr>
        <w:t>Option 1</w:t>
      </w:r>
      <w:r>
        <w:rPr>
          <w:b/>
          <w:bCs/>
        </w:rPr>
        <w:t>: Continue with Current Fees and Structure</w:t>
      </w:r>
      <w:r>
        <w:t xml:space="preserve"> – the existing </w:t>
      </w:r>
      <w:r w:rsidR="000B4BE4">
        <w:t>Regulations</w:t>
      </w:r>
      <w:r>
        <w:t xml:space="preserve"> will be remade as currently in place</w:t>
      </w:r>
      <w:r w:rsidR="0037185D">
        <w:t xml:space="preserve"> with a fee cost recovery of </w:t>
      </w:r>
      <w:r w:rsidR="00755005">
        <w:t>6</w:t>
      </w:r>
      <w:r w:rsidR="0037185D">
        <w:t>%</w:t>
      </w:r>
      <w:r>
        <w:t xml:space="preserve">. VCAT will be able to continue to charge fees according to the existing structure and fee units. Existing fee relief measures will continue, and fee payer categories will be unchanged. </w:t>
      </w:r>
    </w:p>
    <w:p w14:paraId="12421765" w14:textId="6DC00707" w:rsidR="00FD7151" w:rsidRDefault="00FD7151" w:rsidP="00FD7151">
      <w:pPr>
        <w:pStyle w:val="DJCSbodyafterbullets"/>
        <w:ind w:left="720"/>
      </w:pPr>
      <w:r>
        <w:rPr>
          <w:b/>
          <w:bCs/>
        </w:rPr>
        <w:t xml:space="preserve">Option 2: Introduce a New Fee Structure </w:t>
      </w:r>
      <w:r>
        <w:t xml:space="preserve">– maintains the same </w:t>
      </w:r>
      <w:r w:rsidR="006026E1">
        <w:t xml:space="preserve">level of fee </w:t>
      </w:r>
      <w:r w:rsidR="00E62FCF">
        <w:t>revenue cost recovery</w:t>
      </w:r>
      <w:r>
        <w:t xml:space="preserve"> as Option 1 </w:t>
      </w:r>
      <w:r w:rsidR="0037185D">
        <w:t xml:space="preserve">at </w:t>
      </w:r>
      <w:r w:rsidR="00755005">
        <w:t>6</w:t>
      </w:r>
      <w:r w:rsidR="0037185D">
        <w:t>%</w:t>
      </w:r>
      <w:r w:rsidR="008D27FF">
        <w:t>,</w:t>
      </w:r>
      <w:r>
        <w:t xml:space="preserve"> but introduce some changes to the fee structure as outlined below</w:t>
      </w:r>
      <w:r w:rsidR="00E62FCF">
        <w:t xml:space="preserve">. </w:t>
      </w:r>
    </w:p>
    <w:p w14:paraId="0C884181" w14:textId="77777777" w:rsidR="00FD7151" w:rsidRDefault="00FD7151" w:rsidP="00FD7151">
      <w:pPr>
        <w:pStyle w:val="DJCSbody"/>
        <w:ind w:left="709"/>
      </w:pPr>
      <w:r>
        <w:t>The new fee structure includes:</w:t>
      </w:r>
    </w:p>
    <w:p w14:paraId="378F1F6C" w14:textId="7FED7284" w:rsidR="00421596" w:rsidRPr="00421596" w:rsidRDefault="00421596" w:rsidP="003C4FE7">
      <w:pPr>
        <w:pStyle w:val="DJCSbody"/>
        <w:numPr>
          <w:ilvl w:val="0"/>
          <w:numId w:val="23"/>
        </w:numPr>
      </w:pPr>
      <w:r w:rsidRPr="00421596">
        <w:t xml:space="preserve">Expanded waivers to include a review of applications </w:t>
      </w:r>
      <w:r w:rsidR="008D27FF">
        <w:t xml:space="preserve">by victims of crime </w:t>
      </w:r>
      <w:r w:rsidRPr="00421596">
        <w:t xml:space="preserve">to the </w:t>
      </w:r>
      <w:r w:rsidR="000448FE">
        <w:t>FAS</w:t>
      </w:r>
      <w:r w:rsidRPr="00421596">
        <w:t>, so victims of crime do not face additional barriers.</w:t>
      </w:r>
    </w:p>
    <w:p w14:paraId="08B551FF" w14:textId="77777777" w:rsidR="00421596" w:rsidRPr="00421596" w:rsidRDefault="00421596" w:rsidP="003C4FE7">
      <w:pPr>
        <w:pStyle w:val="DJCSbody"/>
        <w:numPr>
          <w:ilvl w:val="0"/>
          <w:numId w:val="23"/>
        </w:numPr>
      </w:pPr>
      <w:r w:rsidRPr="00421596">
        <w:t>An expanded concession fee payer category to include pensioner concession card holders and some veteran gold card holders, to better align with Commonwealth policies.</w:t>
      </w:r>
    </w:p>
    <w:p w14:paraId="2F175C5C" w14:textId="3E34A6DB" w:rsidR="00421596" w:rsidRPr="00421596" w:rsidRDefault="00421596" w:rsidP="003C4FE7">
      <w:pPr>
        <w:pStyle w:val="DJCSbody"/>
        <w:numPr>
          <w:ilvl w:val="0"/>
          <w:numId w:val="23"/>
        </w:numPr>
      </w:pPr>
      <w:r w:rsidRPr="00421596">
        <w:t xml:space="preserve">Increased annual turnover threshold for businesses in the standard fee payer category from less than $200,000 </w:t>
      </w:r>
      <w:r w:rsidR="00191616">
        <w:t>excl. GST</w:t>
      </w:r>
      <w:r w:rsidRPr="00421596">
        <w:t xml:space="preserve"> to less than $300,000</w:t>
      </w:r>
      <w:r w:rsidR="00191616">
        <w:t xml:space="preserve"> excl. GST</w:t>
      </w:r>
      <w:r w:rsidRPr="00421596">
        <w:t>, to better support small businesses.</w:t>
      </w:r>
    </w:p>
    <w:p w14:paraId="2E3EFC28" w14:textId="77777777" w:rsidR="00421596" w:rsidRPr="00421596" w:rsidRDefault="00421596" w:rsidP="003C4FE7">
      <w:pPr>
        <w:pStyle w:val="DJCSbody"/>
        <w:numPr>
          <w:ilvl w:val="0"/>
          <w:numId w:val="23"/>
        </w:numPr>
      </w:pPr>
      <w:r w:rsidRPr="00421596">
        <w:t xml:space="preserve">Changes to the range of fees applied between the three different payer categories (concession, standard and corporate) to better reflect people’s ability to pay and private benefit available from outcomes. </w:t>
      </w:r>
    </w:p>
    <w:p w14:paraId="415C4FFD" w14:textId="77777777" w:rsidR="00421596" w:rsidRPr="00421596" w:rsidRDefault="00421596" w:rsidP="003C4FE7">
      <w:pPr>
        <w:pStyle w:val="DJCSbody"/>
        <w:numPr>
          <w:ilvl w:val="0"/>
          <w:numId w:val="23"/>
        </w:numPr>
      </w:pPr>
      <w:r w:rsidRPr="00421596">
        <w:t>New separate fees for compulsory conferencing and mediations instead of block funding as part of the application fee.</w:t>
      </w:r>
    </w:p>
    <w:p w14:paraId="0D75855D" w14:textId="77777777" w:rsidR="00421596" w:rsidRPr="00421596" w:rsidRDefault="00421596" w:rsidP="003C4FE7">
      <w:pPr>
        <w:pStyle w:val="DJCSbody"/>
        <w:numPr>
          <w:ilvl w:val="0"/>
          <w:numId w:val="23"/>
        </w:numPr>
      </w:pPr>
      <w:r w:rsidRPr="00421596">
        <w:t>Amended fees for injunctions to include non-urgent injunctions and stays.</w:t>
      </w:r>
    </w:p>
    <w:p w14:paraId="7089FC33" w14:textId="2A39253E" w:rsidR="00421596" w:rsidRPr="00421596" w:rsidRDefault="00421596" w:rsidP="003C4FE7">
      <w:pPr>
        <w:pStyle w:val="DJCSbody"/>
        <w:numPr>
          <w:ilvl w:val="0"/>
          <w:numId w:val="23"/>
        </w:numPr>
      </w:pPr>
      <w:r w:rsidRPr="00421596">
        <w:t xml:space="preserve">Amended hearing </w:t>
      </w:r>
      <w:r w:rsidR="00656186">
        <w:t>fee</w:t>
      </w:r>
      <w:r w:rsidR="00BA7FAA">
        <w:t>s</w:t>
      </w:r>
      <w:r w:rsidRPr="00421596">
        <w:t xml:space="preserve"> so that fees can be collected for directions hearings and practice day hearings.</w:t>
      </w:r>
    </w:p>
    <w:p w14:paraId="789D324D" w14:textId="04F1E924" w:rsidR="00FD7151" w:rsidRDefault="00FD7151" w:rsidP="003C4FE7">
      <w:pPr>
        <w:pStyle w:val="DJCSbody"/>
        <w:numPr>
          <w:ilvl w:val="0"/>
          <w:numId w:val="23"/>
        </w:numPr>
      </w:pPr>
      <w:r>
        <w:t>Remov</w:t>
      </w:r>
      <w:r w:rsidR="00BA7FAA">
        <w:t>al of</w:t>
      </w:r>
      <w:r>
        <w:t xml:space="preserve"> the transfer fee for transferring applications from other jurisdictions.</w:t>
      </w:r>
    </w:p>
    <w:p w14:paraId="419FA4E4" w14:textId="4F89CBCA" w:rsidR="00421596" w:rsidRPr="00421596" w:rsidRDefault="00421596" w:rsidP="003C4FE7">
      <w:pPr>
        <w:pStyle w:val="DJCSbody"/>
        <w:numPr>
          <w:ilvl w:val="0"/>
          <w:numId w:val="23"/>
        </w:numPr>
      </w:pPr>
      <w:r w:rsidRPr="00421596">
        <w:t xml:space="preserve">Other administrative amendments to the </w:t>
      </w:r>
      <w:r w:rsidR="001C718C">
        <w:t>R</w:t>
      </w:r>
      <w:r w:rsidRPr="00421596">
        <w:t>egulations to ensure consistency with legislative and other operational changes.</w:t>
      </w:r>
    </w:p>
    <w:p w14:paraId="5825A8DD" w14:textId="14CCC7ED" w:rsidR="00FD7151" w:rsidRDefault="00FD7151" w:rsidP="008303F1">
      <w:pPr>
        <w:pStyle w:val="DJCSbody"/>
        <w:tabs>
          <w:tab w:val="left" w:pos="709"/>
          <w:tab w:val="left" w:pos="993"/>
        </w:tabs>
        <w:ind w:left="709"/>
      </w:pPr>
      <w:r w:rsidRPr="006479F1">
        <w:rPr>
          <w:b/>
          <w:bCs/>
        </w:rPr>
        <w:t>Option 3:</w:t>
      </w:r>
      <w:r w:rsidRPr="008303F1">
        <w:t xml:space="preserve"> </w:t>
      </w:r>
      <w:r w:rsidRPr="006479F1">
        <w:rPr>
          <w:b/>
          <w:bCs/>
        </w:rPr>
        <w:t>Introduce a New Fee Structure</w:t>
      </w:r>
      <w:r w:rsidRPr="008303F1">
        <w:rPr>
          <w:b/>
          <w:bCs/>
        </w:rPr>
        <w:t xml:space="preserve"> </w:t>
      </w:r>
      <w:r w:rsidRPr="006479F1">
        <w:rPr>
          <w:b/>
          <w:bCs/>
        </w:rPr>
        <w:t>and Increased Fee Rates</w:t>
      </w:r>
      <w:r w:rsidRPr="006479F1">
        <w:t xml:space="preserve"> – introduces the new fee structure</w:t>
      </w:r>
      <w:r w:rsidR="001C718C">
        <w:t xml:space="preserve"> </w:t>
      </w:r>
      <w:r w:rsidRPr="006479F1">
        <w:t xml:space="preserve">as detailed above and increases cost recovery to </w:t>
      </w:r>
      <w:r w:rsidR="002B3EC1">
        <w:t>1</w:t>
      </w:r>
      <w:r w:rsidR="00391CB2">
        <w:t>1</w:t>
      </w:r>
      <w:r w:rsidR="0037185D">
        <w:t>%</w:t>
      </w:r>
      <w:r w:rsidRPr="006479F1">
        <w:t xml:space="preserve"> to support more sustainable operations</w:t>
      </w:r>
      <w:r w:rsidR="006479F1" w:rsidRPr="006479F1">
        <w:t>.</w:t>
      </w:r>
      <w:r w:rsidR="008D3F5C">
        <w:t xml:space="preserve"> </w:t>
      </w:r>
    </w:p>
    <w:p w14:paraId="468C43D1" w14:textId="4F746C19" w:rsidR="000219DB" w:rsidRDefault="000219DB" w:rsidP="00FA0CF5">
      <w:pPr>
        <w:pStyle w:val="DJCSbodyafterbullets"/>
        <w:ind w:left="720"/>
      </w:pPr>
      <w:r>
        <w:t xml:space="preserve">DJCS identified another option but </w:t>
      </w:r>
      <w:r w:rsidR="00761333">
        <w:t>concluded that it was</w:t>
      </w:r>
      <w:r>
        <w:t xml:space="preserve"> </w:t>
      </w:r>
      <w:r w:rsidRPr="003036D1">
        <w:rPr>
          <w:u w:val="single"/>
        </w:rPr>
        <w:t>not feasible</w:t>
      </w:r>
      <w:r w:rsidR="002B6911">
        <w:t>:</w:t>
      </w:r>
    </w:p>
    <w:p w14:paraId="2A862F7B" w14:textId="0520CE99" w:rsidR="000219DB" w:rsidRDefault="00190763" w:rsidP="00FA0CF5">
      <w:pPr>
        <w:pStyle w:val="DJCSbodyafterbullets"/>
        <w:ind w:left="720"/>
      </w:pPr>
      <w:r w:rsidRPr="000F4346">
        <w:rPr>
          <w:b/>
          <w:bCs/>
        </w:rPr>
        <w:t>Consolidation of Fee Structure</w:t>
      </w:r>
      <w:r w:rsidR="000F4346">
        <w:rPr>
          <w:b/>
          <w:bCs/>
        </w:rPr>
        <w:t>s</w:t>
      </w:r>
      <w:r>
        <w:t xml:space="preserve"> – this option would</w:t>
      </w:r>
      <w:r w:rsidR="008D79A8">
        <w:t xml:space="preserve"> have </w:t>
      </w:r>
      <w:r w:rsidR="00907CD2">
        <w:t>incr</w:t>
      </w:r>
      <w:r w:rsidR="00A55C0A">
        <w:t>eased fee</w:t>
      </w:r>
      <w:r w:rsidR="000245F6">
        <w:t>s</w:t>
      </w:r>
      <w:r w:rsidR="008F4114">
        <w:t xml:space="preserve"> </w:t>
      </w:r>
      <w:r w:rsidR="000245F6">
        <w:t>to improve cost recovery</w:t>
      </w:r>
      <w:r w:rsidR="00AD78E5">
        <w:t xml:space="preserve"> and </w:t>
      </w:r>
      <w:r w:rsidR="006A4C20">
        <w:t>also significantly changed the current structure of VCAT fees. T</w:t>
      </w:r>
      <w:r w:rsidR="005C2D60">
        <w:t xml:space="preserve">he fee structure would have involved consolidating the number of </w:t>
      </w:r>
      <w:r w:rsidR="00A1347F">
        <w:t xml:space="preserve">similar </w:t>
      </w:r>
      <w:r w:rsidR="005C2D60">
        <w:t xml:space="preserve">fee instances and </w:t>
      </w:r>
      <w:r w:rsidR="00CE2448">
        <w:t>separating out b</w:t>
      </w:r>
      <w:r w:rsidR="00282D34">
        <w:t xml:space="preserve">undled </w:t>
      </w:r>
      <w:r w:rsidR="00CE2448">
        <w:t xml:space="preserve">fees into </w:t>
      </w:r>
      <w:r w:rsidR="00AE41DB">
        <w:t>th</w:t>
      </w:r>
      <w:r w:rsidR="00CE2448">
        <w:t>eir component fee parts (commencement, interlocutory, dispute resolution and hearing)</w:t>
      </w:r>
      <w:r w:rsidR="00C73594">
        <w:t xml:space="preserve">. While this </w:t>
      </w:r>
      <w:r w:rsidR="003E062B">
        <w:t xml:space="preserve">would have streamlined and simplified </w:t>
      </w:r>
      <w:r w:rsidR="007B5F54">
        <w:t>VCAT’s fees, the implementation costs both in te</w:t>
      </w:r>
      <w:r w:rsidR="00416A91">
        <w:t>rms of resources (system</w:t>
      </w:r>
      <w:r w:rsidR="00BE76DC">
        <w:t xml:space="preserve"> change</w:t>
      </w:r>
      <w:r w:rsidR="00416A91">
        <w:t xml:space="preserve"> investment and staff training) and </w:t>
      </w:r>
      <w:r w:rsidR="004925AA">
        <w:t>the length of time to implement these changes</w:t>
      </w:r>
      <w:r w:rsidR="002D034B">
        <w:t xml:space="preserve"> </w:t>
      </w:r>
      <w:r w:rsidR="00CF6509">
        <w:t xml:space="preserve">are </w:t>
      </w:r>
      <w:r w:rsidR="002D034B">
        <w:t>prohibitive</w:t>
      </w:r>
      <w:r w:rsidR="00793FCF">
        <w:t>.</w:t>
      </w:r>
    </w:p>
    <w:p w14:paraId="39ADCBF1" w14:textId="2F2EE99C" w:rsidR="00830781" w:rsidRDefault="00344734" w:rsidP="004B38FF">
      <w:pPr>
        <w:pStyle w:val="DJCSbodyafterbullets"/>
        <w:ind w:left="709" w:hanging="1"/>
      </w:pPr>
      <w:r w:rsidRPr="003036D1">
        <w:rPr>
          <w:b/>
          <w:bCs/>
        </w:rPr>
        <w:lastRenderedPageBreak/>
        <w:t>Assumptions</w:t>
      </w:r>
      <w:r w:rsidR="00CF6509">
        <w:rPr>
          <w:b/>
          <w:bCs/>
        </w:rPr>
        <w:t xml:space="preserve"> </w:t>
      </w:r>
      <w:r w:rsidR="00CF6509">
        <w:t>–</w:t>
      </w:r>
      <w:r w:rsidR="00761333">
        <w:t xml:space="preserve"> </w:t>
      </w:r>
      <w:r w:rsidR="002E640C">
        <w:t>In outlining</w:t>
      </w:r>
      <w:r w:rsidR="00436C67" w:rsidRPr="008303F1">
        <w:t xml:space="preserve"> these options</w:t>
      </w:r>
      <w:r w:rsidR="002E640C">
        <w:t>,</w:t>
      </w:r>
      <w:r w:rsidR="00436C67" w:rsidRPr="008303F1">
        <w:t xml:space="preserve"> </w:t>
      </w:r>
      <w:r w:rsidR="00761333" w:rsidRPr="008303F1">
        <w:t>several</w:t>
      </w:r>
      <w:r w:rsidR="00436C67" w:rsidRPr="008303F1">
        <w:t xml:space="preserve"> assumptions have been </w:t>
      </w:r>
      <w:r w:rsidR="000C28FE">
        <w:t>used</w:t>
      </w:r>
      <w:r w:rsidR="00436C67" w:rsidRPr="008303F1">
        <w:t xml:space="preserve"> to support the analysis. These assumptions include:</w:t>
      </w:r>
    </w:p>
    <w:p w14:paraId="761E5F37" w14:textId="6BA5AC43" w:rsidR="00800FAF" w:rsidRDefault="00387AEF" w:rsidP="003C4FE7">
      <w:pPr>
        <w:pStyle w:val="DJCSbodyafterbullets"/>
        <w:numPr>
          <w:ilvl w:val="0"/>
          <w:numId w:val="35"/>
        </w:numPr>
      </w:pPr>
      <w:r>
        <w:t>For calculating the impact of the increase in prices</w:t>
      </w:r>
      <w:r w:rsidR="0021108B">
        <w:t>,</w:t>
      </w:r>
      <w:r>
        <w:t xml:space="preserve"> </w:t>
      </w:r>
      <w:r w:rsidR="00993F5E">
        <w:t>increases in prices for the Melbourne All Groups</w:t>
      </w:r>
      <w:r w:rsidR="0046289C">
        <w:t xml:space="preserve"> quarterly index numbers were</w:t>
      </w:r>
      <w:r w:rsidR="00F62242">
        <w:t xml:space="preserve"> used.</w:t>
      </w:r>
      <w:r w:rsidR="006078CF">
        <w:rPr>
          <w:rStyle w:val="FootnoteReference"/>
        </w:rPr>
        <w:footnoteReference w:id="30"/>
      </w:r>
    </w:p>
    <w:p w14:paraId="463DB7E8" w14:textId="59C2D8A9" w:rsidR="00A84D16" w:rsidRDefault="001B40E3" w:rsidP="003C4FE7">
      <w:pPr>
        <w:pStyle w:val="DJCSbodyafterbullets"/>
        <w:numPr>
          <w:ilvl w:val="0"/>
          <w:numId w:val="35"/>
        </w:numPr>
      </w:pPr>
      <w:r>
        <w:t>VCAT f</w:t>
      </w:r>
      <w:r w:rsidR="00F62242">
        <w:t xml:space="preserve">ee data based on the </w:t>
      </w:r>
      <w:r w:rsidR="00A84D16">
        <w:t xml:space="preserve">data for the 2024-25 financial year </w:t>
      </w:r>
      <w:r>
        <w:t xml:space="preserve">was used </w:t>
      </w:r>
      <w:r w:rsidR="00A84D16">
        <w:t>to inform estimated revenue in 2025-26 and ongoing.</w:t>
      </w:r>
      <w:r w:rsidR="00D727B6">
        <w:t xml:space="preserve"> </w:t>
      </w:r>
      <w:r w:rsidR="00163A16">
        <w:t xml:space="preserve">This is based on the assumption </w:t>
      </w:r>
      <w:r w:rsidR="00D727B6">
        <w:t>that demand is unchanged.</w:t>
      </w:r>
      <w:r w:rsidR="00FA261E">
        <w:t xml:space="preserve"> This is consistent with the relatively flat level of initiations since 2020-21</w:t>
      </w:r>
      <w:r w:rsidR="00CE21A0">
        <w:t xml:space="preserve">, </w:t>
      </w:r>
      <w:r w:rsidR="001A12DF">
        <w:t>detailed at</w:t>
      </w:r>
      <w:r w:rsidR="00CE21A0">
        <w:t xml:space="preserve"> </w:t>
      </w:r>
      <w:hyperlink w:anchor="_VCAT_Caseload" w:history="1">
        <w:r w:rsidR="00EF2BD2">
          <w:rPr>
            <w:rStyle w:val="Hyperlink"/>
          </w:rPr>
          <w:t>S</w:t>
        </w:r>
        <w:r w:rsidR="00CE21A0" w:rsidRPr="00A346D9">
          <w:rPr>
            <w:rStyle w:val="Hyperlink"/>
          </w:rPr>
          <w:t>ection 2.2.4</w:t>
        </w:r>
      </w:hyperlink>
      <w:r w:rsidR="00CE21A0">
        <w:t>.</w:t>
      </w:r>
    </w:p>
    <w:p w14:paraId="6002AE00" w14:textId="2C8B902C" w:rsidR="00D441CE" w:rsidRDefault="001A25B5" w:rsidP="003C4FE7">
      <w:pPr>
        <w:pStyle w:val="DJCSbodyafterbullets"/>
        <w:numPr>
          <w:ilvl w:val="0"/>
          <w:numId w:val="35"/>
        </w:numPr>
      </w:pPr>
      <w:r>
        <w:t>Other data including the number of persons on an aged care pension</w:t>
      </w:r>
      <w:r w:rsidR="00131516">
        <w:t xml:space="preserve"> and</w:t>
      </w:r>
      <w:r>
        <w:t xml:space="preserve"> number </w:t>
      </w:r>
      <w:r w:rsidR="00D517CD">
        <w:t>of veteran gold car</w:t>
      </w:r>
      <w:r w:rsidR="00E0609B">
        <w:t>d</w:t>
      </w:r>
      <w:r w:rsidR="00D517CD">
        <w:t xml:space="preserve"> holders </w:t>
      </w:r>
      <w:r w:rsidR="00131516">
        <w:t xml:space="preserve">is </w:t>
      </w:r>
      <w:r w:rsidR="00D517CD">
        <w:t>based on data from the Dep</w:t>
      </w:r>
      <w:r w:rsidR="00476220">
        <w:t>artment of Social Services (June 2025 Quarter) and the Department of Veterans Affairs (</w:t>
      </w:r>
      <w:r w:rsidR="008A0300">
        <w:t>March 2025 data)</w:t>
      </w:r>
      <w:r w:rsidR="007A68C9">
        <w:t xml:space="preserve">. This data is assumed to be </w:t>
      </w:r>
      <w:r w:rsidR="00FA084A">
        <w:t xml:space="preserve">representative </w:t>
      </w:r>
      <w:r w:rsidR="007A68C9">
        <w:t>of the 2025-26 year.</w:t>
      </w:r>
    </w:p>
    <w:p w14:paraId="02183EE9" w14:textId="1C761798" w:rsidR="00B9739E" w:rsidRDefault="0056435B" w:rsidP="0056435B">
      <w:pPr>
        <w:pStyle w:val="Heading2"/>
      </w:pPr>
      <w:bookmarkStart w:id="80" w:name="_Pricing_a_New"/>
      <w:bookmarkStart w:id="81" w:name="_Toc216179700"/>
      <w:bookmarkEnd w:id="80"/>
      <w:r>
        <w:t xml:space="preserve">Pricing a </w:t>
      </w:r>
      <w:r w:rsidR="00131516">
        <w:t>n</w:t>
      </w:r>
      <w:r>
        <w:t xml:space="preserve">ew </w:t>
      </w:r>
      <w:r w:rsidR="00131516">
        <w:t>f</w:t>
      </w:r>
      <w:r>
        <w:t xml:space="preserve">ee </w:t>
      </w:r>
      <w:r w:rsidR="00131516">
        <w:t>s</w:t>
      </w:r>
      <w:r>
        <w:t>tructure</w:t>
      </w:r>
      <w:bookmarkEnd w:id="81"/>
    </w:p>
    <w:p w14:paraId="7D91CB4A" w14:textId="56B15F77" w:rsidR="0056435B" w:rsidRDefault="00131516" w:rsidP="0056435B">
      <w:pPr>
        <w:pStyle w:val="DJCSbody"/>
        <w:ind w:left="680"/>
      </w:pPr>
      <w:r>
        <w:t>To</w:t>
      </w:r>
      <w:r w:rsidR="0056435B">
        <w:t xml:space="preserve"> determine the pricing levels for the different</w:t>
      </w:r>
      <w:r w:rsidR="00765B6A">
        <w:t xml:space="preserve"> fees under </w:t>
      </w:r>
      <w:r w:rsidR="003B364E">
        <w:t>Options 2 and 3, t</w:t>
      </w:r>
      <w:r w:rsidR="00CB0B88">
        <w:t>hree</w:t>
      </w:r>
      <w:r w:rsidR="003B364E">
        <w:t xml:space="preserve"> methodologies were used.</w:t>
      </w:r>
      <w:r w:rsidR="002A2BA8">
        <w:t xml:space="preserve"> </w:t>
      </w:r>
    </w:p>
    <w:p w14:paraId="4221A4D2" w14:textId="21461353" w:rsidR="00887C30" w:rsidRDefault="001456B2" w:rsidP="003C4FE7">
      <w:pPr>
        <w:pStyle w:val="DJCSbody"/>
        <w:numPr>
          <w:ilvl w:val="0"/>
          <w:numId w:val="42"/>
        </w:numPr>
      </w:pPr>
      <w:r w:rsidRPr="005F4062">
        <w:rPr>
          <w:b/>
          <w:bCs/>
        </w:rPr>
        <w:t>Fees based on allocated costs</w:t>
      </w:r>
      <w:r>
        <w:t xml:space="preserve">: </w:t>
      </w:r>
      <w:r w:rsidR="00B54B16">
        <w:t xml:space="preserve">VCAT activities were broken down </w:t>
      </w:r>
      <w:r w:rsidR="00403591">
        <w:t>in</w:t>
      </w:r>
      <w:r w:rsidR="00B54B16">
        <w:t xml:space="preserve">to 10 service stages </w:t>
      </w:r>
      <w:r w:rsidR="00357B8A">
        <w:t xml:space="preserve">(presented at Figure </w:t>
      </w:r>
      <w:r w:rsidR="00257E35">
        <w:t>2</w:t>
      </w:r>
      <w:r w:rsidR="00357B8A">
        <w:t xml:space="preserve"> below)</w:t>
      </w:r>
      <w:r w:rsidR="00B54B16">
        <w:t xml:space="preserve"> </w:t>
      </w:r>
      <w:r w:rsidR="00E8168F">
        <w:t xml:space="preserve">that represent the </w:t>
      </w:r>
      <w:r w:rsidR="00022667">
        <w:t xml:space="preserve">key activities </w:t>
      </w:r>
      <w:r w:rsidR="000932B0">
        <w:t xml:space="preserve">involved </w:t>
      </w:r>
      <w:r w:rsidR="00163A16">
        <w:t xml:space="preserve">in </w:t>
      </w:r>
      <w:r w:rsidR="000932B0">
        <w:t>progressing matters in VCAT</w:t>
      </w:r>
      <w:r w:rsidR="00F33D5B">
        <w:t xml:space="preserve">. </w:t>
      </w:r>
      <w:r w:rsidR="0015449C">
        <w:t>Each service stage</w:t>
      </w:r>
      <w:r w:rsidR="00F33D5B">
        <w:t xml:space="preserve"> w</w:t>
      </w:r>
      <w:r w:rsidR="0015449C">
        <w:t>as</w:t>
      </w:r>
      <w:r w:rsidR="00F33D5B">
        <w:t xml:space="preserve"> then costed </w:t>
      </w:r>
      <w:r w:rsidR="00DD1871">
        <w:t xml:space="preserve">in aggregate based on the </w:t>
      </w:r>
      <w:r w:rsidR="00F012F8">
        <w:t xml:space="preserve">costs of </w:t>
      </w:r>
      <w:r w:rsidR="006E5527">
        <w:t>Member</w:t>
      </w:r>
      <w:r w:rsidR="00F012F8">
        <w:t>s</w:t>
      </w:r>
      <w:r w:rsidR="006C0A77">
        <w:t xml:space="preserve">, </w:t>
      </w:r>
      <w:r w:rsidR="00F012F8">
        <w:t>other support staff (</w:t>
      </w:r>
      <w:r w:rsidR="003C4469">
        <w:t>registry staff)</w:t>
      </w:r>
      <w:r w:rsidR="002B6C61">
        <w:t xml:space="preserve"> and</w:t>
      </w:r>
      <w:r w:rsidR="00565387">
        <w:t xml:space="preserve"> indirect costs (</w:t>
      </w:r>
      <w:r w:rsidR="003C4469">
        <w:t xml:space="preserve">including </w:t>
      </w:r>
      <w:r w:rsidR="003F7721">
        <w:t xml:space="preserve">IT, </w:t>
      </w:r>
      <w:r w:rsidR="006E5527">
        <w:t>Member</w:t>
      </w:r>
      <w:r w:rsidR="003F7721">
        <w:t xml:space="preserve"> education</w:t>
      </w:r>
      <w:r w:rsidR="00F6596D">
        <w:t xml:space="preserve"> </w:t>
      </w:r>
      <w:r w:rsidR="004E312B">
        <w:t>and other overheads).</w:t>
      </w:r>
      <w:r w:rsidR="005F4062">
        <w:t xml:space="preserve"> These service stage costs were then attributed to </w:t>
      </w:r>
      <w:r w:rsidR="007963F6">
        <w:t>relevant</w:t>
      </w:r>
      <w:r w:rsidR="005F4062">
        <w:t xml:space="preserve"> fee</w:t>
      </w:r>
      <w:r w:rsidR="0037724C">
        <w:t xml:space="preserve">s in the </w:t>
      </w:r>
      <w:r w:rsidR="00E95D07">
        <w:t xml:space="preserve">proposed </w:t>
      </w:r>
      <w:r w:rsidR="00DD4530">
        <w:t>R</w:t>
      </w:r>
      <w:r w:rsidR="0037724C">
        <w:t>egulations including application fees, dispute resolution fees and hearing fees.</w:t>
      </w:r>
    </w:p>
    <w:p w14:paraId="1264E1D9" w14:textId="6D060D22" w:rsidR="00F45C52" w:rsidRPr="00F45C52" w:rsidRDefault="00F45C52" w:rsidP="00F45C52">
      <w:pPr>
        <w:pStyle w:val="DJCSbody"/>
        <w:ind w:left="1080"/>
      </w:pPr>
      <w:r>
        <w:t xml:space="preserve">These service stage costs were then </w:t>
      </w:r>
      <w:r w:rsidR="000A223E">
        <w:t xml:space="preserve">divided </w:t>
      </w:r>
      <w:r w:rsidR="008150EB">
        <w:t xml:space="preserve">by the </w:t>
      </w:r>
      <w:r w:rsidR="00752004">
        <w:t>number</w:t>
      </w:r>
      <w:r w:rsidR="00C6729C">
        <w:t xml:space="preserve"> of fee</w:t>
      </w:r>
      <w:r w:rsidR="00015CB5">
        <w:t>s</w:t>
      </w:r>
      <w:r w:rsidR="00C6729C">
        <w:t xml:space="preserve"> charged in 2024-25. This </w:t>
      </w:r>
      <w:r w:rsidR="00015CB5">
        <w:t>results in</w:t>
      </w:r>
      <w:r w:rsidR="00C6729C">
        <w:t xml:space="preserve"> an average cost for that </w:t>
      </w:r>
      <w:r w:rsidR="00015CB5">
        <w:t xml:space="preserve">activity. </w:t>
      </w:r>
      <w:r w:rsidR="0081735C">
        <w:t>Average cost per activit</w:t>
      </w:r>
      <w:r w:rsidR="00A5545D">
        <w:t>y</w:t>
      </w:r>
      <w:r w:rsidR="0081735C">
        <w:t xml:space="preserve"> w</w:t>
      </w:r>
      <w:r w:rsidR="00DD4530">
        <w:t>as</w:t>
      </w:r>
      <w:r w:rsidR="0081735C">
        <w:t xml:space="preserve"> then used to calculate</w:t>
      </w:r>
      <w:r w:rsidR="00A5545D">
        <w:t xml:space="preserve"> the application and hearing fees, maintaining the relativities </w:t>
      </w:r>
      <w:r w:rsidR="00C02E75">
        <w:t xml:space="preserve">between different hearing and application fees </w:t>
      </w:r>
      <w:r w:rsidR="00A5545D">
        <w:t xml:space="preserve">that were set in the </w:t>
      </w:r>
      <w:r w:rsidR="00E95D07">
        <w:t xml:space="preserve">current </w:t>
      </w:r>
      <w:r w:rsidR="00DD4530">
        <w:t>R</w:t>
      </w:r>
      <w:r w:rsidR="00A5545D">
        <w:t xml:space="preserve">egulations. </w:t>
      </w:r>
    </w:p>
    <w:p w14:paraId="67B76FE3" w14:textId="3E620F76" w:rsidR="00757B0A" w:rsidRPr="00F45C52" w:rsidRDefault="00757B0A" w:rsidP="003C4FE7">
      <w:pPr>
        <w:pStyle w:val="DJCSbody"/>
        <w:numPr>
          <w:ilvl w:val="0"/>
          <w:numId w:val="42"/>
        </w:numPr>
      </w:pPr>
      <w:r w:rsidRPr="004A26DC">
        <w:rPr>
          <w:b/>
          <w:bCs/>
        </w:rPr>
        <w:t xml:space="preserve">Fee units were adjusted in line with the case progression: </w:t>
      </w:r>
      <w:r w:rsidRPr="004A26DC">
        <w:t>to better reflect identified operating costs, and to incentivise the earlier resolution of matters. This means that higher fee units were progressive</w:t>
      </w:r>
      <w:r w:rsidR="004C03FF">
        <w:t>ly</w:t>
      </w:r>
      <w:r w:rsidRPr="004A26DC">
        <w:t xml:space="preserve"> applied along the case journey. </w:t>
      </w:r>
      <w:r w:rsidR="00687E9D" w:rsidRPr="004A26DC">
        <w:t>To</w:t>
      </w:r>
      <w:r w:rsidRPr="004A26DC">
        <w:t xml:space="preserve"> maintain access to justice</w:t>
      </w:r>
      <w:r>
        <w:t>,</w:t>
      </w:r>
      <w:r w:rsidRPr="004A26DC">
        <w:t xml:space="preserve"> some fees remained low or were reduced below the </w:t>
      </w:r>
      <w:r>
        <w:t>cost of the activity</w:t>
      </w:r>
      <w:r w:rsidRPr="004A26DC">
        <w:t xml:space="preserve">, whereas others increased. </w:t>
      </w:r>
    </w:p>
    <w:p w14:paraId="333FC40A" w14:textId="6D01A5EF" w:rsidR="002724AC" w:rsidRDefault="001456B2" w:rsidP="003C4FE7">
      <w:pPr>
        <w:pStyle w:val="DJCSbody"/>
        <w:numPr>
          <w:ilvl w:val="0"/>
          <w:numId w:val="42"/>
        </w:numPr>
      </w:pPr>
      <w:r w:rsidRPr="0050431D">
        <w:rPr>
          <w:b/>
          <w:bCs/>
        </w:rPr>
        <w:t xml:space="preserve">Fees based on </w:t>
      </w:r>
      <w:r w:rsidR="0050431D">
        <w:rPr>
          <w:b/>
          <w:bCs/>
        </w:rPr>
        <w:t xml:space="preserve">changes to </w:t>
      </w:r>
      <w:r w:rsidRPr="0050431D">
        <w:rPr>
          <w:b/>
          <w:bCs/>
        </w:rPr>
        <w:t>aggregate costs</w:t>
      </w:r>
      <w:r>
        <w:t xml:space="preserve">: </w:t>
      </w:r>
      <w:r w:rsidR="0037724C">
        <w:t>the remainder of the fees</w:t>
      </w:r>
      <w:r w:rsidR="000F347D">
        <w:t xml:space="preserve"> do not line up with the services stages</w:t>
      </w:r>
      <w:r w:rsidR="00200FA2">
        <w:t>. These fees were</w:t>
      </w:r>
      <w:r w:rsidR="0050431D">
        <w:t xml:space="preserve"> increase</w:t>
      </w:r>
      <w:r w:rsidR="00D95797">
        <w:t>d based on the</w:t>
      </w:r>
      <w:r w:rsidR="0050431D">
        <w:t xml:space="preserve"> </w:t>
      </w:r>
      <w:r w:rsidR="00D95797">
        <w:t>increase in the</w:t>
      </w:r>
      <w:r w:rsidR="0050431D">
        <w:t xml:space="preserve"> overall </w:t>
      </w:r>
      <w:r w:rsidR="000E5CB7">
        <w:t xml:space="preserve">VCAT </w:t>
      </w:r>
      <w:r w:rsidR="0050431D">
        <w:t xml:space="preserve">cost level </w:t>
      </w:r>
      <w:r w:rsidR="000305EC">
        <w:t>since 2016</w:t>
      </w:r>
      <w:r w:rsidR="00371EAF">
        <w:t xml:space="preserve">. This </w:t>
      </w:r>
      <w:r w:rsidR="00613B07">
        <w:t xml:space="preserve">change </w:t>
      </w:r>
      <w:r w:rsidR="00371EAF">
        <w:t xml:space="preserve">in costs was </w:t>
      </w:r>
      <w:r w:rsidR="00BE39CC">
        <w:t xml:space="preserve">reduced </w:t>
      </w:r>
      <w:r w:rsidR="00540477">
        <w:t>to reflect</w:t>
      </w:r>
      <w:r w:rsidR="00BE39CC">
        <w:t xml:space="preserve"> the </w:t>
      </w:r>
      <w:r w:rsidR="00613B07">
        <w:t xml:space="preserve">impact of </w:t>
      </w:r>
      <w:r w:rsidR="00975CE9">
        <w:t>inflation</w:t>
      </w:r>
      <w:r w:rsidR="00D95797">
        <w:t xml:space="preserve"> (</w:t>
      </w:r>
      <w:r w:rsidR="00596A12">
        <w:t>which</w:t>
      </w:r>
      <w:r w:rsidR="00D95797">
        <w:t xml:space="preserve"> is </w:t>
      </w:r>
      <w:r w:rsidR="00596A12">
        <w:t>factored</w:t>
      </w:r>
      <w:r w:rsidR="00D95797">
        <w:t xml:space="preserve"> into the </w:t>
      </w:r>
      <w:r w:rsidR="00483307">
        <w:t xml:space="preserve">calculation of </w:t>
      </w:r>
      <w:r w:rsidR="00596A12">
        <w:t>fees</w:t>
      </w:r>
      <w:r w:rsidR="004C1070">
        <w:t>,</w:t>
      </w:r>
      <w:r w:rsidR="00596A12">
        <w:t xml:space="preserve"> since fees are charged in fee units)</w:t>
      </w:r>
      <w:r w:rsidR="00D66459">
        <w:t>.</w:t>
      </w:r>
      <w:r w:rsidR="00975CE9">
        <w:t xml:space="preserve"> </w:t>
      </w:r>
      <w:r w:rsidR="00907AEF">
        <w:t>The</w:t>
      </w:r>
      <w:r w:rsidR="00854F14">
        <w:t xml:space="preserve"> </w:t>
      </w:r>
      <w:r w:rsidR="003B1330">
        <w:t>real change</w:t>
      </w:r>
      <w:r w:rsidR="002F0306">
        <w:t xml:space="preserve"> (change minus </w:t>
      </w:r>
      <w:r w:rsidR="002C5B67">
        <w:t>the impacts of inflation)</w:t>
      </w:r>
      <w:r w:rsidR="003B1330">
        <w:t xml:space="preserve"> in costs was then applied to administrative fees, witness summons and injunctions to calculate </w:t>
      </w:r>
      <w:r w:rsidR="004A1B4B">
        <w:t>changes to fee levels.</w:t>
      </w:r>
    </w:p>
    <w:p w14:paraId="4339438C" w14:textId="57DF2C79" w:rsidR="004A0BCE" w:rsidRDefault="0052242C" w:rsidP="00D40271">
      <w:pPr>
        <w:pStyle w:val="DJCStablecaption"/>
        <w:ind w:left="709"/>
      </w:pPr>
      <w:r>
        <w:rPr>
          <w:noProof/>
        </w:rPr>
        <w:lastRenderedPageBreak/>
        <w:drawing>
          <wp:anchor distT="0" distB="0" distL="114300" distR="114300" simplePos="0" relativeHeight="251658242" behindDoc="0" locked="0" layoutInCell="1" allowOverlap="1" wp14:anchorId="3FA51DD6" wp14:editId="067B234A">
            <wp:simplePos x="0" y="0"/>
            <wp:positionH relativeFrom="margin">
              <wp:posOffset>-200611</wp:posOffset>
            </wp:positionH>
            <wp:positionV relativeFrom="paragraph">
              <wp:posOffset>312322</wp:posOffset>
            </wp:positionV>
            <wp:extent cx="6737350" cy="2461260"/>
            <wp:effectExtent l="0" t="0" r="6350" b="0"/>
            <wp:wrapThrough wrapText="bothSides">
              <wp:wrapPolygon edited="0">
                <wp:start x="0" y="0"/>
                <wp:lineTo x="0" y="21399"/>
                <wp:lineTo x="21559" y="21399"/>
                <wp:lineTo x="21559" y="0"/>
                <wp:lineTo x="0" y="0"/>
              </wp:wrapPolygon>
            </wp:wrapThrough>
            <wp:docPr id="419960577"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60577" name="Picture 1" descr="A diagram of a process&#10;&#10;AI-generated content may be incorrect."/>
                    <pic:cNvPicPr/>
                  </pic:nvPicPr>
                  <pic:blipFill rotWithShape="1">
                    <a:blip r:embed="rId36"/>
                    <a:srcRect t="5406"/>
                    <a:stretch>
                      <a:fillRect/>
                    </a:stretch>
                  </pic:blipFill>
                  <pic:spPr bwMode="auto">
                    <a:xfrm>
                      <a:off x="0" y="0"/>
                      <a:ext cx="6737350" cy="246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D1C" w:rsidRPr="002724AC">
        <w:t xml:space="preserve">Figure </w:t>
      </w:r>
      <w:r w:rsidR="00C76C71">
        <w:t>2</w:t>
      </w:r>
      <w:r w:rsidR="00DD4530">
        <w:t xml:space="preserve"> -</w:t>
      </w:r>
      <w:r w:rsidR="00B07D1C" w:rsidRPr="002724AC">
        <w:t xml:space="preserve"> 10 Stages of </w:t>
      </w:r>
      <w:r w:rsidR="00CD19C3">
        <w:t>s</w:t>
      </w:r>
      <w:r w:rsidR="002724AC" w:rsidRPr="002724AC">
        <w:t xml:space="preserve">ervice </w:t>
      </w:r>
      <w:r w:rsidR="00CD19C3">
        <w:t>d</w:t>
      </w:r>
      <w:r w:rsidR="002724AC" w:rsidRPr="002724AC">
        <w:t>elivery</w:t>
      </w:r>
      <w:r w:rsidR="00CD19C3">
        <w:t>, associated cost</w:t>
      </w:r>
      <w:r w:rsidR="00281F68">
        <w:t>s</w:t>
      </w:r>
      <w:r w:rsidR="002724AC" w:rsidRPr="002724AC">
        <w:t xml:space="preserve"> </w:t>
      </w:r>
      <w:r>
        <w:t xml:space="preserve">and </w:t>
      </w:r>
      <w:r w:rsidR="00844FC2">
        <w:t xml:space="preserve">proposed fee structure across </w:t>
      </w:r>
      <w:r w:rsidR="002724AC" w:rsidRPr="002724AC">
        <w:t>VCAT</w:t>
      </w:r>
    </w:p>
    <w:p w14:paraId="4FD27E0B" w14:textId="7347C565" w:rsidR="00F95057" w:rsidRDefault="009E57B6" w:rsidP="00BE6A62">
      <w:pPr>
        <w:pStyle w:val="Heading2"/>
      </w:pPr>
      <w:bookmarkStart w:id="82" w:name="_Toc216179701"/>
      <w:r>
        <w:t xml:space="preserve">Base </w:t>
      </w:r>
      <w:r w:rsidR="00281F68">
        <w:t>c</w:t>
      </w:r>
      <w:r>
        <w:t>ase</w:t>
      </w:r>
      <w:bookmarkEnd w:id="82"/>
    </w:p>
    <w:p w14:paraId="30F91D8C" w14:textId="09BBE0CE" w:rsidR="00772B8D" w:rsidRDefault="00523CC3" w:rsidP="00FA0CF5">
      <w:pPr>
        <w:pStyle w:val="DJCSbodyafterbullets"/>
        <w:ind w:left="680"/>
      </w:pPr>
      <w:r>
        <w:t xml:space="preserve">The </w:t>
      </w:r>
      <w:r w:rsidRPr="0045437F">
        <w:t>Victorian Guide to Regulation</w:t>
      </w:r>
      <w:r w:rsidR="00051138" w:rsidRPr="00C329DD">
        <w:rPr>
          <w:rStyle w:val="FootnoteReference"/>
        </w:rPr>
        <w:footnoteReference w:id="31"/>
      </w:r>
      <w:r>
        <w:t xml:space="preserve"> requires that the options presented in the RIS be assessed </w:t>
      </w:r>
      <w:r w:rsidR="0009520D">
        <w:t>against the base case of no regulation, where no fees would be charged.</w:t>
      </w:r>
      <w:r w:rsidR="009C1CE5">
        <w:t xml:space="preserve"> No fees would be charged if the existing regulations expire.</w:t>
      </w:r>
      <w:r w:rsidR="00F176B4">
        <w:t xml:space="preserve"> If no fees were charged than the </w:t>
      </w:r>
      <w:r w:rsidR="00255479">
        <w:t xml:space="preserve">impacts would be as outlined in </w:t>
      </w:r>
      <w:hyperlink w:anchor="_Charging_fees_in" w:history="1">
        <w:r w:rsidR="00255479" w:rsidRPr="00112A11">
          <w:rPr>
            <w:rStyle w:val="Hyperlink"/>
          </w:rPr>
          <w:t xml:space="preserve">Section </w:t>
        </w:r>
        <w:r w:rsidR="00400F3C" w:rsidRPr="00112A11">
          <w:rPr>
            <w:rStyle w:val="Hyperlink"/>
          </w:rPr>
          <w:t>3.1</w:t>
        </w:r>
      </w:hyperlink>
      <w:r w:rsidR="00255479">
        <w:t xml:space="preserve">. </w:t>
      </w:r>
      <w:r w:rsidR="00570ADA">
        <w:t>T</w:t>
      </w:r>
      <w:r w:rsidR="00255479">
        <w:t xml:space="preserve">his </w:t>
      </w:r>
      <w:r w:rsidR="008327DC">
        <w:t xml:space="preserve">option would result in </w:t>
      </w:r>
      <w:r w:rsidR="00255479">
        <w:t xml:space="preserve">increased </w:t>
      </w:r>
      <w:r w:rsidR="00772CDC">
        <w:t>pressure on VCAT infrastructure and staff to service</w:t>
      </w:r>
      <w:r w:rsidR="00375BE9">
        <w:t xml:space="preserve"> the </w:t>
      </w:r>
      <w:r w:rsidR="00F74A75">
        <w:t>increased level of demand</w:t>
      </w:r>
      <w:r w:rsidR="00D451C8">
        <w:t xml:space="preserve"> without adequate funding</w:t>
      </w:r>
      <w:r w:rsidR="00F74A75">
        <w:t>.</w:t>
      </w:r>
    </w:p>
    <w:p w14:paraId="5070CD25" w14:textId="6C3C958E" w:rsidR="00E310FF" w:rsidRDefault="00E310FF" w:rsidP="00FA0CF5">
      <w:pPr>
        <w:pStyle w:val="DJCSbodyafterbullets"/>
        <w:ind w:left="680"/>
      </w:pPr>
      <w:r>
        <w:t xml:space="preserve">The base case has been </w:t>
      </w:r>
      <w:r w:rsidR="003541B7">
        <w:t>assigned</w:t>
      </w:r>
      <w:r>
        <w:t xml:space="preserve"> a score of zero for each criterion, making its total score zero</w:t>
      </w:r>
      <w:r w:rsidR="003541B7">
        <w:t xml:space="preserve">. </w:t>
      </w:r>
    </w:p>
    <w:p w14:paraId="322D036F" w14:textId="54EC5789" w:rsidR="009E57B6" w:rsidRDefault="009E57B6" w:rsidP="009E57B6">
      <w:pPr>
        <w:pStyle w:val="Heading2"/>
      </w:pPr>
      <w:bookmarkStart w:id="83" w:name="_Toc216179702"/>
      <w:r>
        <w:t xml:space="preserve">Option 1: </w:t>
      </w:r>
      <w:r w:rsidR="006514E4">
        <w:t xml:space="preserve">Continue with </w:t>
      </w:r>
      <w:r w:rsidR="00724611">
        <w:t>c</w:t>
      </w:r>
      <w:r w:rsidR="006514E4">
        <w:t xml:space="preserve">urrent </w:t>
      </w:r>
      <w:r w:rsidR="00724611">
        <w:t>f</w:t>
      </w:r>
      <w:r w:rsidR="006514E4">
        <w:t xml:space="preserve">ees and </w:t>
      </w:r>
      <w:r w:rsidR="00724611">
        <w:t>s</w:t>
      </w:r>
      <w:r w:rsidR="006514E4">
        <w:t>tructure</w:t>
      </w:r>
      <w:bookmarkEnd w:id="83"/>
    </w:p>
    <w:p w14:paraId="03E99231" w14:textId="2A8FBF17" w:rsidR="009E57B6" w:rsidRDefault="00A27071" w:rsidP="00FA0CF5">
      <w:pPr>
        <w:pStyle w:val="DJCSbodyafterbullets"/>
        <w:ind w:left="680"/>
      </w:pPr>
      <w:r>
        <w:t xml:space="preserve">Under this option, fees </w:t>
      </w:r>
      <w:r w:rsidR="0095075B">
        <w:t xml:space="preserve">and charges would remain </w:t>
      </w:r>
      <w:r w:rsidR="009B37F1">
        <w:t xml:space="preserve">the same as the </w:t>
      </w:r>
      <w:r w:rsidR="008E5EF7">
        <w:t>R</w:t>
      </w:r>
      <w:r w:rsidR="009B37F1">
        <w:t>egulations</w:t>
      </w:r>
      <w:r w:rsidR="00112A11">
        <w:t xml:space="preserve"> with a fee cost recovery level of </w:t>
      </w:r>
      <w:r w:rsidR="00755005">
        <w:t>6</w:t>
      </w:r>
      <w:r w:rsidR="00112A11">
        <w:t>%</w:t>
      </w:r>
      <w:r w:rsidR="00EC4384">
        <w:t xml:space="preserve">. The fees and fee structure of the </w:t>
      </w:r>
      <w:r w:rsidR="00724611">
        <w:t>R</w:t>
      </w:r>
      <w:r w:rsidR="00EC4384">
        <w:t>egulations would remain unchanged.</w:t>
      </w:r>
      <w:r w:rsidR="0047463F">
        <w:t xml:space="preserve"> The fees for Option 1</w:t>
      </w:r>
      <w:r w:rsidR="008C4593">
        <w:t xml:space="preserve"> are outlined in </w:t>
      </w:r>
      <w:hyperlink w:anchor="_Appendix_A" w:history="1">
        <w:r w:rsidR="009A2F8F" w:rsidRPr="00112A11">
          <w:rPr>
            <w:rStyle w:val="Hyperlink"/>
          </w:rPr>
          <w:t>Appendix A</w:t>
        </w:r>
      </w:hyperlink>
      <w:r w:rsidR="006514E4">
        <w:t>.</w:t>
      </w:r>
    </w:p>
    <w:p w14:paraId="428FA865" w14:textId="6AD6B3B5" w:rsidR="00702530" w:rsidRDefault="00702530" w:rsidP="00702530">
      <w:pPr>
        <w:pStyle w:val="Heading2"/>
      </w:pPr>
      <w:bookmarkStart w:id="84" w:name="_Toc216179703"/>
      <w:r>
        <w:t>Option 2: In</w:t>
      </w:r>
      <w:r w:rsidR="00D85F88">
        <w:t xml:space="preserve">troduce </w:t>
      </w:r>
      <w:r w:rsidR="00724611">
        <w:t>n</w:t>
      </w:r>
      <w:r w:rsidR="00D85F88">
        <w:t xml:space="preserve">ew </w:t>
      </w:r>
      <w:r w:rsidR="00724611">
        <w:t>f</w:t>
      </w:r>
      <w:r w:rsidR="00D85F88">
        <w:t xml:space="preserve">ee </w:t>
      </w:r>
      <w:r w:rsidR="00724611">
        <w:t>s</w:t>
      </w:r>
      <w:r w:rsidR="00D85F88">
        <w:t>tructure</w:t>
      </w:r>
      <w:bookmarkEnd w:id="84"/>
    </w:p>
    <w:p w14:paraId="1C3BF207" w14:textId="64424433" w:rsidR="00702530" w:rsidRDefault="00702530" w:rsidP="00703834">
      <w:pPr>
        <w:pStyle w:val="DJCSbodyafterbullets"/>
        <w:ind w:left="720"/>
      </w:pPr>
      <w:r>
        <w:t>This option adopts the new fee structure</w:t>
      </w:r>
      <w:r w:rsidR="003F7036">
        <w:t>,</w:t>
      </w:r>
      <w:r>
        <w:t xml:space="preserve"> as outlined in </w:t>
      </w:r>
      <w:r w:rsidR="00D451C8">
        <w:t>the introduction to</w:t>
      </w:r>
      <w:r>
        <w:t xml:space="preserve"> </w:t>
      </w:r>
      <w:hyperlink w:anchor="_Identifying_Options" w:history="1">
        <w:r w:rsidR="00112A11" w:rsidRPr="00112A11">
          <w:rPr>
            <w:rStyle w:val="Hyperlink"/>
          </w:rPr>
          <w:t>S</w:t>
        </w:r>
        <w:r w:rsidRPr="00112A11">
          <w:rPr>
            <w:rStyle w:val="Hyperlink"/>
          </w:rPr>
          <w:t xml:space="preserve">ection </w:t>
        </w:r>
        <w:r w:rsidR="00112A11" w:rsidRPr="00112A11">
          <w:rPr>
            <w:rStyle w:val="Hyperlink"/>
          </w:rPr>
          <w:t>5</w:t>
        </w:r>
      </w:hyperlink>
      <w:r>
        <w:t xml:space="preserve"> </w:t>
      </w:r>
      <w:r w:rsidR="003F7036">
        <w:t>above,</w:t>
      </w:r>
      <w:r>
        <w:t xml:space="preserve"> but maintains the current level of cost recovery at </w:t>
      </w:r>
      <w:r w:rsidR="00755005">
        <w:t>6</w:t>
      </w:r>
      <w:r w:rsidR="003F7036">
        <w:t>%</w:t>
      </w:r>
      <w:r>
        <w:t>. This level of cost recovery is the same as Option 1.</w:t>
      </w:r>
    </w:p>
    <w:p w14:paraId="42C0A706" w14:textId="38A0DB42" w:rsidR="00702530" w:rsidRDefault="00702530" w:rsidP="008303F1">
      <w:pPr>
        <w:pStyle w:val="Heading3"/>
      </w:pPr>
      <w:bookmarkStart w:id="85" w:name="_Fee_Schedule_under"/>
      <w:bookmarkStart w:id="86" w:name="_Toc216179704"/>
      <w:bookmarkEnd w:id="85"/>
      <w:r>
        <w:t xml:space="preserve">Fee </w:t>
      </w:r>
      <w:r w:rsidR="004268EF">
        <w:t>s</w:t>
      </w:r>
      <w:r>
        <w:t>chedule under Option 2</w:t>
      </w:r>
      <w:bookmarkEnd w:id="86"/>
    </w:p>
    <w:p w14:paraId="73D458A9" w14:textId="35B499A7" w:rsidR="00702530" w:rsidRDefault="00702530" w:rsidP="0046705C">
      <w:pPr>
        <w:pStyle w:val="DJCSbody"/>
        <w:ind w:left="720"/>
      </w:pPr>
      <w:r>
        <w:t xml:space="preserve">The impacts of employing a new fee structure but maintaining the current level of cost recovery </w:t>
      </w:r>
      <w:r w:rsidR="00112A11">
        <w:t>on fee levels</w:t>
      </w:r>
      <w:r>
        <w:t xml:space="preserve"> is detailed in the </w:t>
      </w:r>
      <w:hyperlink w:anchor="_Appendix_B" w:history="1">
        <w:r w:rsidRPr="00EC671C">
          <w:rPr>
            <w:rStyle w:val="Hyperlink"/>
          </w:rPr>
          <w:t xml:space="preserve">Appendix </w:t>
        </w:r>
        <w:r w:rsidR="00EC671C" w:rsidRPr="007C4AD1">
          <w:rPr>
            <w:rStyle w:val="Hyperlink"/>
          </w:rPr>
          <w:t>B</w:t>
        </w:r>
      </w:hyperlink>
      <w:r>
        <w:t>.</w:t>
      </w:r>
    </w:p>
    <w:p w14:paraId="03073DB6" w14:textId="723A1BD1" w:rsidR="00A22084" w:rsidRDefault="00C96579" w:rsidP="0046705C">
      <w:pPr>
        <w:pStyle w:val="DJCSbody"/>
        <w:ind w:left="720"/>
      </w:pPr>
      <w:r>
        <w:t>A summary of the key fee structure changes</w:t>
      </w:r>
      <w:r w:rsidR="00F24DE5">
        <w:t xml:space="preserve"> in Options 2 and 3 </w:t>
      </w:r>
      <w:r w:rsidR="002E2C9D">
        <w:t>are</w:t>
      </w:r>
      <w:r>
        <w:t xml:space="preserve"> outlined in Table </w:t>
      </w:r>
      <w:r w:rsidR="00116708">
        <w:t>1</w:t>
      </w:r>
      <w:r w:rsidR="00CF7205">
        <w:t>0</w:t>
      </w:r>
      <w:r>
        <w:t xml:space="preserve"> </w:t>
      </w:r>
      <w:r w:rsidR="00E5514C">
        <w:t>on the following page, with f</w:t>
      </w:r>
      <w:r w:rsidR="006A13FF">
        <w:t xml:space="preserve">urther detail </w:t>
      </w:r>
      <w:r w:rsidR="006F730E">
        <w:t xml:space="preserve">of the changes outlined in </w:t>
      </w:r>
      <w:r w:rsidR="00CF7205">
        <w:t>the</w:t>
      </w:r>
      <w:r w:rsidR="006F730E">
        <w:t xml:space="preserve"> Section</w:t>
      </w:r>
      <w:r w:rsidR="00710205">
        <w:t>s</w:t>
      </w:r>
      <w:r w:rsidR="006F730E">
        <w:t xml:space="preserve"> 5.</w:t>
      </w:r>
      <w:r w:rsidR="008F3895">
        <w:t>4</w:t>
      </w:r>
      <w:r w:rsidR="006F730E">
        <w:t>.</w:t>
      </w:r>
      <w:r w:rsidR="008F3895">
        <w:t>2</w:t>
      </w:r>
      <w:r w:rsidR="006F730E">
        <w:t xml:space="preserve"> to 5.</w:t>
      </w:r>
      <w:r w:rsidR="008F3895">
        <w:t>4</w:t>
      </w:r>
      <w:r w:rsidR="006F730E">
        <w:t>.5</w:t>
      </w:r>
      <w:r w:rsidR="00AE0278">
        <w:t>.</w:t>
      </w:r>
    </w:p>
    <w:p w14:paraId="02B7DAA8" w14:textId="27EB21F9" w:rsidR="00AA73D0" w:rsidRDefault="00AA73D0" w:rsidP="00703834">
      <w:pPr>
        <w:pStyle w:val="DJCStablecaption"/>
      </w:pPr>
      <w:r w:rsidRPr="00E97521">
        <w:lastRenderedPageBreak/>
        <w:t xml:space="preserve">Table </w:t>
      </w:r>
      <w:r w:rsidR="002C4FCE">
        <w:t>1</w:t>
      </w:r>
      <w:r w:rsidR="00CF7205">
        <w:t>0</w:t>
      </w:r>
      <w:r w:rsidR="00400F3C" w:rsidRPr="00E97521">
        <w:t xml:space="preserve"> </w:t>
      </w:r>
      <w:r w:rsidR="004E14F6">
        <w:t>–</w:t>
      </w:r>
      <w:r w:rsidRPr="00CD6B01">
        <w:t xml:space="preserve"> </w:t>
      </w:r>
      <w:r w:rsidR="004E14F6">
        <w:t xml:space="preserve">Summary </w:t>
      </w:r>
      <w:r w:rsidR="000A64E2">
        <w:t>of</w:t>
      </w:r>
      <w:r w:rsidRPr="00CD6B01">
        <w:t xml:space="preserve"> </w:t>
      </w:r>
      <w:r>
        <w:t>New Fee Structure for Options 2 and 3</w:t>
      </w:r>
    </w:p>
    <w:tbl>
      <w:tblPr>
        <w:tblStyle w:val="DJRReporttablestyleNavy"/>
        <w:tblW w:w="4660"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958"/>
        <w:gridCol w:w="2804"/>
        <w:gridCol w:w="2862"/>
      </w:tblGrid>
      <w:tr w:rsidR="00B74048" w14:paraId="4300E779" w14:textId="77777777" w:rsidTr="00DE66C2">
        <w:trPr>
          <w:cnfStyle w:val="100000000000" w:firstRow="1" w:lastRow="0" w:firstColumn="0" w:lastColumn="0" w:oddVBand="0" w:evenVBand="0" w:oddHBand="0" w:evenHBand="0" w:firstRowFirstColumn="0" w:firstRowLastColumn="0" w:lastRowFirstColumn="0" w:lastRowLastColumn="0"/>
          <w:tblHeader/>
        </w:trPr>
        <w:tc>
          <w:tcPr>
            <w:tcW w:w="525" w:type="pct"/>
          </w:tcPr>
          <w:p w14:paraId="6BBF0947" w14:textId="15D3E364" w:rsidR="006707C5" w:rsidRDefault="005F49C5" w:rsidP="00702530">
            <w:pPr>
              <w:pStyle w:val="DJCSbody"/>
              <w:ind w:left="0"/>
            </w:pPr>
            <w:r>
              <w:t>Section</w:t>
            </w:r>
          </w:p>
        </w:tc>
        <w:tc>
          <w:tcPr>
            <w:tcW w:w="1535" w:type="pct"/>
          </w:tcPr>
          <w:p w14:paraId="638BDF04" w14:textId="393247DD" w:rsidR="006707C5" w:rsidRDefault="009B0B41" w:rsidP="00BA047C">
            <w:pPr>
              <w:pStyle w:val="DJCSbody"/>
              <w:tabs>
                <w:tab w:val="center" w:pos="1339"/>
              </w:tabs>
              <w:ind w:left="0"/>
              <w:jc w:val="center"/>
            </w:pPr>
            <w:r>
              <w:t>Topic</w:t>
            </w:r>
          </w:p>
        </w:tc>
        <w:tc>
          <w:tcPr>
            <w:tcW w:w="1455" w:type="pct"/>
          </w:tcPr>
          <w:p w14:paraId="07F78641" w14:textId="421C02AC" w:rsidR="006707C5" w:rsidRDefault="00476737" w:rsidP="00703834">
            <w:pPr>
              <w:pStyle w:val="DJCSbody"/>
              <w:ind w:left="0"/>
              <w:jc w:val="center"/>
            </w:pPr>
            <w:r>
              <w:t>Option 1</w:t>
            </w:r>
            <w:r w:rsidR="00AA73D0">
              <w:t xml:space="preserve"> (Current </w:t>
            </w:r>
            <w:r w:rsidR="00487DAD">
              <w:t>Regulation</w:t>
            </w:r>
            <w:r w:rsidR="00487DAD">
              <w:rPr>
                <w:b w:val="0"/>
              </w:rPr>
              <w:t>s</w:t>
            </w:r>
            <w:r w:rsidR="00AA73D0">
              <w:t>)</w:t>
            </w:r>
          </w:p>
        </w:tc>
        <w:tc>
          <w:tcPr>
            <w:tcW w:w="1485" w:type="pct"/>
          </w:tcPr>
          <w:p w14:paraId="3DE6315F" w14:textId="26BCD878" w:rsidR="006707C5" w:rsidRDefault="00476737" w:rsidP="00703834">
            <w:pPr>
              <w:pStyle w:val="DJCSbody"/>
              <w:ind w:left="0"/>
              <w:jc w:val="center"/>
            </w:pPr>
            <w:r>
              <w:t>Option 2 and 3</w:t>
            </w:r>
            <w:r w:rsidR="002E2C9D">
              <w:t xml:space="preserve"> (New Fee Structure)</w:t>
            </w:r>
          </w:p>
        </w:tc>
      </w:tr>
      <w:tr w:rsidR="00B74048" w14:paraId="24556679" w14:textId="77777777" w:rsidTr="00F73BFD">
        <w:tc>
          <w:tcPr>
            <w:tcW w:w="525" w:type="pct"/>
            <w:shd w:val="clear" w:color="auto" w:fill="F2F2F2" w:themeFill="background1" w:themeFillShade="F2"/>
          </w:tcPr>
          <w:p w14:paraId="64531C9B" w14:textId="10721582" w:rsidR="006707C5" w:rsidRPr="00703834" w:rsidRDefault="005F49C5" w:rsidP="00702530">
            <w:pPr>
              <w:pStyle w:val="DJCSbody"/>
              <w:ind w:left="0"/>
              <w:rPr>
                <w:b/>
                <w:bCs/>
              </w:rPr>
            </w:pPr>
            <w:r>
              <w:rPr>
                <w:b/>
                <w:bCs/>
              </w:rPr>
              <w:t>5.</w:t>
            </w:r>
            <w:r w:rsidR="008F3895">
              <w:rPr>
                <w:b/>
                <w:bCs/>
              </w:rPr>
              <w:t>4</w:t>
            </w:r>
            <w:r>
              <w:rPr>
                <w:b/>
                <w:bCs/>
              </w:rPr>
              <w:t>.2</w:t>
            </w:r>
          </w:p>
        </w:tc>
        <w:tc>
          <w:tcPr>
            <w:tcW w:w="1535" w:type="pct"/>
            <w:shd w:val="clear" w:color="auto" w:fill="auto"/>
          </w:tcPr>
          <w:p w14:paraId="14BCDE42" w14:textId="77F1FF46" w:rsidR="006707C5" w:rsidRPr="00703834" w:rsidRDefault="00476737" w:rsidP="00702530">
            <w:pPr>
              <w:pStyle w:val="DJCSbody"/>
              <w:ind w:left="0"/>
              <w:rPr>
                <w:b/>
                <w:bCs/>
              </w:rPr>
            </w:pPr>
            <w:r w:rsidRPr="00703834">
              <w:rPr>
                <w:b/>
                <w:bCs/>
              </w:rPr>
              <w:t>Fee Payer Categories</w:t>
            </w:r>
          </w:p>
        </w:tc>
        <w:tc>
          <w:tcPr>
            <w:tcW w:w="1455" w:type="pct"/>
            <w:shd w:val="clear" w:color="auto" w:fill="auto"/>
          </w:tcPr>
          <w:p w14:paraId="2F0ABCCD" w14:textId="77777777" w:rsidR="00487DAD" w:rsidRDefault="00487DAD" w:rsidP="00702530">
            <w:pPr>
              <w:pStyle w:val="DJCSbody"/>
              <w:ind w:left="0"/>
            </w:pPr>
            <w:r>
              <w:t>Concession fee category includes health care card holders only.</w:t>
            </w:r>
          </w:p>
          <w:p w14:paraId="2CA74087" w14:textId="487DA1B0" w:rsidR="00487DAD" w:rsidRDefault="00487DAD" w:rsidP="00702530">
            <w:pPr>
              <w:pStyle w:val="DJCSbody"/>
              <w:ind w:left="0"/>
            </w:pPr>
            <w:r>
              <w:t xml:space="preserve">Standard fee payers include entities with a turnover of less than </w:t>
            </w:r>
            <w:r w:rsidRPr="00703834">
              <w:rPr>
                <w:b/>
                <w:bCs/>
              </w:rPr>
              <w:t>$200,000</w:t>
            </w:r>
            <w:r w:rsidR="00B32E7D">
              <w:rPr>
                <w:b/>
                <w:bCs/>
              </w:rPr>
              <w:t xml:space="preserve"> excl GST</w:t>
            </w:r>
            <w:r>
              <w:t>.</w:t>
            </w:r>
          </w:p>
        </w:tc>
        <w:tc>
          <w:tcPr>
            <w:tcW w:w="1485" w:type="pct"/>
            <w:shd w:val="clear" w:color="auto" w:fill="auto"/>
          </w:tcPr>
          <w:p w14:paraId="421969E8" w14:textId="16B0B97A" w:rsidR="006707C5" w:rsidRDefault="00AA73D0" w:rsidP="00702530">
            <w:pPr>
              <w:pStyle w:val="DJCSbody"/>
              <w:ind w:left="0"/>
            </w:pPr>
            <w:r>
              <w:t>Expand</w:t>
            </w:r>
            <w:r w:rsidR="00487DAD">
              <w:t xml:space="preserve"> concession to include pensioners and </w:t>
            </w:r>
            <w:r w:rsidR="00A24711">
              <w:t>veteran</w:t>
            </w:r>
            <w:r w:rsidR="00487DAD">
              <w:t xml:space="preserve"> gold card holders</w:t>
            </w:r>
            <w:r w:rsidR="00F24DE5">
              <w:t>.</w:t>
            </w:r>
          </w:p>
          <w:p w14:paraId="27633783" w14:textId="3E69AF2C" w:rsidR="00487DAD" w:rsidRDefault="00F24DE5" w:rsidP="00702530">
            <w:pPr>
              <w:pStyle w:val="DJCSbody"/>
              <w:ind w:left="0"/>
            </w:pPr>
            <w:r>
              <w:t>Changing</w:t>
            </w:r>
            <w:r w:rsidR="00487DAD">
              <w:t xml:space="preserve"> the definition of standard</w:t>
            </w:r>
            <w:r>
              <w:t xml:space="preserve"> fee payers</w:t>
            </w:r>
            <w:r w:rsidR="00487DAD">
              <w:t xml:space="preserve"> to include entities with a turnover of less than </w:t>
            </w:r>
            <w:r w:rsidR="00487DAD" w:rsidRPr="00703834">
              <w:rPr>
                <w:b/>
                <w:bCs/>
              </w:rPr>
              <w:t>$300,000</w:t>
            </w:r>
            <w:r w:rsidR="00B32E7D">
              <w:rPr>
                <w:b/>
                <w:bCs/>
              </w:rPr>
              <w:t xml:space="preserve"> excl GST</w:t>
            </w:r>
            <w:r w:rsidR="00487DAD">
              <w:t>.</w:t>
            </w:r>
          </w:p>
        </w:tc>
      </w:tr>
      <w:tr w:rsidR="00B74048" w14:paraId="7DAD0EE7" w14:textId="77777777" w:rsidTr="00F73BFD">
        <w:tc>
          <w:tcPr>
            <w:tcW w:w="525" w:type="pct"/>
            <w:shd w:val="clear" w:color="auto" w:fill="F2F2F2" w:themeFill="background1" w:themeFillShade="F2"/>
          </w:tcPr>
          <w:p w14:paraId="2C4A5902" w14:textId="12842452" w:rsidR="006707C5" w:rsidRPr="00703834" w:rsidRDefault="005F49C5" w:rsidP="00702530">
            <w:pPr>
              <w:pStyle w:val="DJCSbody"/>
              <w:ind w:left="0"/>
              <w:rPr>
                <w:b/>
                <w:bCs/>
              </w:rPr>
            </w:pPr>
            <w:r>
              <w:rPr>
                <w:b/>
                <w:bCs/>
              </w:rPr>
              <w:t>5.</w:t>
            </w:r>
            <w:r w:rsidR="00AE0278">
              <w:rPr>
                <w:b/>
                <w:bCs/>
              </w:rPr>
              <w:t>4</w:t>
            </w:r>
            <w:r>
              <w:rPr>
                <w:b/>
                <w:bCs/>
              </w:rPr>
              <w:t>.3</w:t>
            </w:r>
          </w:p>
        </w:tc>
        <w:tc>
          <w:tcPr>
            <w:tcW w:w="1535" w:type="pct"/>
            <w:shd w:val="clear" w:color="auto" w:fill="auto"/>
          </w:tcPr>
          <w:p w14:paraId="7B48E72D" w14:textId="22200823" w:rsidR="006707C5" w:rsidRPr="00703834" w:rsidRDefault="004E3BC8" w:rsidP="00702530">
            <w:pPr>
              <w:pStyle w:val="DJCSbody"/>
              <w:ind w:left="0"/>
              <w:rPr>
                <w:b/>
                <w:bCs/>
              </w:rPr>
            </w:pPr>
            <w:r w:rsidRPr="00703834">
              <w:rPr>
                <w:b/>
                <w:bCs/>
              </w:rPr>
              <w:t>Fee Category Relativities</w:t>
            </w:r>
          </w:p>
        </w:tc>
        <w:tc>
          <w:tcPr>
            <w:tcW w:w="1455" w:type="pct"/>
            <w:shd w:val="clear" w:color="auto" w:fill="auto"/>
          </w:tcPr>
          <w:p w14:paraId="7328F122" w14:textId="15C3E1DC" w:rsidR="00A718B5" w:rsidRDefault="00A718B5" w:rsidP="00702530">
            <w:pPr>
              <w:pStyle w:val="DJCSbody"/>
              <w:ind w:left="0"/>
            </w:pPr>
            <w:r>
              <w:t xml:space="preserve">(As a proportion of </w:t>
            </w:r>
            <w:r w:rsidRPr="00703834">
              <w:rPr>
                <w:b/>
                <w:bCs/>
              </w:rPr>
              <w:t>corporate</w:t>
            </w:r>
            <w:r>
              <w:t xml:space="preserve"> fee payer rates)</w:t>
            </w:r>
          </w:p>
          <w:p w14:paraId="656B7E06" w14:textId="71B2CB2A" w:rsidR="006707C5" w:rsidRDefault="00A718B5" w:rsidP="00702530">
            <w:pPr>
              <w:pStyle w:val="DJCSbody"/>
              <w:ind w:left="0"/>
            </w:pPr>
            <w:r>
              <w:t>Concession 35%</w:t>
            </w:r>
          </w:p>
          <w:p w14:paraId="2603F077" w14:textId="77777777" w:rsidR="00A718B5" w:rsidRDefault="00A718B5" w:rsidP="00702530">
            <w:pPr>
              <w:pStyle w:val="DJCSbody"/>
              <w:ind w:left="0"/>
            </w:pPr>
            <w:r>
              <w:t>Standard 70%</w:t>
            </w:r>
          </w:p>
          <w:p w14:paraId="2DC61C22" w14:textId="77777777" w:rsidR="00A718B5" w:rsidRDefault="00A718B5" w:rsidP="00702530">
            <w:pPr>
              <w:pStyle w:val="DJCSbody"/>
              <w:ind w:left="0"/>
            </w:pPr>
            <w:r>
              <w:t>Corporate 100%</w:t>
            </w:r>
          </w:p>
          <w:p w14:paraId="36D9A488" w14:textId="06129D04" w:rsidR="00A718B5" w:rsidRDefault="00452EF0" w:rsidP="00702530">
            <w:pPr>
              <w:pStyle w:val="DJCSbody"/>
              <w:ind w:left="0"/>
            </w:pPr>
            <w:r>
              <w:t>(the corporate rate represents full cost recovery)</w:t>
            </w:r>
          </w:p>
        </w:tc>
        <w:tc>
          <w:tcPr>
            <w:tcW w:w="1485" w:type="pct"/>
            <w:shd w:val="clear" w:color="auto" w:fill="auto"/>
          </w:tcPr>
          <w:p w14:paraId="173B4742" w14:textId="551290A2" w:rsidR="006707C5" w:rsidRDefault="00A718B5" w:rsidP="00702530">
            <w:pPr>
              <w:pStyle w:val="DJCSbody"/>
              <w:ind w:left="0"/>
            </w:pPr>
            <w:r>
              <w:t xml:space="preserve">(As a proportion of </w:t>
            </w:r>
            <w:r w:rsidR="00887F03">
              <w:rPr>
                <w:b/>
                <w:bCs/>
              </w:rPr>
              <w:t>corporate</w:t>
            </w:r>
            <w:r w:rsidR="00AB1FB4">
              <w:t xml:space="preserve"> fee payer rates)</w:t>
            </w:r>
          </w:p>
          <w:p w14:paraId="3687E639" w14:textId="2C1489A9" w:rsidR="00AB1FB4" w:rsidRDefault="00AB1FB4" w:rsidP="00702530">
            <w:pPr>
              <w:pStyle w:val="DJCSbody"/>
              <w:ind w:left="0"/>
            </w:pPr>
            <w:r>
              <w:t xml:space="preserve">Concession </w:t>
            </w:r>
            <w:r w:rsidR="00887F03">
              <w:t>11</w:t>
            </w:r>
            <w:r>
              <w:t>%</w:t>
            </w:r>
          </w:p>
          <w:p w14:paraId="4449817B" w14:textId="7385D6CD" w:rsidR="00AB1FB4" w:rsidRDefault="00AB1FB4" w:rsidP="00702530">
            <w:pPr>
              <w:pStyle w:val="DJCSbody"/>
              <w:ind w:left="0"/>
            </w:pPr>
            <w:r>
              <w:t xml:space="preserve">Standard </w:t>
            </w:r>
            <w:r w:rsidR="00887F03">
              <w:t>33</w:t>
            </w:r>
            <w:r>
              <w:t>%</w:t>
            </w:r>
          </w:p>
          <w:p w14:paraId="518DFBED" w14:textId="77777777" w:rsidR="00AB1FB4" w:rsidRDefault="00AB1FB4" w:rsidP="00702530">
            <w:pPr>
              <w:pStyle w:val="DJCSbody"/>
              <w:ind w:left="0"/>
            </w:pPr>
            <w:r>
              <w:t xml:space="preserve">Corporate </w:t>
            </w:r>
            <w:r w:rsidR="00887F03">
              <w:t>1</w:t>
            </w:r>
            <w:r>
              <w:t>00%</w:t>
            </w:r>
          </w:p>
          <w:p w14:paraId="5689C08F" w14:textId="14C83D50" w:rsidR="00AB1FB4" w:rsidRDefault="00452EF0" w:rsidP="00702530">
            <w:pPr>
              <w:pStyle w:val="DJCSbody"/>
              <w:ind w:left="0"/>
            </w:pPr>
            <w:r>
              <w:t>(the corporate rate represents full cost recovery</w:t>
            </w:r>
            <w:r w:rsidR="00146AE7">
              <w:t xml:space="preserve"> in Option 3 and 60</w:t>
            </w:r>
            <w:r w:rsidR="00F13F21">
              <w:t>%</w:t>
            </w:r>
            <w:r w:rsidR="00146AE7">
              <w:t xml:space="preserve"> in Option 2</w:t>
            </w:r>
            <w:r>
              <w:t>)</w:t>
            </w:r>
          </w:p>
        </w:tc>
      </w:tr>
      <w:tr w:rsidR="004666F0" w14:paraId="0AF32682" w14:textId="77777777" w:rsidTr="00DE66C2">
        <w:tc>
          <w:tcPr>
            <w:tcW w:w="525" w:type="pct"/>
            <w:shd w:val="clear" w:color="auto" w:fill="F2F2F2" w:themeFill="background1" w:themeFillShade="F2"/>
          </w:tcPr>
          <w:p w14:paraId="3967E7AC" w14:textId="1C8EB511" w:rsidR="004666F0" w:rsidRPr="00094EC6" w:rsidDel="00094EC6" w:rsidRDefault="004666F0" w:rsidP="00702530">
            <w:pPr>
              <w:pStyle w:val="DJCSbody"/>
              <w:ind w:left="0"/>
              <w:rPr>
                <w:b/>
                <w:bCs/>
              </w:rPr>
            </w:pPr>
            <w:r>
              <w:rPr>
                <w:b/>
                <w:bCs/>
              </w:rPr>
              <w:t>5.</w:t>
            </w:r>
            <w:r w:rsidR="00AE0278">
              <w:rPr>
                <w:b/>
                <w:bCs/>
              </w:rPr>
              <w:t>4</w:t>
            </w:r>
            <w:r>
              <w:rPr>
                <w:b/>
                <w:bCs/>
              </w:rPr>
              <w:t>.4</w:t>
            </w:r>
          </w:p>
        </w:tc>
        <w:tc>
          <w:tcPr>
            <w:tcW w:w="4475" w:type="pct"/>
            <w:gridSpan w:val="3"/>
            <w:shd w:val="clear" w:color="auto" w:fill="F2F2F2" w:themeFill="background1" w:themeFillShade="F2"/>
          </w:tcPr>
          <w:p w14:paraId="1576D5C2" w14:textId="1B53FAD4" w:rsidR="004666F0" w:rsidRDefault="004666F0" w:rsidP="00702530">
            <w:pPr>
              <w:pStyle w:val="DJCSbody"/>
              <w:ind w:left="0"/>
            </w:pPr>
            <w:r w:rsidRPr="00703834">
              <w:rPr>
                <w:b/>
                <w:bCs/>
              </w:rPr>
              <w:t>New Fees</w:t>
            </w:r>
          </w:p>
        </w:tc>
      </w:tr>
      <w:tr w:rsidR="00FB6A59" w14:paraId="31D8E33D" w14:textId="77777777" w:rsidTr="00F73BFD">
        <w:tc>
          <w:tcPr>
            <w:tcW w:w="525" w:type="pct"/>
            <w:vMerge w:val="restart"/>
            <w:shd w:val="clear" w:color="auto" w:fill="F2F2F2" w:themeFill="background1" w:themeFillShade="F2"/>
          </w:tcPr>
          <w:p w14:paraId="4F898596" w14:textId="2F7994F5" w:rsidR="00FB6A59" w:rsidRDefault="00FB6A59" w:rsidP="00702530">
            <w:pPr>
              <w:pStyle w:val="DJCSbody"/>
              <w:ind w:left="0"/>
            </w:pPr>
          </w:p>
        </w:tc>
        <w:tc>
          <w:tcPr>
            <w:tcW w:w="1535" w:type="pct"/>
            <w:shd w:val="clear" w:color="auto" w:fill="auto"/>
          </w:tcPr>
          <w:p w14:paraId="69D6B2F7" w14:textId="0A6AFB92" w:rsidR="00FB6A59" w:rsidRPr="0037614E" w:rsidRDefault="00FB6A59" w:rsidP="00702530">
            <w:pPr>
              <w:pStyle w:val="DJCSbody"/>
              <w:ind w:left="0"/>
              <w:rPr>
                <w:b/>
              </w:rPr>
            </w:pPr>
            <w:r w:rsidRPr="0037614E">
              <w:rPr>
                <w:b/>
              </w:rPr>
              <w:t>Compulsory Conferencing</w:t>
            </w:r>
          </w:p>
        </w:tc>
        <w:tc>
          <w:tcPr>
            <w:tcW w:w="1455" w:type="pct"/>
            <w:shd w:val="clear" w:color="auto" w:fill="auto"/>
          </w:tcPr>
          <w:p w14:paraId="6C9CA803" w14:textId="471C8456" w:rsidR="00FB6A59" w:rsidRDefault="00FB6A59" w:rsidP="00702530">
            <w:pPr>
              <w:pStyle w:val="DJCSbody"/>
              <w:ind w:left="0"/>
            </w:pPr>
            <w:r>
              <w:t>Fee for compulsory conferencing bundled in commencement fee. No separate fee.</w:t>
            </w:r>
          </w:p>
        </w:tc>
        <w:tc>
          <w:tcPr>
            <w:tcW w:w="1485" w:type="pct"/>
            <w:shd w:val="clear" w:color="auto" w:fill="auto"/>
          </w:tcPr>
          <w:p w14:paraId="50E665B6" w14:textId="2C590339" w:rsidR="00FB6A59" w:rsidRDefault="00FB6A59" w:rsidP="00702530">
            <w:pPr>
              <w:pStyle w:val="DJCSbody"/>
              <w:ind w:left="0"/>
            </w:pPr>
            <w:r>
              <w:t>Separate fee per day of compulsory conferencing.</w:t>
            </w:r>
          </w:p>
        </w:tc>
      </w:tr>
      <w:tr w:rsidR="00FB6A59" w14:paraId="306A7F41" w14:textId="77777777" w:rsidTr="00F73BFD">
        <w:tc>
          <w:tcPr>
            <w:tcW w:w="525" w:type="pct"/>
            <w:vMerge/>
            <w:shd w:val="clear" w:color="auto" w:fill="F2F2F2" w:themeFill="background1" w:themeFillShade="F2"/>
          </w:tcPr>
          <w:p w14:paraId="5C5443FF" w14:textId="77777777" w:rsidR="00FB6A59" w:rsidRDefault="00FB6A59" w:rsidP="00D50DBB">
            <w:pPr>
              <w:pStyle w:val="DJCSbody"/>
              <w:ind w:left="0"/>
              <w:rPr>
                <w:b/>
                <w:bCs/>
              </w:rPr>
            </w:pPr>
          </w:p>
        </w:tc>
        <w:tc>
          <w:tcPr>
            <w:tcW w:w="1535" w:type="pct"/>
            <w:shd w:val="clear" w:color="auto" w:fill="auto"/>
          </w:tcPr>
          <w:p w14:paraId="27C18466" w14:textId="0C2D50F0" w:rsidR="00FB6A59" w:rsidRDefault="00FB6A59" w:rsidP="00D50DBB">
            <w:pPr>
              <w:pStyle w:val="DJCSbody"/>
              <w:ind w:left="0"/>
              <w:rPr>
                <w:b/>
                <w:bCs/>
              </w:rPr>
            </w:pPr>
            <w:r>
              <w:rPr>
                <w:b/>
                <w:bCs/>
              </w:rPr>
              <w:t>Mediation</w:t>
            </w:r>
          </w:p>
        </w:tc>
        <w:tc>
          <w:tcPr>
            <w:tcW w:w="1455" w:type="pct"/>
            <w:shd w:val="clear" w:color="auto" w:fill="auto"/>
          </w:tcPr>
          <w:p w14:paraId="46011313" w14:textId="75FD407D" w:rsidR="00FB6A59" w:rsidRDefault="00FB6A59" w:rsidP="00D50DBB">
            <w:pPr>
              <w:pStyle w:val="DJCSbody"/>
              <w:ind w:left="0"/>
            </w:pPr>
            <w:r>
              <w:t>Fee for mediation bundled in commencement fee. No separate fee.</w:t>
            </w:r>
          </w:p>
        </w:tc>
        <w:tc>
          <w:tcPr>
            <w:tcW w:w="1485" w:type="pct"/>
            <w:shd w:val="clear" w:color="auto" w:fill="auto"/>
          </w:tcPr>
          <w:p w14:paraId="32458776" w14:textId="2DCAF362" w:rsidR="00FB6A59" w:rsidRDefault="00FB6A59" w:rsidP="00D50DBB">
            <w:pPr>
              <w:pStyle w:val="DJCSbody"/>
              <w:ind w:left="0"/>
            </w:pPr>
            <w:r>
              <w:t>Separate fee per day of mediation.</w:t>
            </w:r>
          </w:p>
        </w:tc>
      </w:tr>
      <w:tr w:rsidR="0063318E" w14:paraId="2551F1D4" w14:textId="77777777" w:rsidTr="00F73BFD">
        <w:tc>
          <w:tcPr>
            <w:tcW w:w="525" w:type="pct"/>
            <w:vMerge/>
            <w:shd w:val="clear" w:color="auto" w:fill="F2F2F2" w:themeFill="background1" w:themeFillShade="F2"/>
          </w:tcPr>
          <w:p w14:paraId="134CFCF5" w14:textId="77777777" w:rsidR="0063318E" w:rsidRDefault="0063318E" w:rsidP="0063318E">
            <w:pPr>
              <w:pStyle w:val="DJCSbody"/>
              <w:ind w:left="0"/>
              <w:rPr>
                <w:b/>
                <w:bCs/>
              </w:rPr>
            </w:pPr>
          </w:p>
        </w:tc>
        <w:tc>
          <w:tcPr>
            <w:tcW w:w="1535" w:type="pct"/>
            <w:shd w:val="clear" w:color="auto" w:fill="auto"/>
          </w:tcPr>
          <w:p w14:paraId="0B91076B" w14:textId="605510E1" w:rsidR="0063318E" w:rsidRDefault="0063318E" w:rsidP="0063318E">
            <w:pPr>
              <w:pStyle w:val="DJCSbody"/>
              <w:ind w:left="0"/>
              <w:rPr>
                <w:b/>
                <w:bCs/>
              </w:rPr>
            </w:pPr>
            <w:r>
              <w:rPr>
                <w:b/>
                <w:bCs/>
              </w:rPr>
              <w:t>Directions and Practice Day Hearings</w:t>
            </w:r>
          </w:p>
        </w:tc>
        <w:tc>
          <w:tcPr>
            <w:tcW w:w="1455" w:type="pct"/>
            <w:shd w:val="clear" w:color="auto" w:fill="auto"/>
          </w:tcPr>
          <w:p w14:paraId="55D64120" w14:textId="3A757309" w:rsidR="0063318E" w:rsidRPr="002E39B6" w:rsidRDefault="0063318E" w:rsidP="0063318E">
            <w:pPr>
              <w:pStyle w:val="DJCSbody"/>
              <w:ind w:left="0"/>
            </w:pPr>
            <w:r>
              <w:t>Fees cannot be charged for directions hearings and practice day hearings</w:t>
            </w:r>
          </w:p>
        </w:tc>
        <w:tc>
          <w:tcPr>
            <w:tcW w:w="1485" w:type="pct"/>
            <w:shd w:val="clear" w:color="auto" w:fill="auto"/>
          </w:tcPr>
          <w:p w14:paraId="178D5DBE" w14:textId="46CAFE4E" w:rsidR="0063318E" w:rsidRPr="002E39B6" w:rsidRDefault="0063318E" w:rsidP="0063318E">
            <w:pPr>
              <w:pStyle w:val="DJCSbody"/>
              <w:ind w:left="0"/>
            </w:pPr>
            <w:r>
              <w:t>Hearing fees expanded to charge for directions hearings and practice day hearings.</w:t>
            </w:r>
          </w:p>
        </w:tc>
      </w:tr>
      <w:tr w:rsidR="0063318E" w14:paraId="30257583" w14:textId="77777777" w:rsidTr="00F73BFD">
        <w:tc>
          <w:tcPr>
            <w:tcW w:w="525" w:type="pct"/>
            <w:vMerge/>
            <w:shd w:val="clear" w:color="auto" w:fill="F2F2F2" w:themeFill="background1" w:themeFillShade="F2"/>
          </w:tcPr>
          <w:p w14:paraId="71B3F581" w14:textId="77777777" w:rsidR="0063318E" w:rsidRDefault="0063318E" w:rsidP="0063318E">
            <w:pPr>
              <w:pStyle w:val="DJCSbody"/>
              <w:ind w:left="0"/>
              <w:rPr>
                <w:b/>
                <w:bCs/>
              </w:rPr>
            </w:pPr>
          </w:p>
        </w:tc>
        <w:tc>
          <w:tcPr>
            <w:tcW w:w="1535" w:type="pct"/>
            <w:shd w:val="clear" w:color="auto" w:fill="auto"/>
          </w:tcPr>
          <w:p w14:paraId="3EC7ACD5" w14:textId="77777777" w:rsidR="0063318E" w:rsidRPr="00703834" w:rsidRDefault="0063318E" w:rsidP="0063318E">
            <w:pPr>
              <w:pStyle w:val="DJCSbody"/>
              <w:ind w:left="0"/>
              <w:rPr>
                <w:b/>
                <w:bCs/>
              </w:rPr>
            </w:pPr>
            <w:r>
              <w:rPr>
                <w:b/>
                <w:bCs/>
              </w:rPr>
              <w:t>Injunctions and Stays</w:t>
            </w:r>
          </w:p>
        </w:tc>
        <w:tc>
          <w:tcPr>
            <w:tcW w:w="1455" w:type="pct"/>
            <w:shd w:val="clear" w:color="auto" w:fill="auto"/>
          </w:tcPr>
          <w:p w14:paraId="0D3E3EAC" w14:textId="7B456EC3" w:rsidR="0063318E" w:rsidRPr="002E39B6" w:rsidRDefault="0063318E" w:rsidP="0063318E">
            <w:pPr>
              <w:pStyle w:val="DJCSbody"/>
              <w:ind w:left="0"/>
            </w:pPr>
            <w:r w:rsidRPr="002E39B6">
              <w:t>Only urgent injunctions require a fee</w:t>
            </w:r>
          </w:p>
        </w:tc>
        <w:tc>
          <w:tcPr>
            <w:tcW w:w="1485" w:type="pct"/>
            <w:shd w:val="clear" w:color="auto" w:fill="auto"/>
          </w:tcPr>
          <w:p w14:paraId="1FDE59BD" w14:textId="1979FEAD" w:rsidR="0063318E" w:rsidRPr="002E39B6" w:rsidRDefault="0063318E" w:rsidP="0063318E">
            <w:pPr>
              <w:pStyle w:val="DJCSbody"/>
              <w:ind w:left="0"/>
            </w:pPr>
            <w:r w:rsidRPr="002E39B6">
              <w:t>Injunctions (urgent and non-urgent) and stays attract a fee</w:t>
            </w:r>
            <w:r w:rsidR="00C263A4">
              <w:t>.</w:t>
            </w:r>
          </w:p>
        </w:tc>
      </w:tr>
      <w:tr w:rsidR="004666F0" w14:paraId="763E3BAF" w14:textId="77777777" w:rsidTr="00DE66C2">
        <w:tc>
          <w:tcPr>
            <w:tcW w:w="525" w:type="pct"/>
            <w:vMerge w:val="restart"/>
            <w:shd w:val="clear" w:color="auto" w:fill="F2F2F2" w:themeFill="background1" w:themeFillShade="F2"/>
          </w:tcPr>
          <w:p w14:paraId="53E6EEEE" w14:textId="09D8A8C0" w:rsidR="004666F0" w:rsidRPr="007F135B" w:rsidDel="007F135B" w:rsidRDefault="004666F0" w:rsidP="00702530">
            <w:pPr>
              <w:pStyle w:val="DJCSbody"/>
              <w:ind w:left="0"/>
              <w:rPr>
                <w:b/>
                <w:bCs/>
              </w:rPr>
            </w:pPr>
            <w:r>
              <w:rPr>
                <w:b/>
                <w:bCs/>
              </w:rPr>
              <w:t>5.</w:t>
            </w:r>
            <w:r w:rsidR="00AE0278">
              <w:rPr>
                <w:b/>
                <w:bCs/>
              </w:rPr>
              <w:t>4</w:t>
            </w:r>
            <w:r>
              <w:rPr>
                <w:b/>
                <w:bCs/>
              </w:rPr>
              <w:t>.5</w:t>
            </w:r>
          </w:p>
        </w:tc>
        <w:tc>
          <w:tcPr>
            <w:tcW w:w="4475" w:type="pct"/>
            <w:gridSpan w:val="3"/>
            <w:shd w:val="clear" w:color="auto" w:fill="F2F2F2" w:themeFill="background1" w:themeFillShade="F2"/>
          </w:tcPr>
          <w:p w14:paraId="7AADBD25" w14:textId="30B17501" w:rsidR="004666F0" w:rsidRDefault="004666F0" w:rsidP="00702530">
            <w:pPr>
              <w:pStyle w:val="DJCSbody"/>
              <w:ind w:left="0"/>
            </w:pPr>
            <w:r w:rsidRPr="00703834">
              <w:rPr>
                <w:b/>
                <w:bCs/>
              </w:rPr>
              <w:t>Reorganising and Streamlining Fees</w:t>
            </w:r>
          </w:p>
        </w:tc>
      </w:tr>
      <w:tr w:rsidR="00FB6A59" w14:paraId="20410FA6" w14:textId="77777777" w:rsidTr="00F73BFD">
        <w:tc>
          <w:tcPr>
            <w:tcW w:w="525" w:type="pct"/>
            <w:vMerge/>
            <w:shd w:val="clear" w:color="auto" w:fill="F2F2F2" w:themeFill="background1" w:themeFillShade="F2"/>
          </w:tcPr>
          <w:p w14:paraId="2BDF0C9D" w14:textId="4D396282" w:rsidR="00FB6A59" w:rsidRDefault="00FB6A59" w:rsidP="00702530">
            <w:pPr>
              <w:pStyle w:val="DJCSbody"/>
              <w:ind w:left="0"/>
            </w:pPr>
          </w:p>
        </w:tc>
        <w:tc>
          <w:tcPr>
            <w:tcW w:w="1535" w:type="pct"/>
            <w:shd w:val="clear" w:color="auto" w:fill="auto"/>
          </w:tcPr>
          <w:p w14:paraId="26F3BEE6" w14:textId="534F3CA5" w:rsidR="00FB6A59" w:rsidRPr="00630C62" w:rsidRDefault="00FB6A59" w:rsidP="00702530">
            <w:pPr>
              <w:pStyle w:val="DJCSbody"/>
              <w:ind w:left="0"/>
              <w:rPr>
                <w:b/>
              </w:rPr>
            </w:pPr>
            <w:r w:rsidRPr="00630C62">
              <w:rPr>
                <w:b/>
              </w:rPr>
              <w:t xml:space="preserve">Expand waivers to include review of applications to the Financial Assistance </w:t>
            </w:r>
            <w:r w:rsidRPr="00630C62">
              <w:rPr>
                <w:b/>
              </w:rPr>
              <w:lastRenderedPageBreak/>
              <w:t>Scheme by victims of crime.</w:t>
            </w:r>
          </w:p>
        </w:tc>
        <w:tc>
          <w:tcPr>
            <w:tcW w:w="1455" w:type="pct"/>
            <w:shd w:val="clear" w:color="auto" w:fill="auto"/>
          </w:tcPr>
          <w:p w14:paraId="6FEF4B8D" w14:textId="21D6682D" w:rsidR="00FB6A59" w:rsidRDefault="00FB6A59" w:rsidP="00702530">
            <w:pPr>
              <w:pStyle w:val="DJCSbody"/>
              <w:ind w:left="0"/>
            </w:pPr>
            <w:r>
              <w:lastRenderedPageBreak/>
              <w:t>No waivers for Financial Assistance Scheme appeals.</w:t>
            </w:r>
          </w:p>
        </w:tc>
        <w:tc>
          <w:tcPr>
            <w:tcW w:w="1485" w:type="pct"/>
            <w:shd w:val="clear" w:color="auto" w:fill="auto"/>
          </w:tcPr>
          <w:p w14:paraId="4A3263CC" w14:textId="37985E7F" w:rsidR="00FB6A59" w:rsidRDefault="00FB6A59" w:rsidP="00702530">
            <w:pPr>
              <w:pStyle w:val="DJCSbody"/>
              <w:ind w:left="0"/>
            </w:pPr>
            <w:r>
              <w:t>No fee for appeals of a decision by the Financial Assistance Scheme.</w:t>
            </w:r>
          </w:p>
        </w:tc>
      </w:tr>
      <w:tr w:rsidR="00FB6A59" w14:paraId="19F220AA" w14:textId="77777777" w:rsidTr="00F73BFD">
        <w:tc>
          <w:tcPr>
            <w:tcW w:w="525" w:type="pct"/>
            <w:vMerge/>
            <w:shd w:val="clear" w:color="auto" w:fill="F2F2F2" w:themeFill="background1" w:themeFillShade="F2"/>
          </w:tcPr>
          <w:p w14:paraId="0B2DC45C" w14:textId="1B7F9841" w:rsidR="00FB6A59" w:rsidRDefault="00FB6A59" w:rsidP="00702530">
            <w:pPr>
              <w:pStyle w:val="DJCSbody"/>
              <w:ind w:left="0"/>
            </w:pPr>
          </w:p>
        </w:tc>
        <w:tc>
          <w:tcPr>
            <w:tcW w:w="1535" w:type="pct"/>
            <w:shd w:val="clear" w:color="auto" w:fill="auto"/>
          </w:tcPr>
          <w:p w14:paraId="75D2A176" w14:textId="69958E2C" w:rsidR="00FB6A59" w:rsidRPr="00630C62" w:rsidRDefault="00FB6A59" w:rsidP="00702530">
            <w:pPr>
              <w:pStyle w:val="DJCSbody"/>
              <w:ind w:left="0"/>
              <w:rPr>
                <w:b/>
              </w:rPr>
            </w:pPr>
            <w:r w:rsidRPr="00630C62">
              <w:rPr>
                <w:b/>
              </w:rPr>
              <w:t xml:space="preserve">Amending regulations to reflect changes to legislation </w:t>
            </w:r>
          </w:p>
        </w:tc>
        <w:tc>
          <w:tcPr>
            <w:tcW w:w="1455" w:type="pct"/>
            <w:shd w:val="clear" w:color="auto" w:fill="auto"/>
          </w:tcPr>
          <w:p w14:paraId="2C8913DF" w14:textId="4834051D" w:rsidR="00FB6A59" w:rsidRDefault="00FB6A59" w:rsidP="00702530">
            <w:pPr>
              <w:pStyle w:val="DJCSbody"/>
              <w:ind w:left="0"/>
            </w:pPr>
            <w:r>
              <w:t>Nil</w:t>
            </w:r>
          </w:p>
        </w:tc>
        <w:tc>
          <w:tcPr>
            <w:tcW w:w="1485" w:type="pct"/>
            <w:shd w:val="clear" w:color="auto" w:fill="auto"/>
          </w:tcPr>
          <w:p w14:paraId="21CC09FC" w14:textId="22DD620E" w:rsidR="00FB6A59" w:rsidRDefault="00FB6A59" w:rsidP="00702530">
            <w:pPr>
              <w:pStyle w:val="DJCSbody"/>
              <w:ind w:left="0"/>
            </w:pPr>
            <w:r>
              <w:t>Updates based on changes to legislation.</w:t>
            </w:r>
          </w:p>
        </w:tc>
      </w:tr>
      <w:tr w:rsidR="00FB6A59" w14:paraId="28D23C2A" w14:textId="77777777" w:rsidTr="00F73BFD">
        <w:tc>
          <w:tcPr>
            <w:tcW w:w="525" w:type="pct"/>
            <w:vMerge/>
            <w:shd w:val="clear" w:color="auto" w:fill="F2F2F2" w:themeFill="background1" w:themeFillShade="F2"/>
          </w:tcPr>
          <w:p w14:paraId="596066C8" w14:textId="77777777" w:rsidR="00FB6A59" w:rsidRDefault="00FB6A59" w:rsidP="00150396">
            <w:pPr>
              <w:pStyle w:val="DJCSbody"/>
              <w:ind w:left="0"/>
            </w:pPr>
          </w:p>
        </w:tc>
        <w:tc>
          <w:tcPr>
            <w:tcW w:w="1535" w:type="pct"/>
            <w:shd w:val="clear" w:color="auto" w:fill="auto"/>
          </w:tcPr>
          <w:p w14:paraId="6253E2BE" w14:textId="1C2A36AD" w:rsidR="00FB6A59" w:rsidRPr="00630C62" w:rsidRDefault="00FB6A59" w:rsidP="00150396">
            <w:pPr>
              <w:pStyle w:val="DJCSbody"/>
              <w:ind w:left="0"/>
              <w:rPr>
                <w:b/>
              </w:rPr>
            </w:pPr>
            <w:r w:rsidRPr="00630C62">
              <w:rPr>
                <w:b/>
              </w:rPr>
              <w:t>Remove the transfer fee for proceedings from Magistrates’ Court</w:t>
            </w:r>
          </w:p>
        </w:tc>
        <w:tc>
          <w:tcPr>
            <w:tcW w:w="1455" w:type="pct"/>
            <w:shd w:val="clear" w:color="auto" w:fill="auto"/>
          </w:tcPr>
          <w:p w14:paraId="472E75EE" w14:textId="2D4EB156" w:rsidR="00FB6A59" w:rsidRDefault="00FB6A59" w:rsidP="00150396">
            <w:pPr>
              <w:pStyle w:val="DJCSbody"/>
              <w:ind w:left="0"/>
            </w:pPr>
            <w:r>
              <w:t>There is a fee to transfer proceedings from the Magistrates’ Court in addition to the commencement fee.</w:t>
            </w:r>
          </w:p>
        </w:tc>
        <w:tc>
          <w:tcPr>
            <w:tcW w:w="1485" w:type="pct"/>
            <w:shd w:val="clear" w:color="auto" w:fill="auto"/>
          </w:tcPr>
          <w:p w14:paraId="5C6EFC4F" w14:textId="0BE06F89" w:rsidR="00FB6A59" w:rsidRDefault="00FB6A59" w:rsidP="00150396">
            <w:pPr>
              <w:pStyle w:val="DJCSbody"/>
              <w:ind w:left="0"/>
            </w:pPr>
            <w:r>
              <w:t>Only a commencement fee is applicable for transfers from the Magistrates’ Court.</w:t>
            </w:r>
          </w:p>
        </w:tc>
      </w:tr>
      <w:tr w:rsidR="00842E1E" w14:paraId="31202DCE" w14:textId="77777777" w:rsidTr="00F73BFD">
        <w:tc>
          <w:tcPr>
            <w:tcW w:w="525" w:type="pct"/>
            <w:vMerge/>
            <w:shd w:val="clear" w:color="auto" w:fill="F2F2F2" w:themeFill="background1" w:themeFillShade="F2"/>
          </w:tcPr>
          <w:p w14:paraId="73329EF2" w14:textId="77777777" w:rsidR="00842E1E" w:rsidRDefault="00842E1E" w:rsidP="0063318E">
            <w:pPr>
              <w:pStyle w:val="DJCSbody"/>
              <w:ind w:left="0"/>
            </w:pPr>
          </w:p>
        </w:tc>
        <w:tc>
          <w:tcPr>
            <w:tcW w:w="1535" w:type="pct"/>
            <w:shd w:val="clear" w:color="auto" w:fill="auto"/>
          </w:tcPr>
          <w:p w14:paraId="7808AE89" w14:textId="3E170297" w:rsidR="00842E1E" w:rsidRPr="001A6F65" w:rsidRDefault="00842E1E" w:rsidP="0063318E">
            <w:pPr>
              <w:pStyle w:val="DJCSbody"/>
              <w:ind w:left="0"/>
              <w:rPr>
                <w:b/>
                <w:bCs/>
              </w:rPr>
            </w:pPr>
            <w:r w:rsidRPr="001A6F65">
              <w:rPr>
                <w:b/>
                <w:bCs/>
              </w:rPr>
              <w:t>Removing fee caps</w:t>
            </w:r>
          </w:p>
        </w:tc>
        <w:tc>
          <w:tcPr>
            <w:tcW w:w="1455" w:type="pct"/>
            <w:shd w:val="clear" w:color="auto" w:fill="auto"/>
          </w:tcPr>
          <w:p w14:paraId="001CAB18" w14:textId="6C7760F9" w:rsidR="00842E1E" w:rsidRPr="00C329DD" w:rsidRDefault="008F3647" w:rsidP="0063318E">
            <w:pPr>
              <w:pStyle w:val="DJCSbody"/>
              <w:ind w:left="0"/>
            </w:pPr>
            <w:r w:rsidRPr="00C329DD">
              <w:t xml:space="preserve">There is a </w:t>
            </w:r>
            <w:r w:rsidR="00696EB0" w:rsidRPr="00C329DD">
              <w:t>maximum fee for concession fee payers of 11 fee units.</w:t>
            </w:r>
          </w:p>
        </w:tc>
        <w:tc>
          <w:tcPr>
            <w:tcW w:w="1485" w:type="pct"/>
            <w:shd w:val="clear" w:color="auto" w:fill="auto"/>
          </w:tcPr>
          <w:p w14:paraId="66DC6BCB" w14:textId="3AD03156" w:rsidR="00842E1E" w:rsidRPr="00C329DD" w:rsidRDefault="00696EB0" w:rsidP="0063318E">
            <w:pPr>
              <w:pStyle w:val="DJCSbody"/>
              <w:ind w:left="0"/>
            </w:pPr>
            <w:r w:rsidRPr="00C329DD">
              <w:t xml:space="preserve">There is no cap on concession fees. Concession fees are set at </w:t>
            </w:r>
            <w:r w:rsidR="007C2CD6" w:rsidRPr="00C329DD">
              <w:t>11% of corporate fees.</w:t>
            </w:r>
          </w:p>
        </w:tc>
      </w:tr>
      <w:tr w:rsidR="00FB6A59" w14:paraId="4EBDA4CC" w14:textId="77777777" w:rsidTr="00F73BFD">
        <w:tc>
          <w:tcPr>
            <w:tcW w:w="525" w:type="pct"/>
            <w:vMerge/>
            <w:shd w:val="clear" w:color="auto" w:fill="F2F2F2" w:themeFill="background1" w:themeFillShade="F2"/>
          </w:tcPr>
          <w:p w14:paraId="6CB162F6" w14:textId="5C82078B" w:rsidR="00FB6A59" w:rsidRDefault="00FB6A59" w:rsidP="00214DCC">
            <w:pPr>
              <w:pStyle w:val="DJCSbody"/>
              <w:ind w:left="0"/>
            </w:pPr>
          </w:p>
        </w:tc>
        <w:tc>
          <w:tcPr>
            <w:tcW w:w="1535" w:type="pct"/>
            <w:shd w:val="clear" w:color="auto" w:fill="auto"/>
          </w:tcPr>
          <w:p w14:paraId="6C2E6596" w14:textId="600173E7" w:rsidR="00FB6A59" w:rsidRPr="00630C62" w:rsidRDefault="00FB6A59" w:rsidP="00214DCC">
            <w:pPr>
              <w:pStyle w:val="DJCSbody"/>
              <w:ind w:left="0"/>
              <w:rPr>
                <w:b/>
              </w:rPr>
            </w:pPr>
            <w:r w:rsidRPr="00630C62">
              <w:rPr>
                <w:b/>
              </w:rPr>
              <w:t xml:space="preserve">Reorganising fees into Part 4 of Fee </w:t>
            </w:r>
            <w:r w:rsidR="00C12B2B">
              <w:rPr>
                <w:b/>
                <w:bCs/>
              </w:rPr>
              <w:t>S</w:t>
            </w:r>
            <w:r w:rsidR="00C12B2B" w:rsidRPr="00630C62">
              <w:rPr>
                <w:b/>
                <w:bCs/>
              </w:rPr>
              <w:t xml:space="preserve">chedule </w:t>
            </w:r>
            <w:r w:rsidR="0063318E" w:rsidRPr="00630C62">
              <w:rPr>
                <w:b/>
                <w:bCs/>
              </w:rPr>
              <w:t>1</w:t>
            </w:r>
          </w:p>
        </w:tc>
        <w:tc>
          <w:tcPr>
            <w:tcW w:w="1455" w:type="pct"/>
            <w:shd w:val="clear" w:color="auto" w:fill="auto"/>
          </w:tcPr>
          <w:p w14:paraId="4AFC0CD3" w14:textId="79B44471" w:rsidR="00FB6A59" w:rsidRDefault="00FB6A59" w:rsidP="00214DCC">
            <w:pPr>
              <w:pStyle w:val="DJCSbody"/>
              <w:ind w:left="0"/>
            </w:pPr>
            <w:r>
              <w:t>Fees are included across the Regulations.</w:t>
            </w:r>
          </w:p>
        </w:tc>
        <w:tc>
          <w:tcPr>
            <w:tcW w:w="1485" w:type="pct"/>
            <w:shd w:val="clear" w:color="auto" w:fill="auto"/>
          </w:tcPr>
          <w:p w14:paraId="4284D2B1" w14:textId="31B72FCC" w:rsidR="00FB6A59" w:rsidRDefault="00FB6A59" w:rsidP="00214DCC">
            <w:pPr>
              <w:pStyle w:val="DJCSbody"/>
              <w:ind w:left="0"/>
            </w:pPr>
            <w:r>
              <w:t>Administration fees are consolidated in Fee Schedule 1 in the Regulations</w:t>
            </w:r>
            <w:r w:rsidR="002F1576">
              <w:t xml:space="preserve"> for ease of reading</w:t>
            </w:r>
            <w:r>
              <w:t>.</w:t>
            </w:r>
          </w:p>
        </w:tc>
      </w:tr>
    </w:tbl>
    <w:p w14:paraId="1A5EE854" w14:textId="77777777" w:rsidR="00C96579" w:rsidRPr="0018117C" w:rsidRDefault="00C96579" w:rsidP="00702530">
      <w:pPr>
        <w:pStyle w:val="DJCSbody"/>
      </w:pPr>
    </w:p>
    <w:p w14:paraId="281A63D3" w14:textId="472C8CC9" w:rsidR="009B1917" w:rsidRDefault="009B1917" w:rsidP="008303F1">
      <w:pPr>
        <w:pStyle w:val="Heading3"/>
      </w:pPr>
      <w:bookmarkStart w:id="87" w:name="_Toc208241292"/>
      <w:bookmarkStart w:id="88" w:name="_Toc208241293"/>
      <w:bookmarkStart w:id="89" w:name="_Toc208241294"/>
      <w:bookmarkStart w:id="90" w:name="_Toc208241295"/>
      <w:bookmarkStart w:id="91" w:name="_Toc208241296"/>
      <w:bookmarkStart w:id="92" w:name="_Toc216179705"/>
      <w:bookmarkEnd w:id="87"/>
      <w:bookmarkEnd w:id="88"/>
      <w:bookmarkEnd w:id="89"/>
      <w:bookmarkEnd w:id="90"/>
      <w:bookmarkEnd w:id="91"/>
      <w:r w:rsidRPr="0005743B">
        <w:t>Changes</w:t>
      </w:r>
      <w:r>
        <w:t xml:space="preserve"> to </w:t>
      </w:r>
      <w:r w:rsidR="00D671F4">
        <w:t>f</w:t>
      </w:r>
      <w:r>
        <w:t xml:space="preserve">ee </w:t>
      </w:r>
      <w:r w:rsidR="00D671F4">
        <w:t>c</w:t>
      </w:r>
      <w:r>
        <w:t>ategories</w:t>
      </w:r>
      <w:bookmarkEnd w:id="92"/>
    </w:p>
    <w:p w14:paraId="17744ED3" w14:textId="092AD0A2" w:rsidR="009B1917" w:rsidRDefault="009B1917" w:rsidP="009B1917">
      <w:pPr>
        <w:pStyle w:val="Heading4"/>
      </w:pPr>
      <w:r>
        <w:t xml:space="preserve">Amending the </w:t>
      </w:r>
      <w:r w:rsidR="00D671F4">
        <w:t>t</w:t>
      </w:r>
      <w:r>
        <w:t xml:space="preserve">urnover </w:t>
      </w:r>
      <w:r w:rsidR="00D671F4">
        <w:t>r</w:t>
      </w:r>
      <w:r>
        <w:t xml:space="preserve">ate for </w:t>
      </w:r>
      <w:r w:rsidR="00D671F4">
        <w:t>c</w:t>
      </w:r>
      <w:r>
        <w:t>orporate</w:t>
      </w:r>
      <w:r w:rsidR="008F0057">
        <w:t>s</w:t>
      </w:r>
    </w:p>
    <w:p w14:paraId="6400BED4" w14:textId="4A9279B1" w:rsidR="009B1917" w:rsidRDefault="009B1917" w:rsidP="009B1917">
      <w:pPr>
        <w:pStyle w:val="DJCSbody"/>
      </w:pPr>
      <w:r>
        <w:t xml:space="preserve">Option 2 increases the corporate turnover threshold for standard fee payers from $200,000 </w:t>
      </w:r>
      <w:proofErr w:type="spellStart"/>
      <w:r w:rsidR="00191616">
        <w:t>excl.GST</w:t>
      </w:r>
      <w:proofErr w:type="spellEnd"/>
      <w:r>
        <w:t xml:space="preserve"> to $300,000</w:t>
      </w:r>
      <w:r w:rsidR="00191616">
        <w:t xml:space="preserve"> excl. GST</w:t>
      </w:r>
      <w:r>
        <w:t xml:space="preserve">. This increase in the corporate threshold </w:t>
      </w:r>
      <w:r w:rsidR="00B26A09">
        <w:t>reflects</w:t>
      </w:r>
      <w:r>
        <w:t xml:space="preserve"> the increase in prices over the 10</w:t>
      </w:r>
      <w:r w:rsidR="008629F3">
        <w:t> </w:t>
      </w:r>
      <w:r>
        <w:t xml:space="preserve">years since the </w:t>
      </w:r>
      <w:r w:rsidR="008629F3">
        <w:t>R</w:t>
      </w:r>
      <w:r>
        <w:t>egulations were made in 2016. Since that time</w:t>
      </w:r>
      <w:r w:rsidR="00B26A09">
        <w:t>,</w:t>
      </w:r>
      <w:r>
        <w:t xml:space="preserve"> inflation has increased by </w:t>
      </w:r>
      <w:r w:rsidR="00911C37">
        <w:t xml:space="preserve">an average of </w:t>
      </w:r>
      <w:r w:rsidRPr="00703834">
        <w:t>2.8%</w:t>
      </w:r>
      <w:r>
        <w:t xml:space="preserve"> per annum from 2015 to 2025. Applying the increase in inflation to the threshold</w:t>
      </w:r>
      <w:r w:rsidR="000340F7">
        <w:t>, and rounding up to the nearest $100,000,</w:t>
      </w:r>
      <w:r>
        <w:t xml:space="preserve"> increases the threshold in Option 2 to $300,000</w:t>
      </w:r>
      <w:r w:rsidR="00FD1442">
        <w:t xml:space="preserve"> </w:t>
      </w:r>
      <w:proofErr w:type="spellStart"/>
      <w:r w:rsidR="00FD1442">
        <w:t>excl.GST</w:t>
      </w:r>
      <w:proofErr w:type="spellEnd"/>
      <w:r>
        <w:t>.</w:t>
      </w:r>
    </w:p>
    <w:p w14:paraId="0BA5C47A" w14:textId="3B4B779F" w:rsidR="009B1917" w:rsidRPr="00B16026" w:rsidRDefault="009B1917" w:rsidP="009B1917">
      <w:pPr>
        <w:pStyle w:val="DJCSbody"/>
      </w:pPr>
      <w:r>
        <w:t>This increase in the threshold expands the number of small businesses who are eligible for the standard fee payer rate. This ensures that businesses with a lower ability to pay the level of corporate fees are charged a lower rate</w:t>
      </w:r>
      <w:r w:rsidR="00C076F1">
        <w:t>,</w:t>
      </w:r>
      <w:r>
        <w:t xml:space="preserve"> commensurate with their capacity to pay. This increase in the threshold also reflects the change in composition of businesses in Victoria. In 2016</w:t>
      </w:r>
      <w:r w:rsidR="002A1E93">
        <w:t>,</w:t>
      </w:r>
      <w:r>
        <w:t xml:space="preserve"> 60</w:t>
      </w:r>
      <w:r w:rsidR="00F13F21">
        <w:t>%</w:t>
      </w:r>
      <w:r>
        <w:t xml:space="preserve"> of businesses had </w:t>
      </w:r>
      <w:r w:rsidR="00C076F1">
        <w:t xml:space="preserve">a </w:t>
      </w:r>
      <w:r>
        <w:t>turnover of less than $200,000</w:t>
      </w:r>
      <w:r w:rsidR="00A27EBA">
        <w:t xml:space="preserve"> excl. GST</w:t>
      </w:r>
      <w:r w:rsidR="00C076F1">
        <w:t>. In</w:t>
      </w:r>
      <w:r>
        <w:t xml:space="preserve"> 20</w:t>
      </w:r>
      <w:r w:rsidR="00491799">
        <w:t>2</w:t>
      </w:r>
      <w:r>
        <w:t>4</w:t>
      </w:r>
      <w:r w:rsidR="00C076F1">
        <w:t>,</w:t>
      </w:r>
      <w:r>
        <w:t xml:space="preserve"> that had declined to 59</w:t>
      </w:r>
      <w:r w:rsidR="00911C37">
        <w:t>%</w:t>
      </w:r>
      <w:r>
        <w:t xml:space="preserve"> of businesses</w:t>
      </w:r>
      <w:r>
        <w:rPr>
          <w:rStyle w:val="FootnoteReference"/>
        </w:rPr>
        <w:footnoteReference w:id="32"/>
      </w:r>
      <w:r>
        <w:t>. The increase in the threshold is expected to increase the rate of businesses captured to just over 60</w:t>
      </w:r>
      <w:r w:rsidR="00F13F21">
        <w:t>%</w:t>
      </w:r>
      <w:r>
        <w:t>.</w:t>
      </w:r>
    </w:p>
    <w:p w14:paraId="716F40A7" w14:textId="4A9F5919" w:rsidR="009B1917" w:rsidRDefault="009B1917" w:rsidP="009B1917">
      <w:pPr>
        <w:pStyle w:val="Heading4"/>
      </w:pPr>
      <w:r>
        <w:t xml:space="preserve">Expanding the </w:t>
      </w:r>
      <w:r w:rsidR="0063295B">
        <w:t>c</w:t>
      </w:r>
      <w:r>
        <w:t xml:space="preserve">oncession </w:t>
      </w:r>
      <w:r w:rsidR="0063295B">
        <w:t>e</w:t>
      </w:r>
      <w:r>
        <w:t>ligibility</w:t>
      </w:r>
    </w:p>
    <w:p w14:paraId="541039AF" w14:textId="6455A69A" w:rsidR="009B1917" w:rsidRPr="007A232C" w:rsidRDefault="009B1917" w:rsidP="009B1917">
      <w:pPr>
        <w:pStyle w:val="DJCSbody"/>
      </w:pPr>
      <w:r>
        <w:t xml:space="preserve">In Option 2, the eligibility of the concession fee payer </w:t>
      </w:r>
      <w:r w:rsidR="000A7C1F">
        <w:t>category</w:t>
      </w:r>
      <w:r>
        <w:t xml:space="preserve"> is expanded </w:t>
      </w:r>
      <w:r w:rsidR="000A7C1F">
        <w:t>to</w:t>
      </w:r>
      <w:r>
        <w:t xml:space="preserve"> includ</w:t>
      </w:r>
      <w:r w:rsidR="000A7C1F">
        <w:t>e</w:t>
      </w:r>
      <w:r>
        <w:t xml:space="preserve"> health card holders</w:t>
      </w:r>
      <w:r w:rsidR="00894E6A">
        <w:t>,</w:t>
      </w:r>
      <w:r>
        <w:t xml:space="preserve"> pensioner concession card holders and certain </w:t>
      </w:r>
      <w:r w:rsidR="00457521">
        <w:t xml:space="preserve">veteran </w:t>
      </w:r>
      <w:r>
        <w:t xml:space="preserve">gold card holders. Across a </w:t>
      </w:r>
      <w:r>
        <w:lastRenderedPageBreak/>
        <w:t>range of Victorian services including electricity, gas</w:t>
      </w:r>
      <w:r w:rsidR="00AE4344">
        <w:t xml:space="preserve"> and</w:t>
      </w:r>
      <w:r>
        <w:t xml:space="preserve"> water</w:t>
      </w:r>
      <w:r w:rsidR="006A38C0">
        <w:t>,</w:t>
      </w:r>
      <w:r>
        <w:t xml:space="preserve"> pensioner and veteran card holders receive a discount</w:t>
      </w:r>
      <w:r w:rsidR="0063295B">
        <w:t>ed rate</w:t>
      </w:r>
      <w:r w:rsidDel="0063295B">
        <w:t xml:space="preserve"> to </w:t>
      </w:r>
      <w:r w:rsidR="006A38C0">
        <w:t>reflect</w:t>
      </w:r>
      <w:r>
        <w:t xml:space="preserve"> their lower capacity to pay for essential services. Like many of these essential services</w:t>
      </w:r>
      <w:r w:rsidR="0063295B">
        <w:t>,</w:t>
      </w:r>
      <w:r>
        <w:t xml:space="preserve"> it is important that pensioners and veteran gold card holders have access to the dispute resolution services offered </w:t>
      </w:r>
      <w:r w:rsidR="006A38C0">
        <w:t>by</w:t>
      </w:r>
      <w:r>
        <w:t xml:space="preserve"> VCAT. By expanding the concession fee tier, pensioners and veteran </w:t>
      </w:r>
      <w:r w:rsidR="00B062DF">
        <w:t xml:space="preserve">gold </w:t>
      </w:r>
      <w:r>
        <w:t>card holders would no longer pay the standard rate but would instead pay the concession rate.</w:t>
      </w:r>
    </w:p>
    <w:p w14:paraId="0D81C186" w14:textId="296CDD1B" w:rsidR="009B1917" w:rsidRPr="0005743B" w:rsidRDefault="009B1917" w:rsidP="0063318E">
      <w:pPr>
        <w:pStyle w:val="Heading3"/>
      </w:pPr>
      <w:bookmarkStart w:id="93" w:name="_Toc216179706"/>
      <w:r w:rsidRPr="0005743B">
        <w:t xml:space="preserve">Fee </w:t>
      </w:r>
      <w:r w:rsidR="00B062DF">
        <w:t>r</w:t>
      </w:r>
      <w:r w:rsidRPr="0005743B">
        <w:t xml:space="preserve">ate </w:t>
      </w:r>
      <w:r w:rsidR="00B062DF">
        <w:t>r</w:t>
      </w:r>
      <w:r w:rsidRPr="0005743B">
        <w:t>elativities</w:t>
      </w:r>
      <w:bookmarkEnd w:id="93"/>
    </w:p>
    <w:p w14:paraId="45E9E814" w14:textId="6EC4B65D" w:rsidR="009B1917" w:rsidRDefault="009B1917" w:rsidP="0046705C">
      <w:pPr>
        <w:pStyle w:val="DJCSbody"/>
        <w:ind w:left="720"/>
      </w:pPr>
      <w:r>
        <w:t>In 2016</w:t>
      </w:r>
      <w:r w:rsidR="00B062DF">
        <w:t>,</w:t>
      </w:r>
      <w:r>
        <w:t xml:space="preserve"> the Regulations were revised to include three distinct fee payer categories: Concession, Standard and Corporate. </w:t>
      </w:r>
      <w:r w:rsidR="00B062DF">
        <w:t>The c</w:t>
      </w:r>
      <w:r>
        <w:t xml:space="preserve">orporate fee was set at </w:t>
      </w:r>
      <w:r w:rsidR="00B062DF">
        <w:t xml:space="preserve">a </w:t>
      </w:r>
      <w:r>
        <w:t>cost recovery of 100</w:t>
      </w:r>
      <w:r w:rsidR="00165F08">
        <w:t>%</w:t>
      </w:r>
      <w:r w:rsidR="00B062DF">
        <w:t xml:space="preserve">, while the  </w:t>
      </w:r>
      <w:r>
        <w:t xml:space="preserve">standard </w:t>
      </w:r>
      <w:r w:rsidR="00B062DF">
        <w:t xml:space="preserve">fee was </w:t>
      </w:r>
      <w:r>
        <w:t>set at 70</w:t>
      </w:r>
      <w:r w:rsidR="00165F08">
        <w:t>%</w:t>
      </w:r>
      <w:r>
        <w:t xml:space="preserve"> of </w:t>
      </w:r>
      <w:r w:rsidR="00B062DF">
        <w:t>the</w:t>
      </w:r>
      <w:r>
        <w:t xml:space="preserve"> corporate</w:t>
      </w:r>
      <w:r w:rsidR="00B062DF">
        <w:t xml:space="preserve"> rate</w:t>
      </w:r>
      <w:r>
        <w:t xml:space="preserve"> and </w:t>
      </w:r>
      <w:r w:rsidR="00B062DF">
        <w:t xml:space="preserve">the </w:t>
      </w:r>
      <w:r>
        <w:t xml:space="preserve">concession fee </w:t>
      </w:r>
      <w:r w:rsidR="00B062DF">
        <w:t xml:space="preserve">was </w:t>
      </w:r>
      <w:r>
        <w:t>set at 35</w:t>
      </w:r>
      <w:r w:rsidR="00165F08">
        <w:t>%</w:t>
      </w:r>
      <w:r>
        <w:t xml:space="preserve"> of the corporate rate. The Magistrates’ Court, County Court and the Supreme Court have since implemented relativities of 25</w:t>
      </w:r>
      <w:r w:rsidR="00165F08">
        <w:t>%</w:t>
      </w:r>
      <w:r>
        <w:t xml:space="preserve"> for concession, 50</w:t>
      </w:r>
      <w:r w:rsidR="00165F08">
        <w:t>%</w:t>
      </w:r>
      <w:r>
        <w:t xml:space="preserve"> for standard and 100</w:t>
      </w:r>
      <w:r w:rsidR="00165F08">
        <w:t>%</w:t>
      </w:r>
      <w:r>
        <w:t xml:space="preserve"> for corporate.</w:t>
      </w:r>
    </w:p>
    <w:p w14:paraId="39791C29" w14:textId="781E3DA8" w:rsidR="009B1917" w:rsidRDefault="009B1917" w:rsidP="0046705C">
      <w:pPr>
        <w:pStyle w:val="DJCSbody"/>
        <w:ind w:left="720"/>
      </w:pPr>
      <w:r>
        <w:t xml:space="preserve">These relativities are updated under Option 2 to better reflect the income of each category of fee payer. It is difficult to calculate the capacity to pay of different fee payers especially when comparing individuals to businesses. Figures for the relativities have been chosen to represent the </w:t>
      </w:r>
      <w:r w:rsidR="0044150B">
        <w:t>lower end</w:t>
      </w:r>
      <w:r>
        <w:t xml:space="preserve"> of the </w:t>
      </w:r>
      <w:r w:rsidR="002F62AF">
        <w:t>fee payer categories</w:t>
      </w:r>
      <w:r>
        <w:t xml:space="preserve"> to </w:t>
      </w:r>
      <w:r w:rsidR="002F62AF">
        <w:t>reflect</w:t>
      </w:r>
      <w:r>
        <w:t xml:space="preserve"> the income/earning capacity </w:t>
      </w:r>
      <w:r w:rsidR="002F62AF">
        <w:t>of each fee payer category</w:t>
      </w:r>
      <w:r>
        <w:t xml:space="preserve">. </w:t>
      </w:r>
    </w:p>
    <w:p w14:paraId="763A2303" w14:textId="3B305EB3" w:rsidR="009B1917" w:rsidRDefault="009B1917" w:rsidP="0046705C">
      <w:pPr>
        <w:pStyle w:val="DJCSbody"/>
        <w:ind w:left="720"/>
      </w:pPr>
      <w:r>
        <w:t>The concession fee tier relativity is based on the single aged care pension including the energy supplement and the maximum pension supplement</w:t>
      </w:r>
      <w:r>
        <w:rPr>
          <w:rStyle w:val="FootnoteReference"/>
        </w:rPr>
        <w:footnoteReference w:id="33"/>
      </w:r>
      <w:r>
        <w:t xml:space="preserve">. This is an income rate of $1,149 </w:t>
      </w:r>
      <w:r w:rsidR="0014527A">
        <w:t xml:space="preserve">per </w:t>
      </w:r>
      <w:r>
        <w:t>fortnight or $29,874 per annum before tax. The standard fee is based on the average weekly ordinary time earnings for November 2024 in Victoria of $1,927.90</w:t>
      </w:r>
      <w:r>
        <w:rPr>
          <w:rStyle w:val="FootnoteReference"/>
        </w:rPr>
        <w:footnoteReference w:id="34"/>
      </w:r>
      <w:r>
        <w:t xml:space="preserve"> or $100,250.80 per annum. Finally, the corporate fee payer category is represented by the threshold of $300,000</w:t>
      </w:r>
      <w:r w:rsidR="00703FFB">
        <w:t xml:space="preserve"> excl. GST</w:t>
      </w:r>
      <w:r>
        <w:t>.</w:t>
      </w:r>
    </w:p>
    <w:p w14:paraId="2F5E2D4A" w14:textId="7B91508F" w:rsidR="009B1917" w:rsidRDefault="009B1917" w:rsidP="0046705C">
      <w:pPr>
        <w:pStyle w:val="DJCSbody"/>
        <w:ind w:left="720"/>
      </w:pPr>
      <w:r>
        <w:t xml:space="preserve">Based on these three figures, the relativities from the sunsetting </w:t>
      </w:r>
      <w:r w:rsidR="006A38C0">
        <w:t>R</w:t>
      </w:r>
      <w:r>
        <w:t>egulations and the new relativities are outlined in the table below.</w:t>
      </w:r>
    </w:p>
    <w:p w14:paraId="5494C53E" w14:textId="75D97988" w:rsidR="00AE0278" w:rsidRDefault="00AE0278" w:rsidP="00AE0278">
      <w:pPr>
        <w:pStyle w:val="DJCStablecaption"/>
      </w:pPr>
      <w:r>
        <w:t xml:space="preserve">Table </w:t>
      </w:r>
      <w:r w:rsidR="006F36D9">
        <w:t>1</w:t>
      </w:r>
      <w:r w:rsidR="0086313D">
        <w:t>1</w:t>
      </w:r>
      <w:r w:rsidRPr="002C236D">
        <w:t>:</w:t>
      </w:r>
      <w:r>
        <w:t xml:space="preserve"> Fee payer relativ</w:t>
      </w:r>
      <w:r w:rsidR="008D5773">
        <w:t>iti</w:t>
      </w:r>
      <w:r>
        <w:t>es</w:t>
      </w:r>
      <w:r w:rsidR="008D5773">
        <w:t xml:space="preserve"> in percentages</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95"/>
        <w:gridCol w:w="2347"/>
        <w:gridCol w:w="2363"/>
      </w:tblGrid>
      <w:tr w:rsidR="009B1917" w14:paraId="7F2D7C10" w14:textId="77777777" w:rsidTr="00F73BFD">
        <w:tc>
          <w:tcPr>
            <w:tcW w:w="2584" w:type="dxa"/>
            <w:shd w:val="clear" w:color="auto" w:fill="002060"/>
          </w:tcPr>
          <w:p w14:paraId="4AFC4BD2" w14:textId="77777777" w:rsidR="009B1917" w:rsidRPr="00FA0CF5" w:rsidRDefault="009B1917">
            <w:pPr>
              <w:pStyle w:val="DJCSbody"/>
              <w:ind w:left="0"/>
              <w:rPr>
                <w:b/>
                <w:bCs/>
              </w:rPr>
            </w:pPr>
          </w:p>
        </w:tc>
        <w:tc>
          <w:tcPr>
            <w:tcW w:w="2584" w:type="dxa"/>
            <w:shd w:val="clear" w:color="auto" w:fill="002060"/>
          </w:tcPr>
          <w:p w14:paraId="4BF58C42" w14:textId="77777777" w:rsidR="009B1917" w:rsidRPr="00FA0CF5" w:rsidRDefault="009B1917">
            <w:pPr>
              <w:pStyle w:val="DJCSbody"/>
              <w:ind w:left="0"/>
              <w:jc w:val="center"/>
              <w:rPr>
                <w:b/>
                <w:bCs/>
              </w:rPr>
            </w:pPr>
            <w:r w:rsidRPr="00FA0CF5">
              <w:rPr>
                <w:b/>
                <w:bCs/>
              </w:rPr>
              <w:t>Concession</w:t>
            </w:r>
          </w:p>
        </w:tc>
        <w:tc>
          <w:tcPr>
            <w:tcW w:w="2585" w:type="dxa"/>
            <w:shd w:val="clear" w:color="auto" w:fill="002060"/>
          </w:tcPr>
          <w:p w14:paraId="26129911" w14:textId="77777777" w:rsidR="009B1917" w:rsidRPr="00FA0CF5" w:rsidRDefault="009B1917">
            <w:pPr>
              <w:pStyle w:val="DJCSbody"/>
              <w:ind w:left="0"/>
              <w:jc w:val="center"/>
              <w:rPr>
                <w:b/>
                <w:bCs/>
              </w:rPr>
            </w:pPr>
            <w:r w:rsidRPr="00FA0CF5">
              <w:rPr>
                <w:b/>
                <w:bCs/>
              </w:rPr>
              <w:t>Standard</w:t>
            </w:r>
          </w:p>
        </w:tc>
        <w:tc>
          <w:tcPr>
            <w:tcW w:w="2585" w:type="dxa"/>
            <w:shd w:val="clear" w:color="auto" w:fill="002060"/>
          </w:tcPr>
          <w:p w14:paraId="3286F9E4" w14:textId="77777777" w:rsidR="009B1917" w:rsidRPr="00FA0CF5" w:rsidRDefault="009B1917">
            <w:pPr>
              <w:pStyle w:val="DJCSbody"/>
              <w:ind w:left="0"/>
              <w:jc w:val="center"/>
              <w:rPr>
                <w:b/>
                <w:bCs/>
              </w:rPr>
            </w:pPr>
            <w:r w:rsidRPr="00FA0CF5">
              <w:rPr>
                <w:b/>
                <w:bCs/>
              </w:rPr>
              <w:t>Corporate</w:t>
            </w:r>
          </w:p>
        </w:tc>
      </w:tr>
      <w:tr w:rsidR="009B1917" w14:paraId="306A29BA" w14:textId="77777777" w:rsidTr="00F73BFD">
        <w:tc>
          <w:tcPr>
            <w:tcW w:w="2584" w:type="dxa"/>
          </w:tcPr>
          <w:p w14:paraId="0EFD62A8" w14:textId="77777777" w:rsidR="009B1917" w:rsidRDefault="009B1917">
            <w:pPr>
              <w:pStyle w:val="DJCSbody"/>
              <w:ind w:left="0"/>
            </w:pPr>
            <w:r>
              <w:t>Current Regulations</w:t>
            </w:r>
          </w:p>
        </w:tc>
        <w:tc>
          <w:tcPr>
            <w:tcW w:w="2584" w:type="dxa"/>
          </w:tcPr>
          <w:p w14:paraId="29BE8FCA" w14:textId="77777777" w:rsidR="009B1917" w:rsidRDefault="009B1917">
            <w:pPr>
              <w:pStyle w:val="DJCSbody"/>
              <w:ind w:left="0"/>
              <w:jc w:val="center"/>
            </w:pPr>
            <w:r>
              <w:t>35</w:t>
            </w:r>
          </w:p>
        </w:tc>
        <w:tc>
          <w:tcPr>
            <w:tcW w:w="2585" w:type="dxa"/>
          </w:tcPr>
          <w:p w14:paraId="0E9EFA2C" w14:textId="77777777" w:rsidR="009B1917" w:rsidRDefault="009B1917">
            <w:pPr>
              <w:pStyle w:val="DJCSbody"/>
              <w:ind w:left="0"/>
              <w:jc w:val="center"/>
            </w:pPr>
            <w:r>
              <w:t>70</w:t>
            </w:r>
          </w:p>
        </w:tc>
        <w:tc>
          <w:tcPr>
            <w:tcW w:w="2585" w:type="dxa"/>
          </w:tcPr>
          <w:p w14:paraId="03F02FE5" w14:textId="77777777" w:rsidR="009B1917" w:rsidRDefault="009B1917">
            <w:pPr>
              <w:pStyle w:val="DJCSbody"/>
              <w:ind w:left="0"/>
              <w:jc w:val="center"/>
            </w:pPr>
            <w:r>
              <w:t>100</w:t>
            </w:r>
          </w:p>
        </w:tc>
      </w:tr>
      <w:tr w:rsidR="009B1917" w14:paraId="1F04226B" w14:textId="77777777" w:rsidTr="00F73BFD">
        <w:tc>
          <w:tcPr>
            <w:tcW w:w="2584" w:type="dxa"/>
          </w:tcPr>
          <w:p w14:paraId="73CF8D9F" w14:textId="16C55A15" w:rsidR="009B1917" w:rsidRDefault="009B1917">
            <w:pPr>
              <w:pStyle w:val="DJCSbody"/>
              <w:ind w:left="0"/>
            </w:pPr>
            <w:r>
              <w:t>Option 2</w:t>
            </w:r>
            <w:r w:rsidR="00884EAB">
              <w:t xml:space="preserve"> and 3</w:t>
            </w:r>
          </w:p>
        </w:tc>
        <w:tc>
          <w:tcPr>
            <w:tcW w:w="2584" w:type="dxa"/>
          </w:tcPr>
          <w:p w14:paraId="7C7910C8" w14:textId="74A86573" w:rsidR="009B1917" w:rsidRDefault="00445484">
            <w:pPr>
              <w:pStyle w:val="DJCSbody"/>
              <w:ind w:left="0"/>
              <w:jc w:val="center"/>
            </w:pPr>
            <w:r>
              <w:t>11</w:t>
            </w:r>
          </w:p>
        </w:tc>
        <w:tc>
          <w:tcPr>
            <w:tcW w:w="2585" w:type="dxa"/>
          </w:tcPr>
          <w:p w14:paraId="4B85CAF5" w14:textId="7B48D96C" w:rsidR="009B1917" w:rsidRDefault="00445484">
            <w:pPr>
              <w:pStyle w:val="DJCSbody"/>
              <w:ind w:left="0"/>
              <w:jc w:val="center"/>
            </w:pPr>
            <w:r>
              <w:t>33</w:t>
            </w:r>
          </w:p>
        </w:tc>
        <w:tc>
          <w:tcPr>
            <w:tcW w:w="2585" w:type="dxa"/>
          </w:tcPr>
          <w:p w14:paraId="66C7EE0C" w14:textId="34C9ECC3" w:rsidR="009B1917" w:rsidRDefault="00445484">
            <w:pPr>
              <w:pStyle w:val="DJCSbody"/>
              <w:ind w:left="0"/>
              <w:jc w:val="center"/>
            </w:pPr>
            <w:r>
              <w:t>100</w:t>
            </w:r>
          </w:p>
        </w:tc>
      </w:tr>
    </w:tbl>
    <w:p w14:paraId="02C1ACD9" w14:textId="0B94F125" w:rsidR="009B1917" w:rsidRPr="003720EC" w:rsidRDefault="00650ED1" w:rsidP="0063318E">
      <w:pPr>
        <w:pStyle w:val="Heading3"/>
      </w:pPr>
      <w:bookmarkStart w:id="94" w:name="_Toc216179707"/>
      <w:r>
        <w:t xml:space="preserve">New </w:t>
      </w:r>
      <w:r w:rsidR="0079488D">
        <w:t>f</w:t>
      </w:r>
      <w:r>
        <w:t>ees</w:t>
      </w:r>
      <w:bookmarkEnd w:id="94"/>
    </w:p>
    <w:p w14:paraId="3E4E6C7E" w14:textId="49ADDEDB" w:rsidR="00310B54" w:rsidRDefault="002D5233" w:rsidP="0046705C">
      <w:pPr>
        <w:pStyle w:val="DJCSbody"/>
        <w:ind w:left="720"/>
      </w:pPr>
      <w:r>
        <w:t>There are amendments to the fee types</w:t>
      </w:r>
      <w:r w:rsidR="00310B54">
        <w:t xml:space="preserve"> </w:t>
      </w:r>
      <w:r w:rsidR="00A00A9B">
        <w:t>included</w:t>
      </w:r>
      <w:r w:rsidR="00310B54">
        <w:t xml:space="preserve"> in the proposed </w:t>
      </w:r>
      <w:r w:rsidR="00B90C1F">
        <w:t>Regulations</w:t>
      </w:r>
      <w:r w:rsidR="00310B54">
        <w:t xml:space="preserve">. This includes the </w:t>
      </w:r>
      <w:r w:rsidR="00A00A9B">
        <w:t>introduction of new</w:t>
      </w:r>
      <w:r w:rsidR="00310B54">
        <w:t xml:space="preserve"> fees for the following activities:</w:t>
      </w:r>
    </w:p>
    <w:p w14:paraId="6C578DC7" w14:textId="6DEB905D" w:rsidR="00310B54" w:rsidRDefault="008C23E2" w:rsidP="003C4FE7">
      <w:pPr>
        <w:pStyle w:val="DJCSbody"/>
        <w:numPr>
          <w:ilvl w:val="0"/>
          <w:numId w:val="46"/>
        </w:numPr>
      </w:pPr>
      <w:r>
        <w:t xml:space="preserve">Compulsory </w:t>
      </w:r>
      <w:r w:rsidR="00666A82">
        <w:t>c</w:t>
      </w:r>
      <w:r>
        <w:t xml:space="preserve">onferences and </w:t>
      </w:r>
      <w:r w:rsidR="00666A82">
        <w:t>m</w:t>
      </w:r>
      <w:r>
        <w:t>ediations</w:t>
      </w:r>
    </w:p>
    <w:p w14:paraId="690F2D38" w14:textId="015310D4" w:rsidR="008C23E2" w:rsidRDefault="008C23E2" w:rsidP="003C4FE7">
      <w:pPr>
        <w:pStyle w:val="DJCSbody"/>
        <w:numPr>
          <w:ilvl w:val="0"/>
          <w:numId w:val="46"/>
        </w:numPr>
      </w:pPr>
      <w:r>
        <w:t xml:space="preserve">Directions </w:t>
      </w:r>
      <w:r w:rsidR="00666A82">
        <w:t>h</w:t>
      </w:r>
      <w:r>
        <w:t xml:space="preserve">earings and </w:t>
      </w:r>
      <w:r w:rsidR="00666A82">
        <w:t>p</w:t>
      </w:r>
      <w:r>
        <w:t xml:space="preserve">ractice </w:t>
      </w:r>
      <w:r w:rsidR="00666A82">
        <w:t>d</w:t>
      </w:r>
      <w:r>
        <w:t xml:space="preserve">ay </w:t>
      </w:r>
      <w:r w:rsidR="00666A82">
        <w:t>h</w:t>
      </w:r>
      <w:r>
        <w:t>earings</w:t>
      </w:r>
    </w:p>
    <w:p w14:paraId="24448845" w14:textId="6AB93CD6" w:rsidR="008C23E2" w:rsidRDefault="00C442AF" w:rsidP="003C4FE7">
      <w:pPr>
        <w:pStyle w:val="DJCSbody"/>
        <w:numPr>
          <w:ilvl w:val="0"/>
          <w:numId w:val="46"/>
        </w:numPr>
      </w:pPr>
      <w:r>
        <w:t xml:space="preserve">Injunctions and </w:t>
      </w:r>
      <w:r w:rsidR="00666A82">
        <w:t>s</w:t>
      </w:r>
      <w:r>
        <w:t>tays</w:t>
      </w:r>
    </w:p>
    <w:p w14:paraId="507E94BC" w14:textId="7C10374E" w:rsidR="00C442AF" w:rsidRPr="00C442AF" w:rsidRDefault="00C442AF" w:rsidP="00C442AF">
      <w:pPr>
        <w:pStyle w:val="Heading4"/>
      </w:pPr>
      <w:r w:rsidRPr="00C442AF">
        <w:t xml:space="preserve">Compulsory </w:t>
      </w:r>
      <w:r w:rsidR="00666A82">
        <w:t>c</w:t>
      </w:r>
      <w:r w:rsidRPr="00C442AF">
        <w:t xml:space="preserve">onferences and </w:t>
      </w:r>
      <w:r w:rsidR="00666A82">
        <w:t>m</w:t>
      </w:r>
      <w:r w:rsidRPr="00C442AF">
        <w:t>ediations</w:t>
      </w:r>
    </w:p>
    <w:p w14:paraId="5B10A16D" w14:textId="27F4CB01" w:rsidR="009B1917" w:rsidRDefault="00413937" w:rsidP="009B1917">
      <w:pPr>
        <w:pStyle w:val="DJCSbody"/>
      </w:pPr>
      <w:r>
        <w:t xml:space="preserve">In the current </w:t>
      </w:r>
      <w:r w:rsidR="003F3D90">
        <w:t>R</w:t>
      </w:r>
      <w:r>
        <w:t xml:space="preserve">egulations, </w:t>
      </w:r>
      <w:r w:rsidR="009E375E">
        <w:t xml:space="preserve">VCAT </w:t>
      </w:r>
      <w:r w:rsidR="00520935">
        <w:t>charges for services in block fees. For many matters</w:t>
      </w:r>
      <w:r w:rsidR="009C5B5D">
        <w:t>,</w:t>
      </w:r>
      <w:r w:rsidR="00520935">
        <w:t xml:space="preserve"> this means the application fee</w:t>
      </w:r>
      <w:r w:rsidR="003436E0">
        <w:t xml:space="preserve"> </w:t>
      </w:r>
      <w:r w:rsidR="003F3D90">
        <w:t>covers</w:t>
      </w:r>
      <w:r w:rsidR="003D2EC2">
        <w:t xml:space="preserve"> any </w:t>
      </w:r>
      <w:r w:rsidR="004204FC">
        <w:t xml:space="preserve">services provided up </w:t>
      </w:r>
      <w:r w:rsidR="003D5EBC">
        <w:t xml:space="preserve">to and including the first hearing day. </w:t>
      </w:r>
      <w:r w:rsidR="007C5A70">
        <w:lastRenderedPageBreak/>
        <w:t xml:space="preserve">Options 2 and 3 change this approach </w:t>
      </w:r>
      <w:r w:rsidR="00C3374A">
        <w:t>by</w:t>
      </w:r>
      <w:r w:rsidR="007C5A70">
        <w:t xml:space="preserve"> </w:t>
      </w:r>
      <w:r w:rsidR="00C015B7">
        <w:t xml:space="preserve">charging a separate fee for </w:t>
      </w:r>
      <w:r w:rsidR="00D50DBB">
        <w:t xml:space="preserve">compulsory </w:t>
      </w:r>
      <w:r w:rsidR="00C015B7">
        <w:t>conferencing</w:t>
      </w:r>
      <w:r w:rsidR="00D50DBB">
        <w:t xml:space="preserve"> and mediations</w:t>
      </w:r>
      <w:r w:rsidR="00223559">
        <w:t xml:space="preserve">. </w:t>
      </w:r>
      <w:r w:rsidR="006F23B1">
        <w:t>This decreases the application fee</w:t>
      </w:r>
      <w:r w:rsidR="00CF098E">
        <w:t xml:space="preserve"> </w:t>
      </w:r>
      <w:r w:rsidR="00506FB1">
        <w:t xml:space="preserve">but </w:t>
      </w:r>
      <w:r w:rsidR="00BD3F70">
        <w:t xml:space="preserve">allows VCAT to charge for compulsory conferencing </w:t>
      </w:r>
      <w:r w:rsidR="00D50DBB">
        <w:t>and mediations</w:t>
      </w:r>
      <w:r w:rsidR="00BD3F70">
        <w:t xml:space="preserve"> </w:t>
      </w:r>
      <w:r w:rsidR="00C3374A">
        <w:t>(services for which there is not currently a separate charge)</w:t>
      </w:r>
      <w:r w:rsidR="00BD3F70">
        <w:t xml:space="preserve"> based on </w:t>
      </w:r>
      <w:r w:rsidR="00BF0295">
        <w:t>usage</w:t>
      </w:r>
      <w:r w:rsidR="002E4144">
        <w:t xml:space="preserve">. </w:t>
      </w:r>
    </w:p>
    <w:p w14:paraId="51847854" w14:textId="029F5633" w:rsidR="006729EA" w:rsidRDefault="009B157F" w:rsidP="009B157F">
      <w:pPr>
        <w:pStyle w:val="DJCStablecaption"/>
      </w:pPr>
      <w:r>
        <w:t>Table 12: Comparison of compulsory conferences and mediation</w:t>
      </w:r>
    </w:p>
    <w:tbl>
      <w:tblPr>
        <w:tblStyle w:val="TableGrid"/>
        <w:tblW w:w="9224" w:type="dxa"/>
        <w:tblInd w:w="8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8"/>
        <w:gridCol w:w="3795"/>
        <w:gridCol w:w="2741"/>
      </w:tblGrid>
      <w:tr w:rsidR="002711C2" w14:paraId="79D92427" w14:textId="3F5A7E7E" w:rsidTr="00F73BFD">
        <w:trPr>
          <w:trHeight w:val="354"/>
        </w:trPr>
        <w:tc>
          <w:tcPr>
            <w:tcW w:w="2688" w:type="dxa"/>
            <w:shd w:val="clear" w:color="auto" w:fill="16145F" w:themeFill="text2"/>
          </w:tcPr>
          <w:p w14:paraId="339EC591" w14:textId="4CD58A6C" w:rsidR="002711C2" w:rsidRPr="005C184D" w:rsidRDefault="002711C2" w:rsidP="002711C2">
            <w:pPr>
              <w:pStyle w:val="DJCSbody"/>
              <w:ind w:left="0"/>
              <w:rPr>
                <w:b/>
                <w:bCs/>
              </w:rPr>
            </w:pPr>
            <w:r w:rsidRPr="005C184D">
              <w:rPr>
                <w:b/>
                <w:bCs/>
              </w:rPr>
              <w:t>Service Type</w:t>
            </w:r>
          </w:p>
        </w:tc>
        <w:tc>
          <w:tcPr>
            <w:tcW w:w="3795" w:type="dxa"/>
            <w:shd w:val="clear" w:color="auto" w:fill="16145F" w:themeFill="text2"/>
          </w:tcPr>
          <w:p w14:paraId="4E60FD10" w14:textId="63BD6552" w:rsidR="002711C2" w:rsidRPr="005C184D" w:rsidRDefault="002711C2" w:rsidP="002711C2">
            <w:pPr>
              <w:pStyle w:val="DJCSbody"/>
              <w:ind w:left="0"/>
              <w:jc w:val="center"/>
              <w:rPr>
                <w:b/>
                <w:bCs/>
              </w:rPr>
            </w:pPr>
            <w:r w:rsidRPr="005C184D">
              <w:rPr>
                <w:b/>
                <w:bCs/>
              </w:rPr>
              <w:t>Differences</w:t>
            </w:r>
          </w:p>
        </w:tc>
        <w:tc>
          <w:tcPr>
            <w:tcW w:w="2741" w:type="dxa"/>
            <w:shd w:val="clear" w:color="auto" w:fill="16145F" w:themeFill="text2"/>
          </w:tcPr>
          <w:p w14:paraId="20194383" w14:textId="12EA33FE" w:rsidR="002711C2" w:rsidRPr="005C184D" w:rsidRDefault="002711C2" w:rsidP="002711C2">
            <w:pPr>
              <w:pStyle w:val="DJCSbody"/>
              <w:tabs>
                <w:tab w:val="center" w:pos="979"/>
              </w:tabs>
              <w:ind w:left="0"/>
              <w:jc w:val="center"/>
              <w:rPr>
                <w:b/>
                <w:bCs/>
              </w:rPr>
            </w:pPr>
            <w:r w:rsidRPr="005C184D">
              <w:rPr>
                <w:b/>
                <w:bCs/>
              </w:rPr>
              <w:t>Similarities</w:t>
            </w:r>
          </w:p>
        </w:tc>
      </w:tr>
      <w:tr w:rsidR="0094275F" w14:paraId="593409AE" w14:textId="5A2C08D4" w:rsidTr="00F73BFD">
        <w:trPr>
          <w:trHeight w:val="843"/>
        </w:trPr>
        <w:tc>
          <w:tcPr>
            <w:tcW w:w="2688" w:type="dxa"/>
            <w:vAlign w:val="center"/>
          </w:tcPr>
          <w:p w14:paraId="1A4CE81A" w14:textId="4531F5E4" w:rsidR="0094275F" w:rsidRDefault="0094275F" w:rsidP="002B3ACE">
            <w:pPr>
              <w:pStyle w:val="DJCSbody"/>
              <w:ind w:left="0"/>
              <w:jc w:val="center"/>
            </w:pPr>
            <w:r>
              <w:t>Compulsory Conference</w:t>
            </w:r>
          </w:p>
        </w:tc>
        <w:tc>
          <w:tcPr>
            <w:tcW w:w="3795" w:type="dxa"/>
          </w:tcPr>
          <w:p w14:paraId="6E241B38" w14:textId="77777777" w:rsidR="0094275F" w:rsidRDefault="004A2DE4" w:rsidP="002711C2">
            <w:pPr>
              <w:pStyle w:val="DJCSbody"/>
              <w:ind w:left="0"/>
              <w:jc w:val="center"/>
            </w:pPr>
            <w:r>
              <w:t>Principally</w:t>
            </w:r>
            <w:r w:rsidR="0094275F">
              <w:t xml:space="preserve"> conducted by a </w:t>
            </w:r>
            <w:r w:rsidR="00DD60B6">
              <w:t>M</w:t>
            </w:r>
            <w:r w:rsidR="0094275F">
              <w:t>ember</w:t>
            </w:r>
          </w:p>
          <w:p w14:paraId="6EF5726F" w14:textId="51EFEC2E" w:rsidR="0094275F" w:rsidRDefault="006F5782" w:rsidP="002711C2">
            <w:pPr>
              <w:pStyle w:val="DJCSbody"/>
              <w:ind w:left="0"/>
              <w:jc w:val="center"/>
            </w:pPr>
            <w:r>
              <w:t>Takes between half a day to a full day</w:t>
            </w:r>
          </w:p>
        </w:tc>
        <w:tc>
          <w:tcPr>
            <w:tcW w:w="2741" w:type="dxa"/>
            <w:vMerge w:val="restart"/>
            <w:vAlign w:val="center"/>
          </w:tcPr>
          <w:p w14:paraId="513EE283" w14:textId="0BD391A4" w:rsidR="0094275F" w:rsidRDefault="0094275F" w:rsidP="002711C2">
            <w:pPr>
              <w:pStyle w:val="DJCSbody"/>
              <w:ind w:left="0"/>
              <w:jc w:val="center"/>
            </w:pPr>
            <w:r>
              <w:t>Can resolve a dispute early before a hearing</w:t>
            </w:r>
          </w:p>
          <w:p w14:paraId="108FA7B0" w14:textId="4B1BE7B4" w:rsidR="0094275F" w:rsidRDefault="001A6E24" w:rsidP="002711C2">
            <w:pPr>
              <w:pStyle w:val="DJCSbody"/>
              <w:ind w:left="0"/>
              <w:jc w:val="center"/>
            </w:pPr>
            <w:r>
              <w:t>Multiple conferences or mediations may be required</w:t>
            </w:r>
          </w:p>
        </w:tc>
      </w:tr>
      <w:tr w:rsidR="0094275F" w14:paraId="68A93217" w14:textId="374DCD5D" w:rsidTr="00F73BFD">
        <w:trPr>
          <w:trHeight w:val="843"/>
        </w:trPr>
        <w:tc>
          <w:tcPr>
            <w:tcW w:w="2688" w:type="dxa"/>
            <w:vAlign w:val="center"/>
          </w:tcPr>
          <w:p w14:paraId="3C642DB4" w14:textId="6350E547" w:rsidR="0094275F" w:rsidRDefault="0094275F" w:rsidP="002B3ACE">
            <w:pPr>
              <w:pStyle w:val="DJCSbody"/>
              <w:ind w:left="0"/>
              <w:jc w:val="center"/>
            </w:pPr>
            <w:r>
              <w:t>Mediation</w:t>
            </w:r>
          </w:p>
        </w:tc>
        <w:tc>
          <w:tcPr>
            <w:tcW w:w="3795" w:type="dxa"/>
          </w:tcPr>
          <w:p w14:paraId="19003F81" w14:textId="77777777" w:rsidR="0094275F" w:rsidRDefault="0094275F" w:rsidP="002711C2">
            <w:pPr>
              <w:pStyle w:val="DJCSbody"/>
              <w:ind w:left="0"/>
              <w:jc w:val="center"/>
            </w:pPr>
            <w:r>
              <w:t>Can be at the direction of VCAT or at the decision of the party</w:t>
            </w:r>
          </w:p>
          <w:p w14:paraId="3E66E7A8" w14:textId="5168BF7B" w:rsidR="004A2DE4" w:rsidRDefault="004A2DE4" w:rsidP="002711C2">
            <w:pPr>
              <w:pStyle w:val="DJCSbody"/>
              <w:ind w:left="0"/>
              <w:jc w:val="center"/>
            </w:pPr>
            <w:r>
              <w:t xml:space="preserve">Can be conducted by a </w:t>
            </w:r>
            <w:r w:rsidR="00DD60B6">
              <w:t>Member</w:t>
            </w:r>
            <w:r w:rsidR="00416643">
              <w:t xml:space="preserve"> or </w:t>
            </w:r>
            <w:r w:rsidR="0092576E">
              <w:t>an</w:t>
            </w:r>
            <w:r w:rsidR="00DD60B6">
              <w:t xml:space="preserve"> </w:t>
            </w:r>
            <w:r w:rsidR="00021279">
              <w:t>accredited mediator</w:t>
            </w:r>
            <w:r w:rsidR="00DD60B6">
              <w:t xml:space="preserve"> </w:t>
            </w:r>
            <w:r w:rsidR="00B70BAF">
              <w:t>appointed by VCAT</w:t>
            </w:r>
            <w:r w:rsidR="00DD60B6">
              <w:t xml:space="preserve"> </w:t>
            </w:r>
          </w:p>
          <w:p w14:paraId="5632746C" w14:textId="35B0B648" w:rsidR="004A2DE4" w:rsidRDefault="006F5782" w:rsidP="002711C2">
            <w:pPr>
              <w:pStyle w:val="DJCSbody"/>
              <w:ind w:left="0"/>
              <w:jc w:val="center"/>
            </w:pPr>
            <w:r>
              <w:t>Can take between an hour to a full day</w:t>
            </w:r>
          </w:p>
        </w:tc>
        <w:tc>
          <w:tcPr>
            <w:tcW w:w="2741" w:type="dxa"/>
            <w:vMerge/>
          </w:tcPr>
          <w:p w14:paraId="260AD50A" w14:textId="77777777" w:rsidR="0094275F" w:rsidRDefault="0094275F" w:rsidP="002711C2">
            <w:pPr>
              <w:pStyle w:val="DJCSbody"/>
              <w:ind w:left="0"/>
              <w:jc w:val="center"/>
            </w:pPr>
          </w:p>
        </w:tc>
      </w:tr>
    </w:tbl>
    <w:p w14:paraId="255C6B05" w14:textId="77777777" w:rsidR="006729EA" w:rsidRDefault="006729EA" w:rsidP="009B1917">
      <w:pPr>
        <w:pStyle w:val="DJCSbody"/>
      </w:pPr>
    </w:p>
    <w:p w14:paraId="00E0086B" w14:textId="472ABB74" w:rsidR="00384EB5" w:rsidRDefault="002E4144" w:rsidP="00122F80">
      <w:pPr>
        <w:pStyle w:val="DJCSbody"/>
      </w:pPr>
      <w:r>
        <w:t>Char</w:t>
      </w:r>
      <w:r w:rsidR="00CE20AD">
        <w:t>g</w:t>
      </w:r>
      <w:r>
        <w:t xml:space="preserve">ing for </w:t>
      </w:r>
      <w:r w:rsidR="008E7840">
        <w:t>compulsory</w:t>
      </w:r>
      <w:r>
        <w:t xml:space="preserve"> conferencing allows </w:t>
      </w:r>
      <w:r w:rsidR="00F43F9F">
        <w:t xml:space="preserve">fees to better reflect </w:t>
      </w:r>
      <w:r w:rsidR="00F54C51">
        <w:t xml:space="preserve">the underlying cost of providing </w:t>
      </w:r>
      <w:r w:rsidR="00570BBA">
        <w:t xml:space="preserve">this </w:t>
      </w:r>
      <w:r w:rsidR="003A3FB3">
        <w:t>activity</w:t>
      </w:r>
      <w:r w:rsidR="00FB4A02">
        <w:t xml:space="preserve"> </w:t>
      </w:r>
      <w:r w:rsidR="00570BBA">
        <w:t>requiring</w:t>
      </w:r>
      <w:r w:rsidR="00FB4A02">
        <w:t xml:space="preserve"> specialist </w:t>
      </w:r>
      <w:r w:rsidR="006E5527">
        <w:t>Member</w:t>
      </w:r>
      <w:r w:rsidR="00FB4A02">
        <w:t xml:space="preserve"> expertise</w:t>
      </w:r>
      <w:r w:rsidR="003A3FB3">
        <w:t xml:space="preserve">. </w:t>
      </w:r>
      <w:r w:rsidR="00A86D2F">
        <w:t>Compulsory</w:t>
      </w:r>
      <w:r w:rsidR="003A3FB3">
        <w:t xml:space="preserve"> conferencing</w:t>
      </w:r>
      <w:r w:rsidR="00A86D2F">
        <w:t xml:space="preserve"> </w:t>
      </w:r>
      <w:r w:rsidR="008478FB">
        <w:t xml:space="preserve">may be required </w:t>
      </w:r>
      <w:r w:rsidR="002264F6">
        <w:t xml:space="preserve">by the </w:t>
      </w:r>
      <w:r w:rsidR="008A48E3">
        <w:t>P</w:t>
      </w:r>
      <w:r w:rsidR="002264F6">
        <w:t xml:space="preserve">rincipal </w:t>
      </w:r>
      <w:r w:rsidR="008A48E3">
        <w:t>R</w:t>
      </w:r>
      <w:r w:rsidR="002264F6">
        <w:t>egistrar</w:t>
      </w:r>
      <w:r w:rsidR="00570BBA">
        <w:t>,</w:t>
      </w:r>
      <w:r w:rsidR="00610EB0">
        <w:t xml:space="preserve"> </w:t>
      </w:r>
      <w:r w:rsidR="00FB4A02">
        <w:t>but in practice</w:t>
      </w:r>
      <w:r w:rsidR="00570BBA">
        <w:t>,</w:t>
      </w:r>
      <w:r w:rsidR="00FB4A02">
        <w:t xml:space="preserve"> most conferences are ordered by </w:t>
      </w:r>
      <w:r w:rsidR="006E5527">
        <w:t>Member</w:t>
      </w:r>
      <w:r w:rsidR="00FB4A02">
        <w:t xml:space="preserve">s </w:t>
      </w:r>
      <w:r w:rsidR="00610EB0">
        <w:t xml:space="preserve">and can be </w:t>
      </w:r>
      <w:r w:rsidR="006D0BD2">
        <w:t>conducted</w:t>
      </w:r>
      <w:r w:rsidR="00610EB0">
        <w:t xml:space="preserve"> by a </w:t>
      </w:r>
      <w:r w:rsidR="006E5527">
        <w:t>Member</w:t>
      </w:r>
      <w:r w:rsidR="00610EB0">
        <w:t xml:space="preserve"> of the Tribunal, </w:t>
      </w:r>
      <w:r w:rsidR="009B29F2">
        <w:t>Principal</w:t>
      </w:r>
      <w:r w:rsidR="00610EB0" w:rsidDel="009B29F2">
        <w:t xml:space="preserve"> </w:t>
      </w:r>
      <w:r w:rsidR="009B29F2">
        <w:t>Registrar</w:t>
      </w:r>
      <w:r w:rsidR="00610EB0">
        <w:t xml:space="preserve"> or another person nominated by VCAT</w:t>
      </w:r>
      <w:r w:rsidR="00BE356A">
        <w:t xml:space="preserve">. </w:t>
      </w:r>
      <w:r w:rsidR="00CA1CA5">
        <w:t>With a move across VCAT to</w:t>
      </w:r>
      <w:r w:rsidR="007B2CD0">
        <w:t>wards</w:t>
      </w:r>
      <w:r w:rsidR="00CA1CA5">
        <w:t xml:space="preserve"> early resolution</w:t>
      </w:r>
      <w:r w:rsidR="008B72EE">
        <w:t xml:space="preserve"> </w:t>
      </w:r>
      <w:r w:rsidR="00CA1CA5">
        <w:t xml:space="preserve">there is an increasing reliance on </w:t>
      </w:r>
      <w:r w:rsidR="005A62BF">
        <w:t xml:space="preserve">the multiple alternative forms of </w:t>
      </w:r>
      <w:r w:rsidR="00CA1CA5">
        <w:t>dispute resolution</w:t>
      </w:r>
      <w:r w:rsidR="005A62BF">
        <w:t xml:space="preserve"> </w:t>
      </w:r>
      <w:r w:rsidR="00F72923" w:rsidRPr="00F72923">
        <w:t>(</w:t>
      </w:r>
      <w:r w:rsidR="00F72923">
        <w:t xml:space="preserve">known as </w:t>
      </w:r>
      <w:r w:rsidR="00F72923" w:rsidRPr="00F72923">
        <w:t>ADR</w:t>
      </w:r>
      <w:r w:rsidR="00F72923">
        <w:t xml:space="preserve"> activities</w:t>
      </w:r>
      <w:r w:rsidR="00F72923" w:rsidRPr="00F72923">
        <w:t xml:space="preserve">) </w:t>
      </w:r>
      <w:r w:rsidR="005A62BF">
        <w:t xml:space="preserve"> </w:t>
      </w:r>
      <w:r w:rsidR="008B72EE">
        <w:t>approaches</w:t>
      </w:r>
      <w:r w:rsidR="00935308">
        <w:t xml:space="preserve"> rather than a hearing</w:t>
      </w:r>
      <w:r w:rsidR="00122F80">
        <w:t xml:space="preserve">. Relying on a fixed application fee does not </w:t>
      </w:r>
      <w:r w:rsidR="00384EB5">
        <w:t xml:space="preserve">cover </w:t>
      </w:r>
      <w:r w:rsidR="009B29F2">
        <w:t>the cost of providing such services</w:t>
      </w:r>
      <w:r w:rsidR="00892550">
        <w:t>,</w:t>
      </w:r>
      <w:r w:rsidR="00384EB5">
        <w:t xml:space="preserve"> </w:t>
      </w:r>
      <w:r w:rsidR="00892550">
        <w:t xml:space="preserve">so </w:t>
      </w:r>
      <w:r w:rsidR="00384EB5">
        <w:t>additional cost recovery is required.</w:t>
      </w:r>
      <w:r w:rsidR="00A13685">
        <w:t xml:space="preserve"> The imposition of a fee for compulsory conferences may also assist VCAT by reducing the number of </w:t>
      </w:r>
      <w:r w:rsidR="00886D16">
        <w:t xml:space="preserve">compulsory conferences that are cancelled late and </w:t>
      </w:r>
      <w:r w:rsidR="00A803DB">
        <w:t>cannot be backfilled due to the late notification</w:t>
      </w:r>
      <w:r w:rsidR="00FE29A6" w:rsidRPr="00E8001E">
        <w:t>.</w:t>
      </w:r>
    </w:p>
    <w:p w14:paraId="2FD6F394" w14:textId="4D6636BE" w:rsidR="00031854" w:rsidRDefault="00031854" w:rsidP="00122F80">
      <w:pPr>
        <w:pStyle w:val="DJCSbody"/>
      </w:pPr>
      <w:r>
        <w:t>Charging for mediations has a different impact to compulsory conferences. Mediations</w:t>
      </w:r>
      <w:r w:rsidR="005A01F6">
        <w:t>,</w:t>
      </w:r>
      <w:r>
        <w:t xml:space="preserve"> unlike compulsory conferences</w:t>
      </w:r>
      <w:r w:rsidR="00240036" w:rsidRPr="00E8001E">
        <w:t>,</w:t>
      </w:r>
      <w:r>
        <w:t xml:space="preserve"> are not </w:t>
      </w:r>
      <w:r w:rsidR="00291DAE" w:rsidRPr="003036D1">
        <w:t>always</w:t>
      </w:r>
      <w:r w:rsidRPr="00E8001E">
        <w:t xml:space="preserve"> </w:t>
      </w:r>
      <w:r w:rsidR="00240036" w:rsidRPr="00E8001E">
        <w:t>conducted</w:t>
      </w:r>
      <w:r>
        <w:t xml:space="preserve"> at the direction of VCAT</w:t>
      </w:r>
      <w:r w:rsidR="000E39C4">
        <w:t>.</w:t>
      </w:r>
      <w:r w:rsidR="005B6273">
        <w:t xml:space="preserve"> </w:t>
      </w:r>
      <w:r w:rsidR="000A0376" w:rsidRPr="00E8001E">
        <w:t>Parties may arrange a mediation outside of VCAT’s process at their own cost. When</w:t>
      </w:r>
      <w:r w:rsidR="000A0376">
        <w:t xml:space="preserve"> a mediation is direct</w:t>
      </w:r>
      <w:r w:rsidR="00291DAE">
        <w:t>ed</w:t>
      </w:r>
      <w:r w:rsidR="000A0376">
        <w:t xml:space="preserve"> by VCAT, a mediator </w:t>
      </w:r>
      <w:r w:rsidR="00477105">
        <w:t>must be provided</w:t>
      </w:r>
      <w:r w:rsidR="000A0376">
        <w:t xml:space="preserve"> to facilitate the process. </w:t>
      </w:r>
      <w:r w:rsidR="002328A5">
        <w:t>As parties can decide to enter mediation</w:t>
      </w:r>
      <w:r w:rsidR="00793940">
        <w:t xml:space="preserve"> without the direction of VCAT</w:t>
      </w:r>
      <w:r w:rsidR="00831A8D">
        <w:t xml:space="preserve">, the fee for </w:t>
      </w:r>
      <w:r w:rsidR="003E000B">
        <w:t xml:space="preserve">mediations </w:t>
      </w:r>
      <w:r w:rsidR="0056007F">
        <w:t>is</w:t>
      </w:r>
      <w:r w:rsidR="003E000B">
        <w:t xml:space="preserve"> set at a lower fee level than </w:t>
      </w:r>
      <w:r w:rsidR="00CA14AF">
        <w:t>compulsory conferencing and hearings</w:t>
      </w:r>
      <w:r w:rsidR="0090478D">
        <w:t xml:space="preserve"> to encourage the usage of mediations</w:t>
      </w:r>
      <w:r w:rsidR="000A0376">
        <w:t>.</w:t>
      </w:r>
      <w:r w:rsidR="00F76933">
        <w:t xml:space="preserve"> The fee is</w:t>
      </w:r>
      <w:r w:rsidR="00A0055A">
        <w:t xml:space="preserve"> also</w:t>
      </w:r>
      <w:r w:rsidR="00F76933">
        <w:t xml:space="preserve"> lower than compulsory conferences as mediations do not </w:t>
      </w:r>
      <w:r w:rsidR="00AD26D5">
        <w:t>require</w:t>
      </w:r>
      <w:r w:rsidR="00532AAF">
        <w:t xml:space="preserve"> Members </w:t>
      </w:r>
      <w:r w:rsidR="00CE46E2">
        <w:t>to run the</w:t>
      </w:r>
      <w:r w:rsidR="00AD26D5">
        <w:t xml:space="preserve"> sessions and can </w:t>
      </w:r>
      <w:r w:rsidR="00A0055A">
        <w:t>with</w:t>
      </w:r>
      <w:r w:rsidR="00AD26D5">
        <w:t xml:space="preserve"> </w:t>
      </w:r>
      <w:r w:rsidR="000F0131">
        <w:t xml:space="preserve">lower </w:t>
      </w:r>
      <w:r w:rsidR="00A0055A">
        <w:t>resource costs</w:t>
      </w:r>
      <w:r w:rsidR="00D02385">
        <w:t>.</w:t>
      </w:r>
    </w:p>
    <w:p w14:paraId="0248D854" w14:textId="0853BE68" w:rsidR="00984DD1" w:rsidRDefault="00984DD1" w:rsidP="00984DD1">
      <w:pPr>
        <w:pStyle w:val="DJCSbody"/>
      </w:pPr>
      <w:r>
        <w:t xml:space="preserve">There should be separate fees for mediations and compulsory conferences because both forums </w:t>
      </w:r>
      <w:r w:rsidR="007A53AB">
        <w:t>can be</w:t>
      </w:r>
      <w:r>
        <w:t xml:space="preserve"> utilised in a proceeding</w:t>
      </w:r>
      <w:r w:rsidR="00740E96">
        <w:t>. The option of either or both</w:t>
      </w:r>
      <w:r>
        <w:t xml:space="preserve"> support</w:t>
      </w:r>
      <w:r w:rsidR="00740E96">
        <w:t>s</w:t>
      </w:r>
      <w:r>
        <w:t xml:space="preserve"> self-determination by the parties and a more cost-effective form of dispute resolution </w:t>
      </w:r>
      <w:r w:rsidR="0032723F">
        <w:t>compared to</w:t>
      </w:r>
      <w:r>
        <w:t xml:space="preserve"> a hearing. In fact, multiple mediations or compulsory conferences are often required in the same proceeding because the parties ask for time and space during negotiations. </w:t>
      </w:r>
      <w:r w:rsidR="0018127B">
        <w:t>To preserve access to justice</w:t>
      </w:r>
      <w:r w:rsidR="009D1299">
        <w:t xml:space="preserve"> for some matters</w:t>
      </w:r>
      <w:r w:rsidR="001875B4">
        <w:t xml:space="preserve">, </w:t>
      </w:r>
      <w:r w:rsidR="009D1299">
        <w:t>where a commencement fee</w:t>
      </w:r>
      <w:r w:rsidR="009D674A">
        <w:t xml:space="preserve"> is not required to be paid</w:t>
      </w:r>
      <w:r w:rsidR="0074762D">
        <w:t xml:space="preserve"> (i.e. matters where a fee waiver is applicable)</w:t>
      </w:r>
      <w:r w:rsidR="00F277B8">
        <w:t>, no fee is</w:t>
      </w:r>
      <w:r w:rsidR="006C6248">
        <w:t xml:space="preserve"> then</w:t>
      </w:r>
      <w:r w:rsidR="00F277B8">
        <w:t xml:space="preserve"> required for c</w:t>
      </w:r>
      <w:r w:rsidR="006C5012">
        <w:t>ompulsory conferences or mediations.</w:t>
      </w:r>
    </w:p>
    <w:p w14:paraId="1185E215" w14:textId="618C778C" w:rsidR="00C442AF" w:rsidRPr="00C442AF" w:rsidRDefault="00304CA0" w:rsidP="00C442AF">
      <w:pPr>
        <w:pStyle w:val="Heading4"/>
      </w:pPr>
      <w:r>
        <w:t xml:space="preserve">Directions </w:t>
      </w:r>
      <w:r w:rsidR="00253D42">
        <w:t>h</w:t>
      </w:r>
      <w:r>
        <w:t xml:space="preserve">earings and </w:t>
      </w:r>
      <w:r w:rsidR="00253D42">
        <w:t>p</w:t>
      </w:r>
      <w:r>
        <w:t xml:space="preserve">ractice </w:t>
      </w:r>
      <w:r w:rsidR="00253D42">
        <w:t>d</w:t>
      </w:r>
      <w:r>
        <w:t xml:space="preserve">ay </w:t>
      </w:r>
      <w:r w:rsidR="00253D42">
        <w:t>h</w:t>
      </w:r>
      <w:r>
        <w:t>earings</w:t>
      </w:r>
    </w:p>
    <w:p w14:paraId="2A582AD3" w14:textId="64D31BAF" w:rsidR="00C442AF" w:rsidRDefault="00304CA0" w:rsidP="00984DD1">
      <w:pPr>
        <w:pStyle w:val="DJCSbody"/>
      </w:pPr>
      <w:r>
        <w:t xml:space="preserve">The current regulations do </w:t>
      </w:r>
      <w:r w:rsidR="00F5524A">
        <w:t xml:space="preserve">not allow for </w:t>
      </w:r>
      <w:r w:rsidR="00F53410">
        <w:t xml:space="preserve">fees to be charged for directions hearings and practice day hearings. </w:t>
      </w:r>
      <w:r w:rsidR="00F158BD">
        <w:t>This is despite almost 5,000</w:t>
      </w:r>
      <w:r w:rsidR="00F138A4">
        <w:t xml:space="preserve"> of the</w:t>
      </w:r>
      <w:r w:rsidR="00E54646">
        <w:t>se</w:t>
      </w:r>
      <w:r w:rsidR="00F138A4">
        <w:t xml:space="preserve"> hearings being scheduled across VCAT in </w:t>
      </w:r>
      <w:r w:rsidR="00F138A4">
        <w:lastRenderedPageBreak/>
        <w:t>2024-25</w:t>
      </w:r>
      <w:r w:rsidR="0095127C">
        <w:t>.</w:t>
      </w:r>
      <w:r w:rsidR="00466C9A">
        <w:t xml:space="preserve"> These hearings all nee</w:t>
      </w:r>
      <w:r w:rsidR="006C4FE7">
        <w:t xml:space="preserve">d to be attended by a VCAT </w:t>
      </w:r>
      <w:r w:rsidR="006E5527">
        <w:t>Member</w:t>
      </w:r>
      <w:r w:rsidR="0073780C">
        <w:t xml:space="preserve"> </w:t>
      </w:r>
      <w:r w:rsidR="00E54646">
        <w:t xml:space="preserve">and </w:t>
      </w:r>
      <w:r w:rsidR="0073780C">
        <w:t xml:space="preserve">can </w:t>
      </w:r>
      <w:r w:rsidR="00523A9F">
        <w:t>be at the direction of VCAT or users can also apply for the hearings.</w:t>
      </w:r>
    </w:p>
    <w:p w14:paraId="0329E333" w14:textId="16CB828B" w:rsidR="005A6D89" w:rsidRDefault="00E84E25" w:rsidP="00984DD1">
      <w:pPr>
        <w:pStyle w:val="DJCSbody"/>
      </w:pPr>
      <w:r>
        <w:t>Practice day hearings only occur in the Planning and Environment Division</w:t>
      </w:r>
      <w:r w:rsidR="00A97ED1">
        <w:t>, whereas d</w:t>
      </w:r>
      <w:r>
        <w:t xml:space="preserve">irections </w:t>
      </w:r>
      <w:r w:rsidR="00E54646">
        <w:t xml:space="preserve">hearings </w:t>
      </w:r>
      <w:r>
        <w:t xml:space="preserve">can </w:t>
      </w:r>
      <w:r w:rsidR="00F80C06">
        <w:t>be scheduled</w:t>
      </w:r>
      <w:r>
        <w:t xml:space="preserve"> across the VCAT lists</w:t>
      </w:r>
      <w:r w:rsidR="00F90649">
        <w:t>.</w:t>
      </w:r>
      <w:r w:rsidR="00F80C06">
        <w:t xml:space="preserve"> Both </w:t>
      </w:r>
      <w:r w:rsidR="00FF2AAE">
        <w:t>hearing types</w:t>
      </w:r>
      <w:r w:rsidR="00B7405F">
        <w:t xml:space="preserve"> </w:t>
      </w:r>
      <w:r w:rsidR="00A043EC">
        <w:t>are important for c</w:t>
      </w:r>
      <w:r w:rsidR="00A2112D">
        <w:t>onsidering and settl</w:t>
      </w:r>
      <w:r w:rsidR="00FF2AAE">
        <w:t>ing</w:t>
      </w:r>
      <w:r w:rsidR="00A2112D" w:rsidDel="00E54646">
        <w:t xml:space="preserve"> </w:t>
      </w:r>
      <w:r w:rsidR="009A7570">
        <w:t xml:space="preserve">parts of the dispute prior to a </w:t>
      </w:r>
      <w:r w:rsidR="00EB3610">
        <w:t xml:space="preserve">final </w:t>
      </w:r>
      <w:r w:rsidR="009A7570">
        <w:t>hearin</w:t>
      </w:r>
      <w:r w:rsidR="00D220C7">
        <w:t xml:space="preserve">g. </w:t>
      </w:r>
      <w:r w:rsidR="006F3F2B">
        <w:t>The</w:t>
      </w:r>
      <w:r w:rsidR="007C4B77">
        <w:t>y</w:t>
      </w:r>
      <w:r w:rsidR="006F3F2B">
        <w:t xml:space="preserve"> </w:t>
      </w:r>
      <w:r w:rsidR="006F3F2B" w:rsidDel="00E54646">
        <w:t xml:space="preserve">can </w:t>
      </w:r>
      <w:r w:rsidR="006F3F2B">
        <w:t>help to narrow the scope</w:t>
      </w:r>
      <w:r w:rsidR="00DA0E66">
        <w:t xml:space="preserve"> of the dispute and can also result in orders </w:t>
      </w:r>
      <w:r w:rsidR="00F06299">
        <w:t xml:space="preserve">being made, </w:t>
      </w:r>
      <w:r w:rsidR="00DA0E66">
        <w:t>or the matter being resolved</w:t>
      </w:r>
      <w:r w:rsidR="00F06299">
        <w:t xml:space="preserve"> entirely without the need for a final hearing.</w:t>
      </w:r>
      <w:r w:rsidR="0079649A">
        <w:t xml:space="preserve"> This can help to avoid</w:t>
      </w:r>
      <w:r w:rsidR="00736475">
        <w:t xml:space="preserve"> </w:t>
      </w:r>
      <w:r w:rsidR="00A97ED1">
        <w:t xml:space="preserve">VCAT </w:t>
      </w:r>
      <w:r w:rsidR="00A36FBB">
        <w:t>user</w:t>
      </w:r>
      <w:r w:rsidR="00736475">
        <w:t>s</w:t>
      </w:r>
      <w:r w:rsidR="00A36FBB">
        <w:t xml:space="preserve"> having to pay </w:t>
      </w:r>
      <w:r w:rsidR="009C46E7">
        <w:t xml:space="preserve">significant hearing </w:t>
      </w:r>
      <w:r w:rsidR="00A36FBB">
        <w:t>fees</w:t>
      </w:r>
      <w:r w:rsidR="000C3A14">
        <w:t xml:space="preserve"> </w:t>
      </w:r>
      <w:r w:rsidR="00A36FBB">
        <w:t>but</w:t>
      </w:r>
      <w:r w:rsidR="000C3A14">
        <w:t>,</w:t>
      </w:r>
      <w:r w:rsidR="00A36FBB">
        <w:t xml:space="preserve"> l</w:t>
      </w:r>
      <w:r w:rsidR="00F06299">
        <w:t>ike</w:t>
      </w:r>
      <w:r w:rsidR="003B5175">
        <w:t xml:space="preserve"> </w:t>
      </w:r>
      <w:r w:rsidR="00A97ED1">
        <w:t xml:space="preserve">with </w:t>
      </w:r>
      <w:r w:rsidR="003B5175">
        <w:t>compulsory conferences and mediations</w:t>
      </w:r>
      <w:r w:rsidR="00B3399A">
        <w:t>,</w:t>
      </w:r>
      <w:r w:rsidR="00BE16E5">
        <w:t xml:space="preserve"> under the current Regulation</w:t>
      </w:r>
      <w:r w:rsidR="00A97ED1">
        <w:t>s</w:t>
      </w:r>
      <w:r w:rsidR="00BE16E5">
        <w:t xml:space="preserve"> it</w:t>
      </w:r>
      <w:r w:rsidR="00B3399A">
        <w:t xml:space="preserve"> </w:t>
      </w:r>
      <w:r w:rsidR="000C3A14">
        <w:t xml:space="preserve">is not </w:t>
      </w:r>
      <w:r w:rsidR="00B3399A">
        <w:t>possible for VCAT to recover the investment in time</w:t>
      </w:r>
      <w:r w:rsidR="005E7E2A">
        <w:t xml:space="preserve"> required to consider these disputes.</w:t>
      </w:r>
      <w:r w:rsidR="000C3A14" w:rsidRPr="000C3A14">
        <w:t xml:space="preserve"> </w:t>
      </w:r>
    </w:p>
    <w:p w14:paraId="454A9119" w14:textId="185BBFE0" w:rsidR="00EB3610" w:rsidRDefault="00EB3610" w:rsidP="00984DD1">
      <w:pPr>
        <w:pStyle w:val="DJCSbody"/>
      </w:pPr>
      <w:r>
        <w:t xml:space="preserve">These hearings form an intensive and important part of the case management process that VCAT </w:t>
      </w:r>
      <w:r w:rsidR="006E5527">
        <w:t>Member</w:t>
      </w:r>
      <w:r>
        <w:t xml:space="preserve">s undertake </w:t>
      </w:r>
      <w:r w:rsidR="0038257E">
        <w:t>to</w:t>
      </w:r>
      <w:r>
        <w:t xml:space="preserve"> resolve a dispute. </w:t>
      </w:r>
      <w:r w:rsidR="003776DA">
        <w:t>To</w:t>
      </w:r>
      <w:r w:rsidR="00893DB2">
        <w:t xml:space="preserve"> better reflect the effort for this activity, </w:t>
      </w:r>
      <w:r w:rsidR="004758B5">
        <w:t xml:space="preserve">directions hearings and practice day hearings are to be charged at the same rate </w:t>
      </w:r>
      <w:r w:rsidR="00C77AE6">
        <w:t>as regular hearings.</w:t>
      </w:r>
      <w:r w:rsidR="00F277B8">
        <w:t xml:space="preserve"> </w:t>
      </w:r>
      <w:r w:rsidR="003776DA">
        <w:t>Like</w:t>
      </w:r>
      <w:r w:rsidR="00F277B8">
        <w:t xml:space="preserve"> </w:t>
      </w:r>
      <w:r w:rsidR="005F6DD4">
        <w:t>with</w:t>
      </w:r>
      <w:r w:rsidR="00F277B8">
        <w:t xml:space="preserve"> </w:t>
      </w:r>
      <w:r w:rsidR="00501D49">
        <w:t>compulsory conferences and mediations, where a fee is not payable for commencement</w:t>
      </w:r>
      <w:r w:rsidR="003776DA">
        <w:t>,</w:t>
      </w:r>
      <w:r w:rsidR="00501D49">
        <w:t xml:space="preserve"> no fee will be payable for directions hearings </w:t>
      </w:r>
      <w:r w:rsidR="005F6DD4">
        <w:t>and</w:t>
      </w:r>
      <w:r w:rsidR="00501D49">
        <w:t xml:space="preserve"> practice day hearings.</w:t>
      </w:r>
    </w:p>
    <w:p w14:paraId="4549EB3A" w14:textId="77777777" w:rsidR="00C442AF" w:rsidRDefault="00C442AF" w:rsidP="00C442AF">
      <w:pPr>
        <w:pStyle w:val="Heading4"/>
      </w:pPr>
      <w:r>
        <w:t>Injunctions and Stays</w:t>
      </w:r>
    </w:p>
    <w:p w14:paraId="7188A362" w14:textId="12DCC2C1" w:rsidR="00C442AF" w:rsidRDefault="002141AC" w:rsidP="00984DD1">
      <w:pPr>
        <w:pStyle w:val="DJCSbody"/>
      </w:pPr>
      <w:r>
        <w:t xml:space="preserve">The </w:t>
      </w:r>
      <w:r w:rsidR="00BC57EB">
        <w:t xml:space="preserve">current </w:t>
      </w:r>
      <w:r w:rsidR="0038257E">
        <w:t>R</w:t>
      </w:r>
      <w:r>
        <w:t>egulations only provide for injunctions that are urgent</w:t>
      </w:r>
      <w:r w:rsidR="00AA792B">
        <w:t xml:space="preserve">. </w:t>
      </w:r>
      <w:r w:rsidR="00116708">
        <w:t xml:space="preserve">Options 2 and 3 broaden </w:t>
      </w:r>
      <w:r w:rsidR="006306C2">
        <w:t>this to include</w:t>
      </w:r>
      <w:r w:rsidR="00916336">
        <w:t xml:space="preserve"> </w:t>
      </w:r>
      <w:r w:rsidR="003270E7">
        <w:t xml:space="preserve">applications for non-urgent </w:t>
      </w:r>
      <w:r w:rsidR="00916336">
        <w:t>injunctions and stays.</w:t>
      </w:r>
      <w:r w:rsidR="003270E7">
        <w:t xml:space="preserve"> Consistent with the </w:t>
      </w:r>
      <w:r w:rsidR="008E5EF7">
        <w:t>R</w:t>
      </w:r>
      <w:r w:rsidR="003270E7">
        <w:t xml:space="preserve">egulations, these will not apply to </w:t>
      </w:r>
      <w:r w:rsidR="00547CE1">
        <w:t>residential tenancy matters.</w:t>
      </w:r>
    </w:p>
    <w:p w14:paraId="495F964C" w14:textId="48514BA7" w:rsidR="00547CE1" w:rsidRDefault="000102BF" w:rsidP="00984DD1">
      <w:pPr>
        <w:pStyle w:val="DJCSbody"/>
      </w:pPr>
      <w:r>
        <w:t xml:space="preserve">Injunctions are applications to VCAT to stop a party </w:t>
      </w:r>
      <w:r w:rsidR="00607E49">
        <w:t>from doing an action</w:t>
      </w:r>
      <w:r w:rsidR="0081532E">
        <w:t xml:space="preserve"> that can cause damage to another party</w:t>
      </w:r>
      <w:r w:rsidR="00B05CDA">
        <w:t xml:space="preserve">; </w:t>
      </w:r>
      <w:r w:rsidR="00607E49">
        <w:t xml:space="preserve">it can be temporary until the matter is resolved or it </w:t>
      </w:r>
      <w:r w:rsidR="002F5BAB">
        <w:t xml:space="preserve">can </w:t>
      </w:r>
      <w:r w:rsidR="00607E49">
        <w:t>be</w:t>
      </w:r>
      <w:r w:rsidR="008507A7">
        <w:t xml:space="preserve"> </w:t>
      </w:r>
      <w:r w:rsidR="008F458E">
        <w:t>a permanent</w:t>
      </w:r>
      <w:r w:rsidR="00DE5780">
        <w:t>.</w:t>
      </w:r>
      <w:r w:rsidR="00423D9C">
        <w:t xml:space="preserve"> Injunctions</w:t>
      </w:r>
      <w:r w:rsidR="00C263A2">
        <w:t xml:space="preserve"> </w:t>
      </w:r>
      <w:r w:rsidR="0055530F">
        <w:t>are important to protect pri</w:t>
      </w:r>
      <w:r w:rsidR="00AF0C8C">
        <w:t xml:space="preserve">vate interests but </w:t>
      </w:r>
      <w:r w:rsidR="00B84CED">
        <w:t xml:space="preserve">require the allocation of VCAT resources </w:t>
      </w:r>
      <w:r w:rsidR="00B05CDA">
        <w:t>to</w:t>
      </w:r>
      <w:r w:rsidR="00B84CED">
        <w:t xml:space="preserve"> consider the matter an</w:t>
      </w:r>
      <w:r w:rsidR="00406C5F">
        <w:t xml:space="preserve">d grant the injunction </w:t>
      </w:r>
      <w:r w:rsidR="00B05CDA">
        <w:t>or</w:t>
      </w:r>
      <w:r w:rsidR="00406C5F">
        <w:t xml:space="preserve"> stay.</w:t>
      </w:r>
      <w:r w:rsidR="00F83B7F">
        <w:t xml:space="preserve"> Injunctions/stays </w:t>
      </w:r>
      <w:r w:rsidR="003C100D">
        <w:t xml:space="preserve">can slow down </w:t>
      </w:r>
      <w:r w:rsidR="00767E26">
        <w:t xml:space="preserve">a </w:t>
      </w:r>
      <w:r w:rsidR="003C100D">
        <w:t>matter as the</w:t>
      </w:r>
      <w:r w:rsidR="00767E26">
        <w:t>y need to be determined</w:t>
      </w:r>
      <w:r w:rsidR="003C100D" w:rsidDel="00767E26">
        <w:t xml:space="preserve"> </w:t>
      </w:r>
      <w:r w:rsidR="003C100D">
        <w:t xml:space="preserve">before </w:t>
      </w:r>
      <w:r w:rsidR="001A27F3">
        <w:t xml:space="preserve">the </w:t>
      </w:r>
      <w:r w:rsidR="003C100D">
        <w:t xml:space="preserve">matter </w:t>
      </w:r>
      <w:r w:rsidR="00767E26">
        <w:t xml:space="preserve">can progress </w:t>
      </w:r>
      <w:r w:rsidR="003C100D" w:rsidDel="00767E26">
        <w:t>f</w:t>
      </w:r>
      <w:r w:rsidR="00DE6BEB" w:rsidDel="00767E26">
        <w:t>urther</w:t>
      </w:r>
      <w:r w:rsidR="00DE6BEB">
        <w:t>.</w:t>
      </w:r>
    </w:p>
    <w:p w14:paraId="605AB0F7" w14:textId="71D01324" w:rsidR="00C442AF" w:rsidRDefault="00DE6BEB" w:rsidP="00E702CB">
      <w:pPr>
        <w:pStyle w:val="DJCSbody"/>
      </w:pPr>
      <w:r>
        <w:t xml:space="preserve">In order to reflect the cost of </w:t>
      </w:r>
      <w:r w:rsidR="006D1E0C">
        <w:t>injunctions to VCAT</w:t>
      </w:r>
      <w:r w:rsidR="00AA4428">
        <w:t xml:space="preserve"> and</w:t>
      </w:r>
      <w:r w:rsidR="006D1E0C">
        <w:t xml:space="preserve"> the private benefits to parties </w:t>
      </w:r>
      <w:r w:rsidR="00FA3684">
        <w:t>requesting the injunction</w:t>
      </w:r>
      <w:r w:rsidR="006C77B5">
        <w:t>, fees have been included under the new fee structure that reflect this service and benefit.</w:t>
      </w:r>
    </w:p>
    <w:p w14:paraId="280DACF7" w14:textId="1179989A" w:rsidR="009B1917" w:rsidRDefault="009B1917" w:rsidP="0025635A">
      <w:pPr>
        <w:pStyle w:val="Heading3"/>
      </w:pPr>
      <w:bookmarkStart w:id="95" w:name="_Toc216179708"/>
      <w:r>
        <w:t>Reorganising and streamlining fees</w:t>
      </w:r>
      <w:bookmarkEnd w:id="95"/>
    </w:p>
    <w:p w14:paraId="34BB8157" w14:textId="53B9F795" w:rsidR="00384EB5" w:rsidRDefault="00384EB5" w:rsidP="0046705C">
      <w:pPr>
        <w:pStyle w:val="DJCSbody"/>
        <w:ind w:left="720"/>
      </w:pPr>
      <w:r>
        <w:t xml:space="preserve">There are a range of other </w:t>
      </w:r>
      <w:r w:rsidR="007749B0">
        <w:t>minor</w:t>
      </w:r>
      <w:r>
        <w:t xml:space="preserve"> measures that are included in the new fee structure. Many of these are necessities that reflect the change in VCAT structure since 2016 </w:t>
      </w:r>
      <w:r w:rsidR="00213DB5">
        <w:t>or reflect changes to practice.</w:t>
      </w:r>
    </w:p>
    <w:p w14:paraId="49BA746E" w14:textId="1F423A3D" w:rsidR="006264CC" w:rsidRDefault="006264CC" w:rsidP="003C4FE7">
      <w:pPr>
        <w:pStyle w:val="DJCSbody"/>
        <w:numPr>
          <w:ilvl w:val="0"/>
          <w:numId w:val="27"/>
        </w:numPr>
      </w:pPr>
      <w:r>
        <w:t>A</w:t>
      </w:r>
      <w:r w:rsidR="00EA366B">
        <w:t xml:space="preserve"> </w:t>
      </w:r>
      <w:r>
        <w:t>fee waiver has been added for a review of</w:t>
      </w:r>
      <w:r w:rsidR="00E4069A">
        <w:t xml:space="preserve"> applications to the </w:t>
      </w:r>
      <w:r w:rsidR="0036087F">
        <w:t>FAS</w:t>
      </w:r>
      <w:r w:rsidR="00E4069A">
        <w:t xml:space="preserve"> by victims of crime.</w:t>
      </w:r>
      <w:r w:rsidR="00EF41DC">
        <w:t xml:space="preserve"> This allows victims of crime to </w:t>
      </w:r>
      <w:r w:rsidR="002C0CAB">
        <w:t xml:space="preserve">apply to VCAT for a </w:t>
      </w:r>
      <w:r w:rsidR="00645D23">
        <w:t xml:space="preserve">fee free </w:t>
      </w:r>
      <w:r w:rsidR="002C0CAB">
        <w:t xml:space="preserve">review of the decision under the </w:t>
      </w:r>
      <w:r w:rsidR="0036087F">
        <w:t>FAS</w:t>
      </w:r>
      <w:r w:rsidR="00926B34">
        <w:t xml:space="preserve">. </w:t>
      </w:r>
    </w:p>
    <w:p w14:paraId="7287CDCC" w14:textId="3DB7CFC2" w:rsidR="00E4069A" w:rsidRDefault="004235C5" w:rsidP="003C4FE7">
      <w:pPr>
        <w:pStyle w:val="DJCSbody"/>
        <w:numPr>
          <w:ilvl w:val="0"/>
          <w:numId w:val="27"/>
        </w:numPr>
      </w:pPr>
      <w:r>
        <w:t>Legislative references have been updated to reflec</w:t>
      </w:r>
      <w:r w:rsidR="006D6A25">
        <w:t xml:space="preserve">t changes in legislation since the regulations </w:t>
      </w:r>
      <w:r w:rsidR="00260B74">
        <w:t>were last updated.</w:t>
      </w:r>
    </w:p>
    <w:p w14:paraId="6FF0E1B3" w14:textId="1270DE8C" w:rsidR="00121CB6" w:rsidRDefault="00121CB6" w:rsidP="003C4FE7">
      <w:pPr>
        <w:pStyle w:val="DJCSbody"/>
        <w:numPr>
          <w:ilvl w:val="0"/>
          <w:numId w:val="27"/>
        </w:numPr>
      </w:pPr>
      <w:r>
        <w:t xml:space="preserve">The transfer fee for applications </w:t>
      </w:r>
      <w:r w:rsidR="00B23A9C">
        <w:t>from other jurisdictions has been removed.</w:t>
      </w:r>
      <w:r w:rsidR="00C55140">
        <w:t xml:space="preserve"> </w:t>
      </w:r>
      <w:r w:rsidR="006808D7">
        <w:t xml:space="preserve">This fee was only paid </w:t>
      </w:r>
      <w:r w:rsidR="008D56F5" w:rsidRPr="00703834">
        <w:t>5</w:t>
      </w:r>
      <w:r w:rsidR="006808D7">
        <w:t xml:space="preserve"> times in 2024-25. Instead of a transfer fee, a </w:t>
      </w:r>
      <w:r w:rsidR="005F49C5">
        <w:t>commencement fee</w:t>
      </w:r>
      <w:r w:rsidR="006808D7">
        <w:t xml:space="preserve"> will continue to be paid </w:t>
      </w:r>
      <w:r w:rsidR="00A24F67">
        <w:t>for those applications from other jurisdictions.</w:t>
      </w:r>
    </w:p>
    <w:p w14:paraId="1998013B" w14:textId="0ED58915" w:rsidR="00213DB5" w:rsidRPr="00384EB5" w:rsidRDefault="00AF2206" w:rsidP="003C4FE7">
      <w:pPr>
        <w:pStyle w:val="DJCSbody"/>
        <w:numPr>
          <w:ilvl w:val="0"/>
          <w:numId w:val="27"/>
        </w:numPr>
      </w:pPr>
      <w:r>
        <w:t xml:space="preserve">Fees that were outlined outside of the Fee Schedule are being consolidated </w:t>
      </w:r>
      <w:r w:rsidR="00F7738B">
        <w:t xml:space="preserve">in a </w:t>
      </w:r>
      <w:r w:rsidR="006F1E07">
        <w:t>new section of t</w:t>
      </w:r>
      <w:r w:rsidR="00F7738B">
        <w:t xml:space="preserve">he </w:t>
      </w:r>
      <w:r w:rsidR="00065565">
        <w:t xml:space="preserve">Fee </w:t>
      </w:r>
      <w:r w:rsidR="002D2FDC">
        <w:t>Schedule</w:t>
      </w:r>
      <w:r w:rsidR="00F7738B">
        <w:t>.</w:t>
      </w:r>
    </w:p>
    <w:p w14:paraId="1B0D3B14" w14:textId="34EE28E1" w:rsidR="009B0FB3" w:rsidRPr="00C329DD" w:rsidRDefault="00165F08" w:rsidP="003C4FE7">
      <w:pPr>
        <w:pStyle w:val="DJCSbody"/>
        <w:numPr>
          <w:ilvl w:val="0"/>
          <w:numId w:val="27"/>
        </w:numPr>
      </w:pPr>
      <w:r w:rsidRPr="00DE66C2">
        <w:t xml:space="preserve">The </w:t>
      </w:r>
      <w:r w:rsidR="00AF6C82" w:rsidRPr="00DE66C2">
        <w:t>Regul</w:t>
      </w:r>
      <w:r w:rsidR="00E71258" w:rsidRPr="00DE66C2">
        <w:t>ations current</w:t>
      </w:r>
      <w:r w:rsidR="00065565" w:rsidRPr="00DE66C2">
        <w:t>ly</w:t>
      </w:r>
      <w:r w:rsidR="00E71258" w:rsidRPr="00DE66C2">
        <w:t xml:space="preserve"> include a fee cap of 11 fee unit</w:t>
      </w:r>
      <w:r w:rsidR="004D5C95" w:rsidRPr="00DE66C2">
        <w:t xml:space="preserve">s for concession fees. </w:t>
      </w:r>
      <w:r w:rsidR="00C16923" w:rsidRPr="00DE66C2">
        <w:t>This has been remove</w:t>
      </w:r>
      <w:r w:rsidR="007224CF" w:rsidRPr="00DE66C2">
        <w:t xml:space="preserve">d </w:t>
      </w:r>
      <w:r w:rsidR="00825C94" w:rsidRPr="00DE66C2">
        <w:t xml:space="preserve">for consistency </w:t>
      </w:r>
      <w:r w:rsidR="00442FFE" w:rsidRPr="00DE66C2">
        <w:t xml:space="preserve">in </w:t>
      </w:r>
      <w:r w:rsidR="002863E8" w:rsidRPr="00DE66C2">
        <w:t>resetting</w:t>
      </w:r>
      <w:r w:rsidR="00442FFE" w:rsidRPr="00DE66C2">
        <w:t xml:space="preserve"> reducing concession fees to 11% of a corporate fee</w:t>
      </w:r>
      <w:r w:rsidR="00130333" w:rsidRPr="00DE66C2">
        <w:t xml:space="preserve">, and to improve </w:t>
      </w:r>
      <w:r w:rsidR="00D550CE" w:rsidRPr="00DE66C2">
        <w:t xml:space="preserve">the </w:t>
      </w:r>
      <w:r w:rsidR="00130333" w:rsidRPr="00DE66C2">
        <w:t>simplicity of administration.</w:t>
      </w:r>
      <w:r w:rsidR="003A5B20" w:rsidRPr="00DE66C2">
        <w:t xml:space="preserve"> </w:t>
      </w:r>
      <w:r w:rsidR="000A0504" w:rsidRPr="00DE66C2">
        <w:t xml:space="preserve">Based on 2024-25 fee data, </w:t>
      </w:r>
      <w:r w:rsidR="002F0289" w:rsidRPr="00DE66C2">
        <w:t>there are a limited number of concession fee payers affected by a fee cap</w:t>
      </w:r>
      <w:r w:rsidR="00BC6864" w:rsidRPr="00DE66C2">
        <w:t xml:space="preserve">. </w:t>
      </w:r>
      <w:r w:rsidR="00122CF7" w:rsidRPr="00DE66C2">
        <w:t>The fee cap</w:t>
      </w:r>
      <w:r w:rsidR="008B2A3B">
        <w:t xml:space="preserve"> </w:t>
      </w:r>
      <w:r w:rsidR="008B2A3B">
        <w:lastRenderedPageBreak/>
        <w:t xml:space="preserve">would have reduced the </w:t>
      </w:r>
      <w:r w:rsidR="0017726B">
        <w:t>fee cost</w:t>
      </w:r>
      <w:r w:rsidR="00C679C3">
        <w:t xml:space="preserve"> in the </w:t>
      </w:r>
      <w:r w:rsidR="008B2A3B">
        <w:t xml:space="preserve">Proposed </w:t>
      </w:r>
      <w:r w:rsidR="00C679C3">
        <w:t xml:space="preserve">Regulations </w:t>
      </w:r>
      <w:r w:rsidR="0017726B">
        <w:t>for</w:t>
      </w:r>
      <w:r w:rsidR="00C679C3">
        <w:t xml:space="preserve"> more significant </w:t>
      </w:r>
      <w:r w:rsidR="008B2A3B">
        <w:t>value</w:t>
      </w:r>
      <w:r w:rsidR="00927BEA">
        <w:t xml:space="preserve"> claims over $100,000 or </w:t>
      </w:r>
      <w:r w:rsidR="0017726B">
        <w:t xml:space="preserve">disputes </w:t>
      </w:r>
      <w:r w:rsidR="00927BEA">
        <w:t>associated</w:t>
      </w:r>
      <w:r w:rsidR="009A6AFE">
        <w:t xml:space="preserve"> with a development under the </w:t>
      </w:r>
      <w:r w:rsidR="009A6AFE" w:rsidRPr="009A6AFE">
        <w:rPr>
          <w:i/>
          <w:iCs/>
        </w:rPr>
        <w:t>Planning and Environment Act 1987</w:t>
      </w:r>
      <w:r w:rsidR="00CC5853">
        <w:t>.</w:t>
      </w:r>
      <w:r w:rsidR="00BC6864">
        <w:t xml:space="preserve"> </w:t>
      </w:r>
      <w:r w:rsidR="00A0689F">
        <w:t xml:space="preserve">In 2024-25 there were no application fees charged to concession fee payers related to </w:t>
      </w:r>
      <w:r w:rsidR="00CF2864">
        <w:t>developments</w:t>
      </w:r>
      <w:r w:rsidR="00442FFE" w:rsidRPr="00C329DD">
        <w:t>.</w:t>
      </w:r>
    </w:p>
    <w:p w14:paraId="50265D01" w14:textId="605F0A57" w:rsidR="009E57B6" w:rsidRDefault="009E57B6" w:rsidP="009E57B6">
      <w:pPr>
        <w:pStyle w:val="Heading2"/>
      </w:pPr>
      <w:bookmarkStart w:id="96" w:name="_Toc216179709"/>
      <w:r>
        <w:t xml:space="preserve">Option </w:t>
      </w:r>
      <w:r w:rsidR="00BC3325">
        <w:t>3</w:t>
      </w:r>
      <w:r>
        <w:t xml:space="preserve">: </w:t>
      </w:r>
      <w:r w:rsidR="00BC3325">
        <w:t xml:space="preserve">New </w:t>
      </w:r>
      <w:r w:rsidR="00A40128">
        <w:t>f</w:t>
      </w:r>
      <w:r w:rsidR="00BC3325">
        <w:t xml:space="preserve">ee </w:t>
      </w:r>
      <w:r w:rsidR="00A40128">
        <w:t>s</w:t>
      </w:r>
      <w:r w:rsidR="00BC3325">
        <w:t xml:space="preserve">tructure and </w:t>
      </w:r>
      <w:r w:rsidR="00A40128">
        <w:t>i</w:t>
      </w:r>
      <w:r w:rsidR="00BC3325">
        <w:t xml:space="preserve">ncreased </w:t>
      </w:r>
      <w:r w:rsidR="00A40128">
        <w:t>c</w:t>
      </w:r>
      <w:r w:rsidR="00BC3325">
        <w:t xml:space="preserve">ost </w:t>
      </w:r>
      <w:r w:rsidR="00A40128">
        <w:t>r</w:t>
      </w:r>
      <w:r w:rsidR="00BC3325">
        <w:t>ecovery</w:t>
      </w:r>
      <w:bookmarkEnd w:id="96"/>
    </w:p>
    <w:p w14:paraId="6ACAC142" w14:textId="39ECD591" w:rsidR="009E57B6" w:rsidRDefault="00BC4EC6" w:rsidP="0046705C">
      <w:pPr>
        <w:pStyle w:val="DJCSbodyafterbullets"/>
        <w:ind w:left="720"/>
      </w:pPr>
      <w:r>
        <w:t xml:space="preserve">Under this option, </w:t>
      </w:r>
      <w:r w:rsidR="00F755C8">
        <w:t xml:space="preserve">VCAT </w:t>
      </w:r>
      <w:r w:rsidR="00AE25F5">
        <w:t xml:space="preserve">will introduce </w:t>
      </w:r>
      <w:r w:rsidR="000623D7">
        <w:t>the same</w:t>
      </w:r>
      <w:r w:rsidR="00AE25F5">
        <w:t xml:space="preserve"> new fe</w:t>
      </w:r>
      <w:r w:rsidR="000623D7">
        <w:t>e structure as Option 2</w:t>
      </w:r>
      <w:r w:rsidR="00F71ACB">
        <w:t>,</w:t>
      </w:r>
      <w:r w:rsidR="000623D7">
        <w:t xml:space="preserve"> detailed above. Fee</w:t>
      </w:r>
      <w:r w:rsidR="00F755C8" w:rsidDel="006A7EB8">
        <w:t xml:space="preserve"> </w:t>
      </w:r>
      <w:r w:rsidR="006A7EB8">
        <w:t>rates</w:t>
      </w:r>
      <w:r w:rsidR="00F755C8">
        <w:t xml:space="preserve"> will increase</w:t>
      </w:r>
      <w:r w:rsidR="00617E04">
        <w:t xml:space="preserve"> with additional measures to improve access to justice for some users and better reflect </w:t>
      </w:r>
      <w:r w:rsidR="00E33F72">
        <w:t xml:space="preserve">users’ </w:t>
      </w:r>
      <w:r w:rsidR="00617E04">
        <w:t>ability to pay in general. The detail</w:t>
      </w:r>
      <w:r w:rsidR="006946DC">
        <w:t>s</w:t>
      </w:r>
      <w:r w:rsidR="00617E04">
        <w:t xml:space="preserve"> </w:t>
      </w:r>
      <w:r w:rsidR="006946DC">
        <w:t>of</w:t>
      </w:r>
      <w:r w:rsidR="00617E04">
        <w:t xml:space="preserve"> the specific changes </w:t>
      </w:r>
      <w:r w:rsidR="00C308F5">
        <w:t xml:space="preserve">proposed under Option </w:t>
      </w:r>
      <w:r w:rsidR="008E7840">
        <w:t>3</w:t>
      </w:r>
      <w:r w:rsidR="00C308F5">
        <w:t xml:space="preserve"> are outlined in the following sections.</w:t>
      </w:r>
    </w:p>
    <w:p w14:paraId="7F64EF44" w14:textId="546182B7" w:rsidR="009E57B6" w:rsidRDefault="002E39FE" w:rsidP="00FA0CF5">
      <w:pPr>
        <w:pStyle w:val="Heading3"/>
        <w:ind w:left="851"/>
      </w:pPr>
      <w:bookmarkStart w:id="97" w:name="_Toc207716346"/>
      <w:bookmarkStart w:id="98" w:name="_Toc216179710"/>
      <w:bookmarkEnd w:id="97"/>
      <w:r>
        <w:t xml:space="preserve">Increase in </w:t>
      </w:r>
      <w:r w:rsidR="00FC1F61">
        <w:t>c</w:t>
      </w:r>
      <w:r>
        <w:t xml:space="preserve">ost </w:t>
      </w:r>
      <w:r w:rsidR="00FC1F61">
        <w:t>r</w:t>
      </w:r>
      <w:r>
        <w:t>ecovery</w:t>
      </w:r>
      <w:bookmarkEnd w:id="98"/>
    </w:p>
    <w:p w14:paraId="0F1B0CB2" w14:textId="005C8B15" w:rsidR="005C4A4E" w:rsidRPr="005C4A4E" w:rsidRDefault="00CD55A8" w:rsidP="00FA0CF5">
      <w:pPr>
        <w:pStyle w:val="DJCSbody"/>
      </w:pPr>
      <w:r>
        <w:t>Fees across VCAT are increased</w:t>
      </w:r>
      <w:r w:rsidR="00703AA3">
        <w:t xml:space="preserve"> for corporate fee payers to better reflect the underlying cost of service delivery. There have been a range of changes to the underlying service delivery </w:t>
      </w:r>
      <w:r w:rsidR="006130A3">
        <w:t xml:space="preserve">at </w:t>
      </w:r>
      <w:r w:rsidR="00703AA3">
        <w:t>VCAT including the digitisation of services and the reconfiguration of divisions across VCAT</w:t>
      </w:r>
      <w:r w:rsidR="006130A3">
        <w:t>,</w:t>
      </w:r>
      <w:r w:rsidR="00D14138">
        <w:t xml:space="preserve"> as well as the underlying increase in service costs due to an increase in labour</w:t>
      </w:r>
      <w:r w:rsidR="00984DD1">
        <w:t>, operational and propert</w:t>
      </w:r>
      <w:r w:rsidR="00AA26D6">
        <w:t>y</w:t>
      </w:r>
      <w:r w:rsidR="00D14138">
        <w:t xml:space="preserve"> costs</w:t>
      </w:r>
      <w:r w:rsidR="00AA26D6">
        <w:t xml:space="preserve"> (including operating at a range of community-based venues)</w:t>
      </w:r>
      <w:r w:rsidR="00703AA3">
        <w:t xml:space="preserve">. These changes since 2016 </w:t>
      </w:r>
      <w:r w:rsidR="00D14138">
        <w:t xml:space="preserve">have resulted in an increase </w:t>
      </w:r>
      <w:r w:rsidR="001F7D95">
        <w:t>in</w:t>
      </w:r>
      <w:r w:rsidR="00D14138">
        <w:t xml:space="preserve"> the cost of service delivery</w:t>
      </w:r>
      <w:r w:rsidR="003A5A61">
        <w:t xml:space="preserve"> which is reflected in the fee schedule for Option 2</w:t>
      </w:r>
      <w:r w:rsidR="00D14138">
        <w:t>.</w:t>
      </w:r>
      <w:r w:rsidR="008344E6">
        <w:t xml:space="preserve"> Concession and Standard fees also increase but by a reduced amount</w:t>
      </w:r>
      <w:r w:rsidR="000448FC">
        <w:t>,</w:t>
      </w:r>
      <w:r w:rsidR="008344E6">
        <w:t xml:space="preserve"> given the </w:t>
      </w:r>
      <w:r w:rsidR="00DA6EC6">
        <w:t xml:space="preserve">change in relativities under Option 2. </w:t>
      </w:r>
    </w:p>
    <w:p w14:paraId="57280C08" w14:textId="69E3EB39" w:rsidR="002A1A33" w:rsidRDefault="002A1A33" w:rsidP="00FA0CF5">
      <w:pPr>
        <w:pStyle w:val="Heading3"/>
        <w:ind w:left="851"/>
      </w:pPr>
      <w:bookmarkStart w:id="99" w:name="_Toc216179711"/>
      <w:r>
        <w:t xml:space="preserve">Fee </w:t>
      </w:r>
      <w:r w:rsidR="00095496">
        <w:t xml:space="preserve">Structure under Option </w:t>
      </w:r>
      <w:r w:rsidR="009B1917">
        <w:t>3</w:t>
      </w:r>
      <w:bookmarkEnd w:id="99"/>
    </w:p>
    <w:p w14:paraId="5FA1EDA9" w14:textId="0FB26E0F" w:rsidR="008063D0" w:rsidRPr="00BE6A62" w:rsidRDefault="005C4A4E" w:rsidP="00703834">
      <w:pPr>
        <w:pStyle w:val="DJCSbody"/>
      </w:pPr>
      <w:r>
        <w:t xml:space="preserve">The updated fee structure under Option </w:t>
      </w:r>
      <w:r w:rsidR="009B1917">
        <w:t>3</w:t>
      </w:r>
      <w:r>
        <w:t xml:space="preserve"> is outlined in </w:t>
      </w:r>
      <w:hyperlink w:anchor="_Appendix_C" w:history="1">
        <w:r w:rsidRPr="00EC671C">
          <w:rPr>
            <w:rStyle w:val="Hyperlink"/>
          </w:rPr>
          <w:t xml:space="preserve">Appendix </w:t>
        </w:r>
        <w:r w:rsidR="00EC671C" w:rsidRPr="00C90713">
          <w:rPr>
            <w:rStyle w:val="Hyperlink"/>
          </w:rPr>
          <w:t>C</w:t>
        </w:r>
      </w:hyperlink>
      <w:r w:rsidRPr="00C90713">
        <w:t>.</w:t>
      </w:r>
    </w:p>
    <w:p w14:paraId="141DE20E" w14:textId="77777777" w:rsidR="006849E2" w:rsidRDefault="006849E2" w:rsidP="00703834">
      <w:pPr>
        <w:pStyle w:val="DJCSbody"/>
        <w:sectPr w:rsidR="006849E2" w:rsidSect="002B3ACE">
          <w:pgSz w:w="11906" w:h="16838" w:code="9"/>
          <w:pgMar w:top="1871" w:right="707" w:bottom="1588" w:left="851" w:header="283" w:footer="680" w:gutter="0"/>
          <w:cols w:space="720"/>
          <w:docGrid w:linePitch="360"/>
        </w:sectPr>
      </w:pPr>
      <w:bookmarkStart w:id="100" w:name="_Toc207716349"/>
      <w:bookmarkStart w:id="101" w:name="_Toc207716350"/>
      <w:bookmarkStart w:id="102" w:name="_Toc207716351"/>
      <w:bookmarkStart w:id="103" w:name="_Toc207716352"/>
      <w:bookmarkEnd w:id="100"/>
      <w:bookmarkEnd w:id="101"/>
      <w:bookmarkEnd w:id="102"/>
      <w:bookmarkEnd w:id="103"/>
    </w:p>
    <w:p w14:paraId="6919DDEA" w14:textId="11E07B51" w:rsidR="009E57B6" w:rsidRPr="008C6E4A" w:rsidRDefault="009E57B6" w:rsidP="009E57B6">
      <w:pPr>
        <w:pStyle w:val="Heading1"/>
      </w:pPr>
      <w:bookmarkStart w:id="104" w:name="_Toc216179712"/>
      <w:r w:rsidRPr="008C6E4A">
        <w:lastRenderedPageBreak/>
        <w:t xml:space="preserve">Options </w:t>
      </w:r>
      <w:r w:rsidR="00AE0278">
        <w:t>i</w:t>
      </w:r>
      <w:r w:rsidRPr="008C6E4A">
        <w:t xml:space="preserve">mpact </w:t>
      </w:r>
      <w:r w:rsidR="00AE0278">
        <w:t>a</w:t>
      </w:r>
      <w:r w:rsidRPr="008C6E4A">
        <w:t>nalysis</w:t>
      </w:r>
      <w:bookmarkEnd w:id="104"/>
    </w:p>
    <w:p w14:paraId="11C9C5B4" w14:textId="2B1B77A6" w:rsidR="008C1892" w:rsidRPr="008C1892" w:rsidRDefault="008C1892" w:rsidP="0046705C">
      <w:pPr>
        <w:pStyle w:val="DJCSbody"/>
        <w:ind w:left="720"/>
      </w:pPr>
      <w:r>
        <w:t xml:space="preserve">As discussed in the previous sections, the </w:t>
      </w:r>
      <w:r w:rsidR="001F7D95" w:rsidRPr="00B7326F">
        <w:t xml:space="preserve">proposed </w:t>
      </w:r>
      <w:r>
        <w:t xml:space="preserve">Regulations seek to </w:t>
      </w:r>
      <w:r w:rsidR="008B364D" w:rsidRPr="00B7326F">
        <w:t>restructure</w:t>
      </w:r>
      <w:r>
        <w:t xml:space="preserve"> the fees charged by VCAT to better meet the objectives as described in </w:t>
      </w:r>
      <w:hyperlink w:anchor="_Toc207716328" w:history="1">
        <w:bookmarkStart w:id="105" w:name="_Hlk211518367"/>
        <w:r w:rsidRPr="006E1343">
          <w:rPr>
            <w:rStyle w:val="Hyperlink"/>
          </w:rPr>
          <w:t xml:space="preserve">Section </w:t>
        </w:r>
        <w:r w:rsidR="006E1343" w:rsidRPr="003036D1">
          <w:rPr>
            <w:rStyle w:val="Hyperlink"/>
          </w:rPr>
          <w:t>4</w:t>
        </w:r>
        <w:bookmarkEnd w:id="105"/>
        <w:r w:rsidRPr="006E1343">
          <w:rPr>
            <w:rStyle w:val="Hyperlink"/>
          </w:rPr>
          <w:t>.</w:t>
        </w:r>
      </w:hyperlink>
      <w:r w:rsidR="004E0477">
        <w:t xml:space="preserve"> The impact of the options introduced in </w:t>
      </w:r>
      <w:hyperlink w:anchor="_Identifying_Options" w:history="1">
        <w:r w:rsidR="004E0477" w:rsidRPr="006E1343">
          <w:rPr>
            <w:rStyle w:val="Hyperlink"/>
          </w:rPr>
          <w:t xml:space="preserve">Section </w:t>
        </w:r>
        <w:r w:rsidR="006E1343" w:rsidRPr="003036D1">
          <w:rPr>
            <w:rStyle w:val="Hyperlink"/>
          </w:rPr>
          <w:t>5</w:t>
        </w:r>
      </w:hyperlink>
      <w:r w:rsidR="006E1343">
        <w:t xml:space="preserve"> </w:t>
      </w:r>
      <w:r w:rsidR="00E414AB">
        <w:t xml:space="preserve">is </w:t>
      </w:r>
      <w:r w:rsidR="00217067">
        <w:t xml:space="preserve">assessed in this section through a </w:t>
      </w:r>
      <w:r w:rsidR="0011352A">
        <w:t>M</w:t>
      </w:r>
      <w:r w:rsidR="00217067">
        <w:t>ulti-</w:t>
      </w:r>
      <w:r w:rsidR="0011352A">
        <w:t>C</w:t>
      </w:r>
      <w:r w:rsidR="00217067">
        <w:t xml:space="preserve">riteria </w:t>
      </w:r>
      <w:r w:rsidR="0011352A">
        <w:t>A</w:t>
      </w:r>
      <w:r w:rsidR="00217067">
        <w:t xml:space="preserve">nalysis which aligns to the principles in the </w:t>
      </w:r>
      <w:r w:rsidR="00217067" w:rsidRPr="001761B8">
        <w:rPr>
          <w:i/>
        </w:rPr>
        <w:t>Pricing for Value Guide</w:t>
      </w:r>
      <w:r w:rsidR="00217067">
        <w:t xml:space="preserve"> and the identified objectives.</w:t>
      </w:r>
    </w:p>
    <w:p w14:paraId="20633FFD" w14:textId="524CBD8F" w:rsidR="009E57B6" w:rsidRDefault="009E57B6" w:rsidP="009E57B6">
      <w:pPr>
        <w:pStyle w:val="Heading2"/>
      </w:pPr>
      <w:bookmarkStart w:id="106" w:name="_Toc216179713"/>
      <w:r w:rsidRPr="009E57B6">
        <w:t>Multi-Criteria Analysis methodology</w:t>
      </w:r>
      <w:bookmarkEnd w:id="106"/>
    </w:p>
    <w:p w14:paraId="1A9A888E" w14:textId="56A3CEF6" w:rsidR="009E57B6" w:rsidRDefault="00301A94" w:rsidP="0046705C">
      <w:pPr>
        <w:pStyle w:val="DJCSbody"/>
        <w:ind w:left="720"/>
      </w:pPr>
      <w:r>
        <w:t xml:space="preserve">Multi-Criteria Analysis (MCA) has been used to compare and assess </w:t>
      </w:r>
      <w:hyperlink w:anchor="_Identifying_Options" w:history="1">
        <w:r w:rsidR="006E1343" w:rsidRPr="003036D1">
          <w:rPr>
            <w:rStyle w:val="Hyperlink"/>
            <w:color w:val="auto"/>
            <w:u w:val="none"/>
          </w:rPr>
          <w:t xml:space="preserve">identified </w:t>
        </w:r>
        <w:r w:rsidRPr="003036D1">
          <w:rPr>
            <w:rStyle w:val="Hyperlink"/>
            <w:color w:val="auto"/>
            <w:u w:val="none"/>
          </w:rPr>
          <w:t>options</w:t>
        </w:r>
      </w:hyperlink>
      <w:r>
        <w:t xml:space="preserve"> to change VCAT fees. MCA involves a structured assessment of the different options relative to the Base</w:t>
      </w:r>
      <w:r w:rsidR="002460BC">
        <w:t xml:space="preserve"> Case using a series of criteria</w:t>
      </w:r>
      <w:r w:rsidR="00ED4075">
        <w:t xml:space="preserve">, which are defined to align as closely </w:t>
      </w:r>
      <w:r w:rsidR="00146F4F">
        <w:t>as possible to the objectives</w:t>
      </w:r>
      <w:r w:rsidR="006E1343">
        <w:t>.</w:t>
      </w:r>
    </w:p>
    <w:p w14:paraId="4F5B36B2" w14:textId="4267AED4" w:rsidR="00146F4F" w:rsidRDefault="00146F4F" w:rsidP="0046705C">
      <w:pPr>
        <w:pStyle w:val="DJCSbody"/>
        <w:ind w:left="720"/>
      </w:pPr>
      <w:r>
        <w:t xml:space="preserve">These criteria are then weighted based on the relative importance of each </w:t>
      </w:r>
      <w:r w:rsidR="00DC6120">
        <w:t xml:space="preserve">and are used to compare the different options relative to the </w:t>
      </w:r>
      <w:r w:rsidR="000E7365">
        <w:t xml:space="preserve">Base </w:t>
      </w:r>
      <w:r w:rsidR="000E7365" w:rsidRPr="001761B8">
        <w:t>Case</w:t>
      </w:r>
      <w:r w:rsidR="000E7365" w:rsidRPr="001761B8">
        <w:rPr>
          <w:rStyle w:val="FootnoteReference"/>
        </w:rPr>
        <w:footnoteReference w:id="35"/>
      </w:r>
      <w:r w:rsidR="000E7365" w:rsidRPr="001761B8">
        <w:t>.</w:t>
      </w:r>
    </w:p>
    <w:p w14:paraId="41854474" w14:textId="3819718D" w:rsidR="000E7365" w:rsidRDefault="000E7365" w:rsidP="0046705C">
      <w:pPr>
        <w:pStyle w:val="DJCSbody"/>
        <w:ind w:left="720"/>
      </w:pPr>
      <w:r>
        <w:t xml:space="preserve">This approach has been chosen as it provides a </w:t>
      </w:r>
      <w:r w:rsidRPr="00E4672A">
        <w:t>structure</w:t>
      </w:r>
      <w:r w:rsidR="00CD10D5">
        <w:t>d</w:t>
      </w:r>
      <w:r>
        <w:t xml:space="preserve"> and transparent method to assess the relative benefits and costs of each option. The approach has also been chosen because it can be used</w:t>
      </w:r>
      <w:r w:rsidR="006B1CE5">
        <w:t xml:space="preserve"> to assess both quantified impacts (such as costs) and unquantified impacts (such as access to justice)</w:t>
      </w:r>
      <w:r w:rsidR="00A65340">
        <w:t>.</w:t>
      </w:r>
    </w:p>
    <w:p w14:paraId="19A41D3C" w14:textId="1EAACB44" w:rsidR="00A65340" w:rsidRDefault="00A65340" w:rsidP="0046705C">
      <w:pPr>
        <w:pStyle w:val="DJCSbody"/>
        <w:ind w:left="720"/>
      </w:pPr>
      <w:r>
        <w:t xml:space="preserve">The option with the highest weighted score </w:t>
      </w:r>
      <w:r w:rsidR="00E070C7">
        <w:t>is</w:t>
      </w:r>
      <w:r>
        <w:t xml:space="preserve"> the preferred option.</w:t>
      </w:r>
    </w:p>
    <w:p w14:paraId="2541948E" w14:textId="7611B2B8" w:rsidR="009E57B6" w:rsidRDefault="009E57B6" w:rsidP="00FA0CF5">
      <w:pPr>
        <w:pStyle w:val="Heading3"/>
        <w:ind w:left="851" w:hanging="851"/>
      </w:pPr>
      <w:bookmarkStart w:id="107" w:name="_Toc216179714"/>
      <w:r>
        <w:t xml:space="preserve">Defining </w:t>
      </w:r>
      <w:r w:rsidR="00665214">
        <w:t xml:space="preserve">weighted </w:t>
      </w:r>
      <w:r>
        <w:t>criteria</w:t>
      </w:r>
      <w:bookmarkEnd w:id="107"/>
    </w:p>
    <w:p w14:paraId="67ED5BF6" w14:textId="23EC838D" w:rsidR="009E57B6" w:rsidRDefault="00AD4321" w:rsidP="00B7326F">
      <w:pPr>
        <w:pStyle w:val="DJCSbody"/>
      </w:pPr>
      <w:r>
        <w:t xml:space="preserve">The criteria used to assess options were defined to align as closely as possible to the Victorian Government’s broad policy objectives as outlined in </w:t>
      </w:r>
      <w:hyperlink w:anchor="_Toc207716328" w:history="1">
        <w:r w:rsidR="002C58F4" w:rsidRPr="00B7326F">
          <w:rPr>
            <w:rStyle w:val="Hyperlink"/>
          </w:rPr>
          <w:t xml:space="preserve">Section </w:t>
        </w:r>
        <w:r w:rsidR="002C58F4" w:rsidRPr="003036D1">
          <w:rPr>
            <w:rStyle w:val="Hyperlink"/>
          </w:rPr>
          <w:t>4</w:t>
        </w:r>
        <w:r w:rsidRPr="00B7326F">
          <w:rPr>
            <w:rStyle w:val="Hyperlink"/>
          </w:rPr>
          <w:t>.</w:t>
        </w:r>
      </w:hyperlink>
      <w:r w:rsidR="00996D6E">
        <w:t xml:space="preserve"> Additionally, the criteria also draw on the Victorian Government’s </w:t>
      </w:r>
      <w:r w:rsidR="00996D6E" w:rsidRPr="001761B8">
        <w:rPr>
          <w:i/>
        </w:rPr>
        <w:t>Pricing for Value Guide</w:t>
      </w:r>
      <w:r w:rsidR="00996D6E">
        <w:t xml:space="preserve"> Pricing Principles</w:t>
      </w:r>
      <w:r w:rsidR="000D174D">
        <w:t xml:space="preserve"> (see </w:t>
      </w:r>
      <w:hyperlink w:anchor="_New_Fee_Setting" w:history="1">
        <w:r w:rsidR="002F2DC8" w:rsidRPr="003036D1">
          <w:rPr>
            <w:rStyle w:val="Hyperlink"/>
            <w:color w:val="0070C0"/>
            <w:u w:val="none"/>
          </w:rPr>
          <w:t xml:space="preserve">Section </w:t>
        </w:r>
        <w:r w:rsidR="002C38E6" w:rsidRPr="003036D1">
          <w:rPr>
            <w:rStyle w:val="Hyperlink"/>
            <w:color w:val="0070C0"/>
            <w:u w:val="none"/>
          </w:rPr>
          <w:t>3.1.2</w:t>
        </w:r>
      </w:hyperlink>
      <w:r w:rsidR="002F2DC8" w:rsidRPr="00E4672A">
        <w:t xml:space="preserve">). Table </w:t>
      </w:r>
      <w:r w:rsidR="00CB2244" w:rsidRPr="00E4672A">
        <w:t>6</w:t>
      </w:r>
      <w:r w:rsidR="002F2DC8" w:rsidRPr="00E4672A">
        <w:t>.</w:t>
      </w:r>
      <w:r w:rsidR="00CB2244" w:rsidRPr="00E4672A">
        <w:t>1</w:t>
      </w:r>
      <w:r w:rsidR="00967E28">
        <w:t xml:space="preserve"> provides a summary of the criteria for this analysis and the Pricing Principles considered in the context of amending the Regulations.</w:t>
      </w:r>
    </w:p>
    <w:p w14:paraId="197526B6" w14:textId="3694035A" w:rsidR="000424D6" w:rsidRDefault="00331951" w:rsidP="00B7326F">
      <w:pPr>
        <w:pStyle w:val="DJCSbody"/>
      </w:pPr>
      <w:r>
        <w:t>T</w:t>
      </w:r>
      <w:r w:rsidR="001767BF" w:rsidRPr="00E4672A">
        <w:t>he</w:t>
      </w:r>
      <w:r w:rsidR="001767BF">
        <w:t xml:space="preserve"> four individual criteria </w:t>
      </w:r>
      <w:r>
        <w:t>form</w:t>
      </w:r>
      <w:r w:rsidR="001767BF">
        <w:t xml:space="preserve"> the Victorian Government’s broad policy objectives for the </w:t>
      </w:r>
      <w:r w:rsidR="00032CDE">
        <w:t>remaking of the regulations.</w:t>
      </w:r>
    </w:p>
    <w:p w14:paraId="3FC55657" w14:textId="366B0033" w:rsidR="00666D3B" w:rsidRPr="003036D1" w:rsidRDefault="00666D3B" w:rsidP="00B7326F">
      <w:pPr>
        <w:pStyle w:val="DJCSbody"/>
        <w:rPr>
          <w:i/>
          <w:iCs/>
        </w:rPr>
      </w:pPr>
      <w:r w:rsidRPr="003036D1">
        <w:rPr>
          <w:i/>
          <w:iCs/>
        </w:rPr>
        <w:t xml:space="preserve">Table </w:t>
      </w:r>
      <w:r w:rsidR="00EE497F" w:rsidRPr="003036D1">
        <w:rPr>
          <w:i/>
          <w:iCs/>
        </w:rPr>
        <w:t>1</w:t>
      </w:r>
      <w:r w:rsidR="00B076F0">
        <w:rPr>
          <w:i/>
          <w:iCs/>
        </w:rPr>
        <w:t>3</w:t>
      </w:r>
      <w:r w:rsidRPr="003036D1">
        <w:rPr>
          <w:i/>
          <w:iCs/>
        </w:rPr>
        <w:t xml:space="preserve"> – Criteria for the </w:t>
      </w:r>
      <w:r w:rsidR="000E5561">
        <w:rPr>
          <w:i/>
          <w:iCs/>
        </w:rPr>
        <w:t>A</w:t>
      </w:r>
      <w:r w:rsidRPr="003036D1">
        <w:rPr>
          <w:i/>
          <w:iCs/>
        </w:rPr>
        <w:t>ssessment of the RIS</w:t>
      </w:r>
    </w:p>
    <w:tbl>
      <w:tblPr>
        <w:tblStyle w:val="TableGrid"/>
        <w:tblW w:w="0" w:type="auto"/>
        <w:tblInd w:w="6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97"/>
        <w:gridCol w:w="5082"/>
        <w:gridCol w:w="1813"/>
      </w:tblGrid>
      <w:tr w:rsidR="002B6D53" w:rsidRPr="002B3C05" w14:paraId="1278DC31" w14:textId="77777777" w:rsidTr="00F75D98">
        <w:tc>
          <w:tcPr>
            <w:tcW w:w="2597" w:type="dxa"/>
            <w:shd w:val="clear" w:color="auto" w:fill="002060"/>
          </w:tcPr>
          <w:p w14:paraId="7E6258CB" w14:textId="77777777" w:rsidR="002B6D53" w:rsidRPr="002B3C05" w:rsidRDefault="002B6D53">
            <w:pPr>
              <w:pStyle w:val="DJCSbody-landscape"/>
              <w:jc w:val="center"/>
              <w:rPr>
                <w:b/>
              </w:rPr>
            </w:pPr>
            <w:r w:rsidRPr="002B3C05">
              <w:rPr>
                <w:b/>
              </w:rPr>
              <w:t>Criteri</w:t>
            </w:r>
            <w:r>
              <w:rPr>
                <w:b/>
              </w:rPr>
              <w:t>a</w:t>
            </w:r>
          </w:p>
        </w:tc>
        <w:tc>
          <w:tcPr>
            <w:tcW w:w="5082" w:type="dxa"/>
            <w:shd w:val="clear" w:color="auto" w:fill="002060"/>
          </w:tcPr>
          <w:p w14:paraId="1DF56BD1" w14:textId="77777777" w:rsidR="002B6D53" w:rsidRPr="002B3C05" w:rsidRDefault="002B6D53">
            <w:pPr>
              <w:pStyle w:val="DJCSbody-landscape"/>
              <w:jc w:val="center"/>
              <w:rPr>
                <w:b/>
              </w:rPr>
            </w:pPr>
            <w:r w:rsidRPr="002B3C05">
              <w:rPr>
                <w:b/>
              </w:rPr>
              <w:t>Relevance</w:t>
            </w:r>
          </w:p>
        </w:tc>
        <w:tc>
          <w:tcPr>
            <w:tcW w:w="1813" w:type="dxa"/>
            <w:shd w:val="clear" w:color="auto" w:fill="002060"/>
          </w:tcPr>
          <w:p w14:paraId="6B36055E" w14:textId="77777777" w:rsidR="002B6D53" w:rsidRPr="002B3C05" w:rsidRDefault="002B6D53">
            <w:pPr>
              <w:pStyle w:val="DJCSbody-landscape"/>
              <w:jc w:val="center"/>
              <w:rPr>
                <w:b/>
              </w:rPr>
            </w:pPr>
            <w:r w:rsidRPr="002B3C05">
              <w:rPr>
                <w:b/>
              </w:rPr>
              <w:t>Weighting</w:t>
            </w:r>
          </w:p>
        </w:tc>
      </w:tr>
      <w:tr w:rsidR="002B6D53" w14:paraId="0D59AB9A" w14:textId="77777777" w:rsidTr="00F75D98">
        <w:tc>
          <w:tcPr>
            <w:tcW w:w="2597" w:type="dxa"/>
          </w:tcPr>
          <w:p w14:paraId="41A3ECC9" w14:textId="77777777" w:rsidR="002B6D53" w:rsidRPr="00633E71" w:rsidRDefault="002B6D53">
            <w:pPr>
              <w:pStyle w:val="DJCSbody-landscape"/>
              <w:rPr>
                <w:b/>
                <w:bCs/>
              </w:rPr>
            </w:pPr>
            <w:r w:rsidRPr="00633E71">
              <w:rPr>
                <w:b/>
                <w:bCs/>
              </w:rPr>
              <w:t>Criteri</w:t>
            </w:r>
            <w:r>
              <w:rPr>
                <w:b/>
                <w:bCs/>
              </w:rPr>
              <w:t>on</w:t>
            </w:r>
            <w:r w:rsidRPr="00633E71">
              <w:rPr>
                <w:b/>
                <w:bCs/>
              </w:rPr>
              <w:t xml:space="preserve"> 1: </w:t>
            </w:r>
            <w:r>
              <w:rPr>
                <w:b/>
                <w:bCs/>
              </w:rPr>
              <w:br/>
            </w:r>
            <w:r w:rsidRPr="00633E71">
              <w:rPr>
                <w:b/>
                <w:bCs/>
              </w:rPr>
              <w:t>Fiscal Sustainability</w:t>
            </w:r>
          </w:p>
        </w:tc>
        <w:tc>
          <w:tcPr>
            <w:tcW w:w="5082" w:type="dxa"/>
          </w:tcPr>
          <w:p w14:paraId="111CB0AC" w14:textId="70081C57" w:rsidR="00943713" w:rsidRDefault="002B6D53">
            <w:pPr>
              <w:pStyle w:val="DJCSbody-landscape"/>
            </w:pPr>
            <w:r>
              <w:t>Fees should seek to support the overall fiscal sustainability of VCAT.</w:t>
            </w:r>
          </w:p>
          <w:p w14:paraId="48BFC292" w14:textId="1C44A939" w:rsidR="002B6D53" w:rsidRDefault="002B6D53">
            <w:pPr>
              <w:pStyle w:val="DJCSbody-landscape"/>
            </w:pPr>
            <w:r>
              <w:t>This criterion is based on Pricing Principles 1, 7, 8 and 9.</w:t>
            </w:r>
          </w:p>
        </w:tc>
        <w:tc>
          <w:tcPr>
            <w:tcW w:w="1813" w:type="dxa"/>
          </w:tcPr>
          <w:p w14:paraId="7F9835EC" w14:textId="77777777" w:rsidR="002B6D53" w:rsidRDefault="002B6D53">
            <w:pPr>
              <w:pStyle w:val="DJCSbody-landscape"/>
              <w:jc w:val="center"/>
            </w:pPr>
            <w:r>
              <w:t>35%</w:t>
            </w:r>
          </w:p>
        </w:tc>
      </w:tr>
      <w:tr w:rsidR="002B6D53" w14:paraId="4CAE8461" w14:textId="77777777" w:rsidTr="00F75D98">
        <w:tc>
          <w:tcPr>
            <w:tcW w:w="2597" w:type="dxa"/>
          </w:tcPr>
          <w:p w14:paraId="4418F901" w14:textId="77777777" w:rsidR="002B6D53" w:rsidRPr="00633E71" w:rsidRDefault="002B6D53">
            <w:pPr>
              <w:pStyle w:val="DJCSbody-landscape"/>
              <w:rPr>
                <w:b/>
                <w:bCs/>
              </w:rPr>
            </w:pPr>
            <w:r w:rsidRPr="00633E71">
              <w:rPr>
                <w:b/>
                <w:bCs/>
              </w:rPr>
              <w:t xml:space="preserve">Criterion 2: </w:t>
            </w:r>
            <w:r>
              <w:rPr>
                <w:b/>
                <w:bCs/>
              </w:rPr>
              <w:br/>
              <w:t>Equity</w:t>
            </w:r>
          </w:p>
        </w:tc>
        <w:tc>
          <w:tcPr>
            <w:tcW w:w="5082" w:type="dxa"/>
          </w:tcPr>
          <w:p w14:paraId="0D156ED6" w14:textId="3FDF00E3" w:rsidR="002B6D53" w:rsidRDefault="002B6D53">
            <w:pPr>
              <w:pStyle w:val="DJCSbody-landscape"/>
            </w:pPr>
            <w:r>
              <w:t xml:space="preserve">Fees </w:t>
            </w:r>
            <w:r w:rsidRPr="00A02393">
              <w:t xml:space="preserve">should reflect the capacity of different tribunal users to pay fees. </w:t>
            </w:r>
            <w:r w:rsidR="008B1BFC">
              <w:t>VCAT</w:t>
            </w:r>
            <w:r w:rsidRPr="00A02393">
              <w:t xml:space="preserve"> fees should provide access to justice for those with limited ability to pay fees.</w:t>
            </w:r>
          </w:p>
          <w:p w14:paraId="0A49C88F" w14:textId="77777777" w:rsidR="002B6D53" w:rsidRDefault="002B6D53">
            <w:pPr>
              <w:pStyle w:val="DJCSbody-landscape"/>
            </w:pPr>
            <w:r>
              <w:t>This criterion is based on Pricing Principle 5 and 7.</w:t>
            </w:r>
          </w:p>
        </w:tc>
        <w:tc>
          <w:tcPr>
            <w:tcW w:w="1813" w:type="dxa"/>
          </w:tcPr>
          <w:p w14:paraId="4B9FCDFF" w14:textId="77777777" w:rsidR="002B6D53" w:rsidRDefault="002B6D53">
            <w:pPr>
              <w:pStyle w:val="DJCSbody-landscape"/>
              <w:jc w:val="center"/>
            </w:pPr>
            <w:r>
              <w:t>40%</w:t>
            </w:r>
          </w:p>
        </w:tc>
      </w:tr>
      <w:tr w:rsidR="002B6D53" w14:paraId="37A90D50" w14:textId="77777777" w:rsidTr="00F75D98">
        <w:tc>
          <w:tcPr>
            <w:tcW w:w="2597" w:type="dxa"/>
          </w:tcPr>
          <w:p w14:paraId="5E1967C9" w14:textId="77777777" w:rsidR="002B6D53" w:rsidRPr="00633E71" w:rsidRDefault="002B6D53">
            <w:pPr>
              <w:pStyle w:val="DJCSbody-landscape"/>
              <w:rPr>
                <w:b/>
                <w:bCs/>
              </w:rPr>
            </w:pPr>
            <w:r w:rsidRPr="00633E71">
              <w:rPr>
                <w:b/>
                <w:bCs/>
              </w:rPr>
              <w:t>Criteri</w:t>
            </w:r>
            <w:r>
              <w:rPr>
                <w:b/>
                <w:bCs/>
              </w:rPr>
              <w:t>on</w:t>
            </w:r>
            <w:r w:rsidRPr="00633E71">
              <w:rPr>
                <w:b/>
                <w:bCs/>
              </w:rPr>
              <w:t xml:space="preserve"> 3:</w:t>
            </w:r>
            <w:r>
              <w:rPr>
                <w:b/>
                <w:bCs/>
              </w:rPr>
              <w:br/>
              <w:t>Efficiency</w:t>
            </w:r>
          </w:p>
        </w:tc>
        <w:tc>
          <w:tcPr>
            <w:tcW w:w="5082" w:type="dxa"/>
          </w:tcPr>
          <w:p w14:paraId="0FAF6F1A" w14:textId="77777777" w:rsidR="002B6D53" w:rsidRPr="00FE27C5" w:rsidRDefault="002B6D53">
            <w:pPr>
              <w:pStyle w:val="DJCSbody-landscape"/>
            </w:pPr>
            <w:r w:rsidRPr="00FE27C5">
              <w:t xml:space="preserve">Fees should </w:t>
            </w:r>
            <w:r w:rsidRPr="004F6539">
              <w:rPr>
                <w:lang w:val="en-GB"/>
              </w:rPr>
              <w:t>reflect the cost of the underlying VCAT services.</w:t>
            </w:r>
          </w:p>
          <w:p w14:paraId="5845ED32" w14:textId="77777777" w:rsidR="002B6D53" w:rsidRDefault="002B6D53">
            <w:pPr>
              <w:pStyle w:val="DJCSbody-landscape"/>
            </w:pPr>
            <w:r>
              <w:lastRenderedPageBreak/>
              <w:t>This criterion is based on Pricing Principle 2.</w:t>
            </w:r>
          </w:p>
        </w:tc>
        <w:tc>
          <w:tcPr>
            <w:tcW w:w="1813" w:type="dxa"/>
          </w:tcPr>
          <w:p w14:paraId="0DA96C36" w14:textId="5477B9DD" w:rsidR="002B6D53" w:rsidRDefault="004D37A6">
            <w:pPr>
              <w:pStyle w:val="DJCSbody-landscape"/>
              <w:jc w:val="center"/>
            </w:pPr>
            <w:r>
              <w:lastRenderedPageBreak/>
              <w:t>1</w:t>
            </w:r>
            <w:r w:rsidR="002B6D53">
              <w:t>5%</w:t>
            </w:r>
          </w:p>
        </w:tc>
      </w:tr>
      <w:tr w:rsidR="002B6D53" w14:paraId="284A8669" w14:textId="77777777" w:rsidTr="00F75D98">
        <w:tc>
          <w:tcPr>
            <w:tcW w:w="2597" w:type="dxa"/>
          </w:tcPr>
          <w:p w14:paraId="6B708AA7" w14:textId="77777777" w:rsidR="002B6D53" w:rsidRDefault="002B6D53">
            <w:pPr>
              <w:pStyle w:val="DJCSbody-landscape"/>
              <w:rPr>
                <w:b/>
                <w:bCs/>
              </w:rPr>
            </w:pPr>
            <w:r>
              <w:rPr>
                <w:b/>
                <w:bCs/>
              </w:rPr>
              <w:t>Criterion 4:</w:t>
            </w:r>
            <w:r>
              <w:rPr>
                <w:b/>
                <w:bCs/>
              </w:rPr>
              <w:br/>
              <w:t>Simplicity</w:t>
            </w:r>
          </w:p>
          <w:p w14:paraId="57842BA4" w14:textId="77777777" w:rsidR="002B6D53" w:rsidRPr="00633E71" w:rsidRDefault="002B6D53">
            <w:pPr>
              <w:pStyle w:val="DJCSbody-landscape"/>
              <w:rPr>
                <w:b/>
                <w:bCs/>
              </w:rPr>
            </w:pPr>
          </w:p>
        </w:tc>
        <w:tc>
          <w:tcPr>
            <w:tcW w:w="5082" w:type="dxa"/>
          </w:tcPr>
          <w:p w14:paraId="048B1FE7" w14:textId="77777777" w:rsidR="002B6D53" w:rsidRDefault="002B6D53">
            <w:pPr>
              <w:pStyle w:val="DJCSbody-landscape"/>
            </w:pPr>
            <w:r w:rsidRPr="009977A9">
              <w:t xml:space="preserve">Fee structures </w:t>
            </w:r>
            <w:r w:rsidRPr="004F6539">
              <w:rPr>
                <w:lang w:val="en-GB"/>
              </w:rPr>
              <w:t>should be simple to administer for VCAT and easy to navigate for VCAT users.</w:t>
            </w:r>
          </w:p>
          <w:p w14:paraId="685394EB" w14:textId="77777777" w:rsidR="002B6D53" w:rsidRDefault="002B6D53">
            <w:pPr>
              <w:pStyle w:val="DJCSbody-landscape"/>
            </w:pPr>
            <w:r>
              <w:t>This criterion is based on Pricing Principle 11.</w:t>
            </w:r>
          </w:p>
        </w:tc>
        <w:tc>
          <w:tcPr>
            <w:tcW w:w="1813" w:type="dxa"/>
          </w:tcPr>
          <w:p w14:paraId="6984D775" w14:textId="77777777" w:rsidR="002B6D53" w:rsidRDefault="002B6D53">
            <w:pPr>
              <w:pStyle w:val="DJCSbody-landscape"/>
              <w:jc w:val="center"/>
            </w:pPr>
            <w:r>
              <w:t>10%</w:t>
            </w:r>
          </w:p>
        </w:tc>
      </w:tr>
    </w:tbl>
    <w:p w14:paraId="6ECD3B80" w14:textId="4FA9B752" w:rsidR="00FB796D" w:rsidRDefault="00FB796D" w:rsidP="00575188">
      <w:pPr>
        <w:pStyle w:val="DJCSbody"/>
        <w:ind w:left="0"/>
      </w:pPr>
      <w:r>
        <w:tab/>
      </w:r>
    </w:p>
    <w:p w14:paraId="473ED197" w14:textId="29E1D5ED" w:rsidR="00FB796D" w:rsidRDefault="00FB796D" w:rsidP="001F4F44">
      <w:pPr>
        <w:pStyle w:val="DJCSbody"/>
        <w:ind w:left="720"/>
      </w:pPr>
      <w:r w:rsidRPr="000D452B">
        <w:rPr>
          <w:b/>
        </w:rPr>
        <w:t>Criterion 1: Fiscal Sustainability</w:t>
      </w:r>
      <w:r>
        <w:t xml:space="preserve"> was given the second highest weighting</w:t>
      </w:r>
      <w:r w:rsidR="003E726B">
        <w:t xml:space="preserve"> (35%)</w:t>
      </w:r>
      <w:r w:rsidR="001F4F44">
        <w:t xml:space="preserve"> as fee revenue </w:t>
      </w:r>
      <w:r w:rsidR="00895923">
        <w:t>is an important</w:t>
      </w:r>
      <w:r w:rsidR="009519A4">
        <w:t xml:space="preserve"> contribution to VCAT’s </w:t>
      </w:r>
      <w:r w:rsidR="00895923">
        <w:t xml:space="preserve">overall </w:t>
      </w:r>
      <w:r w:rsidR="009519A4">
        <w:t xml:space="preserve">funding. Supporting VCAT’s sustainability has </w:t>
      </w:r>
      <w:r w:rsidR="00493114">
        <w:t>several</w:t>
      </w:r>
      <w:r w:rsidR="009519A4">
        <w:t xml:space="preserve"> benefits</w:t>
      </w:r>
      <w:r w:rsidR="007E120A">
        <w:t xml:space="preserve"> as it </w:t>
      </w:r>
      <w:r w:rsidR="00382530">
        <w:t>enables VCAT</w:t>
      </w:r>
      <w:r w:rsidR="007E120A">
        <w:t xml:space="preserve"> to provide services</w:t>
      </w:r>
      <w:r w:rsidR="00E9163E">
        <w:t xml:space="preserve"> that help to resolve disputes in a timely manner. Sufficient funding for delivering services </w:t>
      </w:r>
      <w:r w:rsidR="00B554F5">
        <w:t xml:space="preserve">ensures that the backlog of cases to be heard is minimised and that users and the public </w:t>
      </w:r>
      <w:r w:rsidR="0043731F">
        <w:t>can</w:t>
      </w:r>
      <w:r w:rsidR="00055506">
        <w:t xml:space="preserve"> gain the public and/or private benefits resulting from </w:t>
      </w:r>
      <w:r w:rsidR="00005E0D">
        <w:t>dispute resolution</w:t>
      </w:r>
      <w:r w:rsidR="00055506">
        <w:t xml:space="preserve">. A higher score </w:t>
      </w:r>
      <w:r w:rsidR="00D53F2C">
        <w:t>for this criterion</w:t>
      </w:r>
      <w:r w:rsidR="00055506">
        <w:t xml:space="preserve"> denotes</w:t>
      </w:r>
      <w:r w:rsidR="000D21E0">
        <w:t xml:space="preserve"> a higher level of expected revenue.</w:t>
      </w:r>
    </w:p>
    <w:p w14:paraId="5BEF2989" w14:textId="461693D8" w:rsidR="000D21E0" w:rsidRDefault="000D21E0" w:rsidP="001F4F44">
      <w:pPr>
        <w:pStyle w:val="DJCSbody"/>
        <w:ind w:left="720"/>
      </w:pPr>
      <w:r w:rsidRPr="000D452B">
        <w:rPr>
          <w:b/>
        </w:rPr>
        <w:t>Criterion 2: Equity</w:t>
      </w:r>
      <w:r>
        <w:t xml:space="preserve"> </w:t>
      </w:r>
      <w:r w:rsidR="00121F0F">
        <w:t>was given the highest weighting (40%)</w:t>
      </w:r>
      <w:r w:rsidR="00D53F2C">
        <w:t>,</w:t>
      </w:r>
      <w:r w:rsidR="00121F0F">
        <w:t xml:space="preserve"> representing the importance of VCAT users</w:t>
      </w:r>
      <w:r w:rsidR="0043731F">
        <w:t>’</w:t>
      </w:r>
      <w:r w:rsidR="00121F0F">
        <w:t xml:space="preserve"> ability to access VCAT. </w:t>
      </w:r>
      <w:r w:rsidR="000A3B40">
        <w:t xml:space="preserve">It is important that VCAT fees represent the different </w:t>
      </w:r>
      <w:r w:rsidR="00EA17BB">
        <w:t xml:space="preserve">abilities </w:t>
      </w:r>
      <w:r w:rsidR="000A3B40">
        <w:t>to pay of individual</w:t>
      </w:r>
      <w:r w:rsidR="003F29C3">
        <w:t xml:space="preserve">s </w:t>
      </w:r>
      <w:r w:rsidR="00290148">
        <w:t xml:space="preserve">to </w:t>
      </w:r>
      <w:r w:rsidR="00867E73">
        <w:t>reflec</w:t>
      </w:r>
      <w:r w:rsidR="00524622">
        <w:t>t both the ability to pay and the private benefit that each party derives from the resolution of the dispute.</w:t>
      </w:r>
      <w:r w:rsidR="00E24C79">
        <w:t xml:space="preserve"> </w:t>
      </w:r>
      <w:r w:rsidR="001E30EF">
        <w:t xml:space="preserve">It is important that users are not excluded from the benefits </w:t>
      </w:r>
      <w:r w:rsidR="00867A03">
        <w:t xml:space="preserve">of dispute resolution because of their </w:t>
      </w:r>
      <w:r w:rsidR="008F65C2">
        <w:t>in</w:t>
      </w:r>
      <w:r w:rsidR="00867A03">
        <w:t>ability to pay. A higher score</w:t>
      </w:r>
      <w:r w:rsidR="00E84CD8">
        <w:t xml:space="preserve"> </w:t>
      </w:r>
      <w:r w:rsidR="00F93934">
        <w:t xml:space="preserve">represents a balance of </w:t>
      </w:r>
      <w:r w:rsidR="00326147">
        <w:t>three measures;</w:t>
      </w:r>
      <w:r w:rsidR="00F93934">
        <w:t xml:space="preserve"> </w:t>
      </w:r>
      <w:r w:rsidR="00E84CD8">
        <w:t>a higher number of Victorians</w:t>
      </w:r>
      <w:r w:rsidR="00005A7D">
        <w:t xml:space="preserve"> eligible for the concession fee tier</w:t>
      </w:r>
      <w:r w:rsidR="00F93934">
        <w:t xml:space="preserve">, a greater </w:t>
      </w:r>
      <w:r w:rsidR="00005A7D">
        <w:t xml:space="preserve">proportion of small businesses </w:t>
      </w:r>
      <w:r w:rsidR="00F93934">
        <w:t>eligible for the standard tier</w:t>
      </w:r>
      <w:r w:rsidR="00326147">
        <w:t xml:space="preserve">, </w:t>
      </w:r>
      <w:r w:rsidR="00F93934">
        <w:t xml:space="preserve">and </w:t>
      </w:r>
      <w:r w:rsidR="00326147">
        <w:t>a</w:t>
      </w:r>
      <w:r w:rsidR="00F93934">
        <w:t xml:space="preserve"> </w:t>
      </w:r>
      <w:r w:rsidR="00E974B4">
        <w:t xml:space="preserve">level of fees charged to bigger corporations </w:t>
      </w:r>
      <w:r w:rsidR="00354C06">
        <w:t xml:space="preserve">that reflects </w:t>
      </w:r>
      <w:r w:rsidR="00E974B4">
        <w:t>their ability to pay.</w:t>
      </w:r>
      <w:r w:rsidR="00484A65">
        <w:t xml:space="preserve"> This criteri</w:t>
      </w:r>
      <w:r w:rsidR="0043731F">
        <w:t>on</w:t>
      </w:r>
      <w:r w:rsidR="00484A65">
        <w:t xml:space="preserve"> equally weights the</w:t>
      </w:r>
      <w:r w:rsidR="00354C06">
        <w:t xml:space="preserve">se </w:t>
      </w:r>
      <w:r w:rsidR="00484A65">
        <w:t>three measures.</w:t>
      </w:r>
      <w:r w:rsidR="00F93934">
        <w:t xml:space="preserve"> </w:t>
      </w:r>
    </w:p>
    <w:p w14:paraId="57A1B1EE" w14:textId="7237E7A0" w:rsidR="00484A65" w:rsidRDefault="003D170C" w:rsidP="001F4F44">
      <w:pPr>
        <w:pStyle w:val="DJCSbody"/>
        <w:ind w:left="720"/>
      </w:pPr>
      <w:r w:rsidRPr="000D452B">
        <w:rPr>
          <w:b/>
        </w:rPr>
        <w:t>Criterion 3: Efficiency</w:t>
      </w:r>
      <w:r>
        <w:t xml:space="preserve"> </w:t>
      </w:r>
      <w:r w:rsidR="00AA637C">
        <w:t>receive</w:t>
      </w:r>
      <w:r w:rsidR="00354C06">
        <w:t>d</w:t>
      </w:r>
      <w:r w:rsidR="00AA637C">
        <w:t xml:space="preserve"> a weighting (</w:t>
      </w:r>
      <w:r w:rsidR="004D37A6">
        <w:t>1</w:t>
      </w:r>
      <w:r w:rsidR="00AA637C">
        <w:t xml:space="preserve">5%) </w:t>
      </w:r>
      <w:r w:rsidR="0043731F">
        <w:t>which</w:t>
      </w:r>
      <w:r w:rsidR="0064488E">
        <w:t xml:space="preserve"> reflects</w:t>
      </w:r>
      <w:r w:rsidR="00AA637C">
        <w:t xml:space="preserve"> the importance of </w:t>
      </w:r>
      <w:r w:rsidR="00CF4D55">
        <w:t xml:space="preserve">VCAT fees </w:t>
      </w:r>
      <w:r w:rsidR="0064488E">
        <w:t>being reflective of</w:t>
      </w:r>
      <w:r w:rsidR="00CF4D55">
        <w:t xml:space="preserve"> the underlying cost of the service. </w:t>
      </w:r>
      <w:r w:rsidR="00CE0F9A">
        <w:t>The</w:t>
      </w:r>
      <w:r w:rsidR="00CF4D55">
        <w:t xml:space="preserve"> higher </w:t>
      </w:r>
      <w:r w:rsidR="00DE6AC6">
        <w:t>level of corporate fees relative to concession fees reflects the level of cross</w:t>
      </w:r>
      <w:r w:rsidR="00CE0F9A">
        <w:t>-</w:t>
      </w:r>
      <w:r w:rsidR="00DE6AC6">
        <w:t xml:space="preserve">subsidisation between VCAT users. A </w:t>
      </w:r>
      <w:r w:rsidR="00120BB7">
        <w:t>higher score reflects a lower level of cross</w:t>
      </w:r>
      <w:r w:rsidR="00CE0F9A">
        <w:t>-</w:t>
      </w:r>
      <w:r w:rsidR="004F097A">
        <w:t>subsidisation of concession fee payers by corporate users.</w:t>
      </w:r>
    </w:p>
    <w:p w14:paraId="52B6EFF8" w14:textId="5EBDCC2D" w:rsidR="004F097A" w:rsidRDefault="004F097A" w:rsidP="00FA0CF5">
      <w:pPr>
        <w:pStyle w:val="DJCSbody"/>
        <w:ind w:left="720"/>
      </w:pPr>
      <w:r w:rsidRPr="000D452B">
        <w:rPr>
          <w:b/>
        </w:rPr>
        <w:t>Criterion 4</w:t>
      </w:r>
      <w:r w:rsidR="004D37A6" w:rsidRPr="000D452B">
        <w:rPr>
          <w:b/>
        </w:rPr>
        <w:t>: Simplicity</w:t>
      </w:r>
      <w:r w:rsidR="004D37A6">
        <w:t xml:space="preserve"> is weighted (10%)</w:t>
      </w:r>
      <w:r w:rsidR="00235CD8">
        <w:t xml:space="preserve"> to reflect the impact of changes to VCAT fees on the administration required by VCAT and the ease at which users can understand the fee structure.</w:t>
      </w:r>
      <w:r w:rsidR="007007A0">
        <w:t xml:space="preserve"> A higher score denotes less time required by VCAT staff to administer fees.</w:t>
      </w:r>
    </w:p>
    <w:p w14:paraId="490DD6BF" w14:textId="04C6505D" w:rsidR="009E57B6" w:rsidRDefault="009E57B6" w:rsidP="00FA0CF5">
      <w:pPr>
        <w:pStyle w:val="Heading3"/>
        <w:ind w:left="709"/>
      </w:pPr>
      <w:bookmarkStart w:id="108" w:name="_Toc216179715"/>
      <w:r>
        <w:t>Scale</w:t>
      </w:r>
      <w:bookmarkEnd w:id="108"/>
    </w:p>
    <w:p w14:paraId="32F42971" w14:textId="67A6BE82" w:rsidR="009E57B6" w:rsidRDefault="00096E89" w:rsidP="00FA0CF5">
      <w:pPr>
        <w:pStyle w:val="DJCSbody"/>
        <w:ind w:left="720"/>
      </w:pPr>
      <w:r>
        <w:t>Under the MCA, each option is assessed against the Base Case on a scale from -10 to +10</w:t>
      </w:r>
      <w:r w:rsidRPr="00D63DF9">
        <w:rPr>
          <w:vertAlign w:val="superscript"/>
        </w:rPr>
        <w:footnoteReference w:id="36"/>
      </w:r>
      <w:r w:rsidR="007F0ED8">
        <w:t xml:space="preserve"> for each criterion. Each option receives a weighted score against all criteria </w:t>
      </w:r>
      <w:r w:rsidR="00AD4321">
        <w:t>and the option with the highest weighted score is the preferred option. For the purposes of comparison, the Base Case receives a score of zero for all criteria.</w:t>
      </w:r>
    </w:p>
    <w:p w14:paraId="57B113C4" w14:textId="63B4BBB1" w:rsidR="002A1FBC" w:rsidRDefault="002A1FBC" w:rsidP="006E1343">
      <w:pPr>
        <w:pStyle w:val="DJCStablecaption"/>
        <w:rPr>
          <w:i w:val="0"/>
          <w:iCs/>
          <w:sz w:val="18"/>
          <w:szCs w:val="16"/>
        </w:rPr>
      </w:pPr>
      <w:r w:rsidRPr="004416CB">
        <w:t xml:space="preserve">Table </w:t>
      </w:r>
      <w:r w:rsidR="00B076F0">
        <w:t>14</w:t>
      </w:r>
      <w:r w:rsidRPr="000D452B">
        <w:t>:</w:t>
      </w:r>
      <w:r w:rsidRPr="004416CB">
        <w:rPr>
          <w:i w:val="0"/>
          <w:iCs/>
          <w:sz w:val="18"/>
          <w:szCs w:val="16"/>
        </w:rPr>
        <w:t xml:space="preserve"> </w:t>
      </w:r>
      <w:r w:rsidRPr="000D452B">
        <w:rPr>
          <w:i w:val="0"/>
          <w:szCs w:val="22"/>
        </w:rPr>
        <w:t>Scale for Scoring the MCA</w:t>
      </w:r>
    </w:p>
    <w:tbl>
      <w:tblPr>
        <w:tblStyle w:val="TableGrid"/>
        <w:tblW w:w="948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059"/>
        <w:gridCol w:w="1059"/>
        <w:gridCol w:w="1060"/>
        <w:gridCol w:w="1275"/>
        <w:gridCol w:w="1063"/>
        <w:gridCol w:w="1063"/>
        <w:gridCol w:w="1063"/>
        <w:gridCol w:w="780"/>
      </w:tblGrid>
      <w:tr w:rsidR="002A1FBC" w:rsidRPr="00FF5E7F" w14:paraId="609AE7B5" w14:textId="77777777" w:rsidTr="00F75D98">
        <w:trPr>
          <w:trHeight w:val="372"/>
        </w:trPr>
        <w:tc>
          <w:tcPr>
            <w:tcW w:w="4237" w:type="dxa"/>
            <w:gridSpan w:val="4"/>
            <w:shd w:val="clear" w:color="auto" w:fill="DBDBDB" w:themeFill="accent6" w:themeFillTint="66"/>
            <w:vAlign w:val="center"/>
          </w:tcPr>
          <w:p w14:paraId="3F502D4E" w14:textId="77777777" w:rsidR="002A1FBC" w:rsidRPr="00FF5E7F" w:rsidRDefault="002A1FBC" w:rsidP="00FC64F5">
            <w:pPr>
              <w:pStyle w:val="DJCSbody"/>
              <w:spacing w:before="60" w:after="60"/>
              <w:ind w:left="0"/>
              <w:jc w:val="center"/>
              <w:rPr>
                <w:sz w:val="21"/>
                <w:szCs w:val="21"/>
              </w:rPr>
            </w:pPr>
            <w:r w:rsidRPr="00FF5E7F">
              <w:rPr>
                <w:sz w:val="21"/>
                <w:szCs w:val="21"/>
              </w:rPr>
              <w:t>Negative</w:t>
            </w:r>
          </w:p>
        </w:tc>
        <w:tc>
          <w:tcPr>
            <w:tcW w:w="1275" w:type="dxa"/>
            <w:vAlign w:val="center"/>
          </w:tcPr>
          <w:p w14:paraId="01E6E0C8" w14:textId="77777777" w:rsidR="002A1FBC" w:rsidRPr="00FF5E7F" w:rsidRDefault="002A1FBC" w:rsidP="00FC64F5">
            <w:pPr>
              <w:pStyle w:val="DJCSbody"/>
              <w:spacing w:before="60" w:after="60"/>
              <w:ind w:left="0"/>
              <w:jc w:val="center"/>
              <w:rPr>
                <w:sz w:val="21"/>
                <w:szCs w:val="21"/>
              </w:rPr>
            </w:pPr>
            <w:r w:rsidRPr="00FF5E7F">
              <w:rPr>
                <w:sz w:val="21"/>
                <w:szCs w:val="21"/>
              </w:rPr>
              <w:t>Neutral</w:t>
            </w:r>
          </w:p>
        </w:tc>
        <w:tc>
          <w:tcPr>
            <w:tcW w:w="3969" w:type="dxa"/>
            <w:gridSpan w:val="4"/>
            <w:shd w:val="clear" w:color="auto" w:fill="A2D668"/>
            <w:vAlign w:val="center"/>
          </w:tcPr>
          <w:p w14:paraId="114A0B29" w14:textId="77777777" w:rsidR="002A1FBC" w:rsidRPr="00FF5E7F" w:rsidRDefault="002A1FBC" w:rsidP="00FC64F5">
            <w:pPr>
              <w:pStyle w:val="DJCSbody"/>
              <w:spacing w:before="60" w:after="60"/>
              <w:ind w:left="0"/>
              <w:jc w:val="center"/>
              <w:rPr>
                <w:sz w:val="21"/>
                <w:szCs w:val="21"/>
              </w:rPr>
            </w:pPr>
            <w:r w:rsidRPr="00FF5E7F">
              <w:rPr>
                <w:sz w:val="21"/>
                <w:szCs w:val="21"/>
              </w:rPr>
              <w:t>Positive</w:t>
            </w:r>
          </w:p>
        </w:tc>
      </w:tr>
      <w:tr w:rsidR="002A1FBC" w:rsidRPr="00FF5E7F" w14:paraId="1D646F32" w14:textId="77777777" w:rsidTr="00F75D98">
        <w:trPr>
          <w:trHeight w:val="384"/>
        </w:trPr>
        <w:tc>
          <w:tcPr>
            <w:tcW w:w="1059" w:type="dxa"/>
            <w:shd w:val="clear" w:color="auto" w:fill="DBDBDB" w:themeFill="accent6" w:themeFillTint="66"/>
            <w:vAlign w:val="center"/>
          </w:tcPr>
          <w:p w14:paraId="31B7E3FF" w14:textId="77777777" w:rsidR="002A1FBC" w:rsidRPr="00FF5E7F" w:rsidRDefault="002A1FBC" w:rsidP="00FC64F5">
            <w:pPr>
              <w:pStyle w:val="DJCSbody"/>
              <w:spacing w:before="60" w:after="60"/>
              <w:ind w:left="0"/>
              <w:jc w:val="center"/>
              <w:rPr>
                <w:sz w:val="21"/>
                <w:szCs w:val="21"/>
              </w:rPr>
            </w:pPr>
            <w:r w:rsidRPr="00FF5E7F">
              <w:rPr>
                <w:sz w:val="21"/>
                <w:szCs w:val="21"/>
              </w:rPr>
              <w:t>-10</w:t>
            </w:r>
          </w:p>
        </w:tc>
        <w:tc>
          <w:tcPr>
            <w:tcW w:w="1059" w:type="dxa"/>
            <w:shd w:val="clear" w:color="auto" w:fill="DBDBDB" w:themeFill="accent6" w:themeFillTint="66"/>
            <w:vAlign w:val="center"/>
          </w:tcPr>
          <w:p w14:paraId="76B26DEC" w14:textId="77777777" w:rsidR="002A1FBC" w:rsidRPr="00FF5E7F" w:rsidRDefault="002A1FBC" w:rsidP="00FC64F5">
            <w:pPr>
              <w:pStyle w:val="DJCSbody"/>
              <w:spacing w:before="60" w:after="60"/>
              <w:ind w:left="0"/>
              <w:jc w:val="center"/>
              <w:rPr>
                <w:sz w:val="21"/>
                <w:szCs w:val="21"/>
              </w:rPr>
            </w:pPr>
            <w:r w:rsidRPr="00FF5E7F">
              <w:rPr>
                <w:sz w:val="21"/>
                <w:szCs w:val="21"/>
              </w:rPr>
              <w:t>-7 to -9</w:t>
            </w:r>
          </w:p>
        </w:tc>
        <w:tc>
          <w:tcPr>
            <w:tcW w:w="1059" w:type="dxa"/>
            <w:shd w:val="clear" w:color="auto" w:fill="DBDBDB" w:themeFill="accent6" w:themeFillTint="66"/>
            <w:vAlign w:val="center"/>
          </w:tcPr>
          <w:p w14:paraId="362FF118" w14:textId="77777777" w:rsidR="002A1FBC" w:rsidRPr="00FF5E7F" w:rsidRDefault="002A1FBC" w:rsidP="00FC64F5">
            <w:pPr>
              <w:pStyle w:val="DJCSbody"/>
              <w:spacing w:before="60" w:after="60"/>
              <w:ind w:left="0"/>
              <w:jc w:val="center"/>
              <w:rPr>
                <w:sz w:val="21"/>
                <w:szCs w:val="21"/>
              </w:rPr>
            </w:pPr>
            <w:r w:rsidRPr="00FF5E7F">
              <w:rPr>
                <w:sz w:val="21"/>
                <w:szCs w:val="21"/>
              </w:rPr>
              <w:t>-4 to -6</w:t>
            </w:r>
          </w:p>
        </w:tc>
        <w:tc>
          <w:tcPr>
            <w:tcW w:w="1060" w:type="dxa"/>
            <w:shd w:val="clear" w:color="auto" w:fill="DBDBDB" w:themeFill="accent6" w:themeFillTint="66"/>
            <w:vAlign w:val="center"/>
          </w:tcPr>
          <w:p w14:paraId="6840F105" w14:textId="77777777" w:rsidR="002A1FBC" w:rsidRPr="00FF5E7F" w:rsidRDefault="002A1FBC" w:rsidP="00FC64F5">
            <w:pPr>
              <w:pStyle w:val="DJCSbody"/>
              <w:spacing w:before="60" w:after="60"/>
              <w:ind w:left="0"/>
              <w:jc w:val="center"/>
              <w:rPr>
                <w:sz w:val="21"/>
                <w:szCs w:val="21"/>
              </w:rPr>
            </w:pPr>
            <w:r w:rsidRPr="00FF5E7F">
              <w:rPr>
                <w:sz w:val="21"/>
                <w:szCs w:val="21"/>
              </w:rPr>
              <w:t>-1 to -3</w:t>
            </w:r>
          </w:p>
        </w:tc>
        <w:tc>
          <w:tcPr>
            <w:tcW w:w="1275" w:type="dxa"/>
            <w:vAlign w:val="center"/>
          </w:tcPr>
          <w:p w14:paraId="1E6B3BB6" w14:textId="77777777" w:rsidR="002A1FBC" w:rsidRPr="00FF5E7F" w:rsidRDefault="002A1FBC" w:rsidP="00FC64F5">
            <w:pPr>
              <w:pStyle w:val="DJCSbody"/>
              <w:spacing w:before="60" w:after="60"/>
              <w:ind w:left="0"/>
              <w:jc w:val="center"/>
              <w:rPr>
                <w:sz w:val="21"/>
                <w:szCs w:val="21"/>
              </w:rPr>
            </w:pPr>
            <w:r w:rsidRPr="00FF5E7F">
              <w:rPr>
                <w:sz w:val="21"/>
                <w:szCs w:val="21"/>
              </w:rPr>
              <w:t>0</w:t>
            </w:r>
          </w:p>
        </w:tc>
        <w:tc>
          <w:tcPr>
            <w:tcW w:w="1063" w:type="dxa"/>
            <w:shd w:val="clear" w:color="auto" w:fill="A2D668"/>
            <w:vAlign w:val="center"/>
          </w:tcPr>
          <w:p w14:paraId="12DE885E" w14:textId="77777777" w:rsidR="002A1FBC" w:rsidRPr="00FF5E7F" w:rsidRDefault="002A1FBC" w:rsidP="00FC64F5">
            <w:pPr>
              <w:pStyle w:val="DJCSbody"/>
              <w:spacing w:before="60" w:after="60"/>
              <w:ind w:left="0"/>
              <w:jc w:val="center"/>
              <w:rPr>
                <w:sz w:val="21"/>
                <w:szCs w:val="21"/>
              </w:rPr>
            </w:pPr>
            <w:r w:rsidRPr="00FF5E7F">
              <w:rPr>
                <w:sz w:val="21"/>
                <w:szCs w:val="21"/>
              </w:rPr>
              <w:t>1 to 3</w:t>
            </w:r>
          </w:p>
        </w:tc>
        <w:tc>
          <w:tcPr>
            <w:tcW w:w="1063" w:type="dxa"/>
            <w:shd w:val="clear" w:color="auto" w:fill="A2D668"/>
            <w:vAlign w:val="center"/>
          </w:tcPr>
          <w:p w14:paraId="7E222A0E" w14:textId="77777777" w:rsidR="002A1FBC" w:rsidRPr="00FF5E7F" w:rsidRDefault="002A1FBC" w:rsidP="00FC64F5">
            <w:pPr>
              <w:pStyle w:val="DJCSbody"/>
              <w:spacing w:before="60" w:after="60"/>
              <w:ind w:left="0"/>
              <w:jc w:val="center"/>
              <w:rPr>
                <w:sz w:val="21"/>
                <w:szCs w:val="21"/>
              </w:rPr>
            </w:pPr>
            <w:r w:rsidRPr="00FF5E7F">
              <w:rPr>
                <w:sz w:val="21"/>
                <w:szCs w:val="21"/>
              </w:rPr>
              <w:t>4 to 6</w:t>
            </w:r>
          </w:p>
        </w:tc>
        <w:tc>
          <w:tcPr>
            <w:tcW w:w="1063" w:type="dxa"/>
            <w:shd w:val="clear" w:color="auto" w:fill="A2D668"/>
            <w:vAlign w:val="center"/>
          </w:tcPr>
          <w:p w14:paraId="7FB445DB" w14:textId="77777777" w:rsidR="002A1FBC" w:rsidRPr="00FF5E7F" w:rsidRDefault="002A1FBC" w:rsidP="00FC64F5">
            <w:pPr>
              <w:pStyle w:val="DJCSbody"/>
              <w:spacing w:before="60" w:after="60"/>
              <w:ind w:left="0"/>
              <w:jc w:val="center"/>
              <w:rPr>
                <w:sz w:val="21"/>
                <w:szCs w:val="21"/>
              </w:rPr>
            </w:pPr>
            <w:r w:rsidRPr="00FF5E7F">
              <w:rPr>
                <w:sz w:val="21"/>
                <w:szCs w:val="21"/>
              </w:rPr>
              <w:t>7 to 9</w:t>
            </w:r>
          </w:p>
        </w:tc>
        <w:tc>
          <w:tcPr>
            <w:tcW w:w="780" w:type="dxa"/>
            <w:shd w:val="clear" w:color="auto" w:fill="A2D668"/>
            <w:vAlign w:val="center"/>
          </w:tcPr>
          <w:p w14:paraId="41E8DC9E" w14:textId="77777777" w:rsidR="002A1FBC" w:rsidRPr="00FF5E7F" w:rsidRDefault="002A1FBC" w:rsidP="00FC64F5">
            <w:pPr>
              <w:pStyle w:val="DJCSbody"/>
              <w:spacing w:before="60" w:after="60"/>
              <w:ind w:left="0"/>
              <w:jc w:val="center"/>
              <w:rPr>
                <w:sz w:val="21"/>
                <w:szCs w:val="21"/>
              </w:rPr>
            </w:pPr>
            <w:r w:rsidRPr="00FF5E7F">
              <w:rPr>
                <w:sz w:val="21"/>
                <w:szCs w:val="21"/>
              </w:rPr>
              <w:t>10</w:t>
            </w:r>
          </w:p>
        </w:tc>
      </w:tr>
      <w:tr w:rsidR="002A1FBC" w:rsidRPr="00FF5E7F" w14:paraId="7CC62FD4" w14:textId="77777777" w:rsidTr="00F75D98">
        <w:trPr>
          <w:trHeight w:val="384"/>
        </w:trPr>
        <w:tc>
          <w:tcPr>
            <w:tcW w:w="1059" w:type="dxa"/>
            <w:shd w:val="clear" w:color="auto" w:fill="DBDBDB" w:themeFill="accent6" w:themeFillTint="66"/>
            <w:vAlign w:val="center"/>
          </w:tcPr>
          <w:p w14:paraId="310A83D1" w14:textId="77777777" w:rsidR="002A1FBC" w:rsidRPr="00FF5E7F" w:rsidRDefault="002A1FBC" w:rsidP="00FC64F5">
            <w:pPr>
              <w:pStyle w:val="DJCSbody"/>
              <w:spacing w:before="60" w:after="60"/>
              <w:ind w:left="0"/>
              <w:jc w:val="center"/>
              <w:rPr>
                <w:sz w:val="21"/>
                <w:szCs w:val="21"/>
              </w:rPr>
            </w:pPr>
            <w:r w:rsidRPr="00FF5E7F">
              <w:rPr>
                <w:sz w:val="21"/>
                <w:szCs w:val="21"/>
              </w:rPr>
              <w:t>Very High</w:t>
            </w:r>
          </w:p>
        </w:tc>
        <w:tc>
          <w:tcPr>
            <w:tcW w:w="1059" w:type="dxa"/>
            <w:shd w:val="clear" w:color="auto" w:fill="DBDBDB" w:themeFill="accent6" w:themeFillTint="66"/>
            <w:vAlign w:val="center"/>
          </w:tcPr>
          <w:p w14:paraId="7B6FBAAB" w14:textId="77777777" w:rsidR="002A1FBC" w:rsidRPr="00FF5E7F" w:rsidRDefault="002A1FBC" w:rsidP="00FC64F5">
            <w:pPr>
              <w:pStyle w:val="DJCSbody"/>
              <w:spacing w:before="60" w:after="60"/>
              <w:ind w:left="0"/>
              <w:jc w:val="center"/>
              <w:rPr>
                <w:sz w:val="21"/>
                <w:szCs w:val="21"/>
              </w:rPr>
            </w:pPr>
            <w:r w:rsidRPr="00FF5E7F">
              <w:rPr>
                <w:sz w:val="21"/>
                <w:szCs w:val="21"/>
              </w:rPr>
              <w:t>High</w:t>
            </w:r>
          </w:p>
        </w:tc>
        <w:tc>
          <w:tcPr>
            <w:tcW w:w="1059" w:type="dxa"/>
            <w:shd w:val="clear" w:color="auto" w:fill="DBDBDB" w:themeFill="accent6" w:themeFillTint="66"/>
            <w:vAlign w:val="center"/>
          </w:tcPr>
          <w:p w14:paraId="085938D9" w14:textId="77777777" w:rsidR="002A1FBC" w:rsidRPr="00FF5E7F" w:rsidRDefault="002A1FBC" w:rsidP="00FC64F5">
            <w:pPr>
              <w:pStyle w:val="DJCSbody"/>
              <w:spacing w:before="60" w:after="60"/>
              <w:ind w:left="0"/>
              <w:jc w:val="center"/>
              <w:rPr>
                <w:sz w:val="21"/>
                <w:szCs w:val="21"/>
              </w:rPr>
            </w:pPr>
            <w:r w:rsidRPr="00FF5E7F">
              <w:rPr>
                <w:sz w:val="21"/>
                <w:szCs w:val="21"/>
              </w:rPr>
              <w:t>Medium</w:t>
            </w:r>
          </w:p>
        </w:tc>
        <w:tc>
          <w:tcPr>
            <w:tcW w:w="1060" w:type="dxa"/>
            <w:shd w:val="clear" w:color="auto" w:fill="DBDBDB" w:themeFill="accent6" w:themeFillTint="66"/>
            <w:vAlign w:val="center"/>
          </w:tcPr>
          <w:p w14:paraId="61E680B9" w14:textId="77777777" w:rsidR="002A1FBC" w:rsidRPr="00FF5E7F" w:rsidRDefault="002A1FBC" w:rsidP="00FC64F5">
            <w:pPr>
              <w:pStyle w:val="DJCSbody"/>
              <w:spacing w:before="60" w:after="60"/>
              <w:ind w:left="0"/>
              <w:jc w:val="center"/>
              <w:rPr>
                <w:sz w:val="21"/>
                <w:szCs w:val="21"/>
              </w:rPr>
            </w:pPr>
            <w:r w:rsidRPr="00FF5E7F">
              <w:rPr>
                <w:sz w:val="21"/>
                <w:szCs w:val="21"/>
              </w:rPr>
              <w:t>Low</w:t>
            </w:r>
          </w:p>
        </w:tc>
        <w:tc>
          <w:tcPr>
            <w:tcW w:w="1275" w:type="dxa"/>
            <w:vAlign w:val="center"/>
          </w:tcPr>
          <w:p w14:paraId="62E51345" w14:textId="77777777" w:rsidR="002A1FBC" w:rsidRPr="00FF5E7F" w:rsidRDefault="002A1FBC" w:rsidP="00FC64F5">
            <w:pPr>
              <w:pStyle w:val="DJCSbody"/>
              <w:spacing w:before="60" w:after="60"/>
              <w:ind w:left="0"/>
              <w:jc w:val="center"/>
              <w:rPr>
                <w:sz w:val="21"/>
                <w:szCs w:val="21"/>
              </w:rPr>
            </w:pPr>
            <w:r w:rsidRPr="00FF5E7F">
              <w:rPr>
                <w:sz w:val="21"/>
                <w:szCs w:val="21"/>
              </w:rPr>
              <w:t>Nil</w:t>
            </w:r>
          </w:p>
        </w:tc>
        <w:tc>
          <w:tcPr>
            <w:tcW w:w="1063" w:type="dxa"/>
            <w:shd w:val="clear" w:color="auto" w:fill="A2D668"/>
            <w:vAlign w:val="center"/>
          </w:tcPr>
          <w:p w14:paraId="092124A6" w14:textId="77777777" w:rsidR="002A1FBC" w:rsidRPr="00FF5E7F" w:rsidRDefault="002A1FBC" w:rsidP="00FC64F5">
            <w:pPr>
              <w:pStyle w:val="DJCSbody"/>
              <w:spacing w:before="60" w:after="60"/>
              <w:ind w:left="0"/>
              <w:jc w:val="center"/>
              <w:rPr>
                <w:sz w:val="21"/>
                <w:szCs w:val="21"/>
              </w:rPr>
            </w:pPr>
            <w:r w:rsidRPr="00FF5E7F">
              <w:rPr>
                <w:sz w:val="21"/>
                <w:szCs w:val="21"/>
              </w:rPr>
              <w:t>Low</w:t>
            </w:r>
          </w:p>
        </w:tc>
        <w:tc>
          <w:tcPr>
            <w:tcW w:w="1063" w:type="dxa"/>
            <w:shd w:val="clear" w:color="auto" w:fill="A2D668"/>
            <w:vAlign w:val="center"/>
          </w:tcPr>
          <w:p w14:paraId="57879AF7" w14:textId="77777777" w:rsidR="002A1FBC" w:rsidRPr="00FF5E7F" w:rsidRDefault="002A1FBC" w:rsidP="00FC64F5">
            <w:pPr>
              <w:pStyle w:val="DJCSbody"/>
              <w:spacing w:before="60" w:after="60"/>
              <w:ind w:left="0"/>
              <w:jc w:val="center"/>
              <w:rPr>
                <w:sz w:val="21"/>
                <w:szCs w:val="21"/>
              </w:rPr>
            </w:pPr>
            <w:r w:rsidRPr="00FF5E7F">
              <w:rPr>
                <w:sz w:val="21"/>
                <w:szCs w:val="21"/>
              </w:rPr>
              <w:t>Medium</w:t>
            </w:r>
          </w:p>
        </w:tc>
        <w:tc>
          <w:tcPr>
            <w:tcW w:w="1063" w:type="dxa"/>
            <w:shd w:val="clear" w:color="auto" w:fill="A2D668"/>
            <w:vAlign w:val="center"/>
          </w:tcPr>
          <w:p w14:paraId="0850EB72" w14:textId="77777777" w:rsidR="002A1FBC" w:rsidRPr="00FF5E7F" w:rsidRDefault="002A1FBC" w:rsidP="00FC64F5">
            <w:pPr>
              <w:pStyle w:val="DJCSbody"/>
              <w:spacing w:before="60" w:after="60"/>
              <w:ind w:left="0"/>
              <w:jc w:val="center"/>
              <w:rPr>
                <w:sz w:val="21"/>
                <w:szCs w:val="21"/>
              </w:rPr>
            </w:pPr>
            <w:r w:rsidRPr="00FF5E7F">
              <w:rPr>
                <w:sz w:val="21"/>
                <w:szCs w:val="21"/>
              </w:rPr>
              <w:t>High</w:t>
            </w:r>
          </w:p>
        </w:tc>
        <w:tc>
          <w:tcPr>
            <w:tcW w:w="780" w:type="dxa"/>
            <w:shd w:val="clear" w:color="auto" w:fill="A2D668"/>
            <w:vAlign w:val="center"/>
          </w:tcPr>
          <w:p w14:paraId="2365359B" w14:textId="77777777" w:rsidR="002A1FBC" w:rsidRPr="00FF5E7F" w:rsidRDefault="002A1FBC" w:rsidP="00FC64F5">
            <w:pPr>
              <w:pStyle w:val="DJCSbody"/>
              <w:spacing w:before="60" w:after="60"/>
              <w:ind w:left="0"/>
              <w:jc w:val="center"/>
              <w:rPr>
                <w:sz w:val="21"/>
                <w:szCs w:val="21"/>
              </w:rPr>
            </w:pPr>
            <w:r w:rsidRPr="00FF5E7F">
              <w:rPr>
                <w:sz w:val="21"/>
                <w:szCs w:val="21"/>
              </w:rPr>
              <w:t>Very High</w:t>
            </w:r>
          </w:p>
        </w:tc>
      </w:tr>
    </w:tbl>
    <w:p w14:paraId="585533CD" w14:textId="77777777" w:rsidR="002A1FBC" w:rsidRPr="00A00994" w:rsidRDefault="002A1FBC" w:rsidP="009E57B6">
      <w:pPr>
        <w:pStyle w:val="DJCSbody"/>
      </w:pPr>
    </w:p>
    <w:p w14:paraId="05CB9BE5" w14:textId="2AD4357A" w:rsidR="009E57B6" w:rsidRDefault="009E57B6" w:rsidP="009E57B6">
      <w:pPr>
        <w:pStyle w:val="Heading2"/>
      </w:pPr>
      <w:bookmarkStart w:id="109" w:name="_Toc216179716"/>
      <w:r w:rsidRPr="009E57B6">
        <w:lastRenderedPageBreak/>
        <w:t>Multi-Criteria Analysis</w:t>
      </w:r>
      <w:bookmarkEnd w:id="109"/>
    </w:p>
    <w:p w14:paraId="5F35EA39" w14:textId="30026ADD" w:rsidR="009E57B6" w:rsidRDefault="0046403D" w:rsidP="00FA0CF5">
      <w:pPr>
        <w:pStyle w:val="Heading3"/>
        <w:ind w:left="709"/>
      </w:pPr>
      <w:bookmarkStart w:id="110" w:name="_Toc207716359"/>
      <w:bookmarkStart w:id="111" w:name="_Toc216179717"/>
      <w:bookmarkEnd w:id="110"/>
      <w:r w:rsidRPr="0046403D">
        <w:t xml:space="preserve">Criterion 1 – </w:t>
      </w:r>
      <w:r w:rsidR="006A5AE0">
        <w:t>Fiscal sustainability</w:t>
      </w:r>
      <w:bookmarkEnd w:id="111"/>
    </w:p>
    <w:p w14:paraId="148B183D" w14:textId="102DC05E" w:rsidR="00001A16" w:rsidRPr="00FA0CF5" w:rsidRDefault="00001A16" w:rsidP="0076176F">
      <w:pPr>
        <w:pStyle w:val="DJCStablecaption"/>
        <w:ind w:left="0" w:firstLine="709"/>
      </w:pPr>
      <w:r w:rsidRPr="00FA0CF5">
        <w:t xml:space="preserve">Table </w:t>
      </w:r>
      <w:r w:rsidR="00EE497F">
        <w:t>1</w:t>
      </w:r>
      <w:r w:rsidR="00B076F0">
        <w:t>5</w:t>
      </w:r>
      <w:r>
        <w:t xml:space="preserve"> Criterion 1 – Fiscal Sustainability</w:t>
      </w:r>
    </w:p>
    <w:tbl>
      <w:tblPr>
        <w:tblW w:w="9082" w:type="dxa"/>
        <w:jc w:val="center"/>
        <w:tblLook w:val="04A0" w:firstRow="1" w:lastRow="0" w:firstColumn="1" w:lastColumn="0" w:noHBand="0" w:noVBand="1"/>
      </w:tblPr>
      <w:tblGrid>
        <w:gridCol w:w="3032"/>
        <w:gridCol w:w="1183"/>
        <w:gridCol w:w="1622"/>
        <w:gridCol w:w="1622"/>
        <w:gridCol w:w="1623"/>
      </w:tblGrid>
      <w:tr w:rsidR="005109C8" w:rsidRPr="005109C8" w14:paraId="6D5B1E1F" w14:textId="77777777" w:rsidTr="001761B8">
        <w:trPr>
          <w:trHeight w:val="269"/>
          <w:jc w:val="center"/>
        </w:trPr>
        <w:tc>
          <w:tcPr>
            <w:tcW w:w="3032" w:type="dxa"/>
            <w:tcBorders>
              <w:top w:val="single" w:sz="8" w:space="0" w:color="auto"/>
              <w:left w:val="single" w:sz="8" w:space="0" w:color="auto"/>
              <w:bottom w:val="single" w:sz="8" w:space="0" w:color="auto"/>
              <w:right w:val="single" w:sz="8" w:space="0" w:color="auto"/>
            </w:tcBorders>
            <w:shd w:val="clear" w:color="000000" w:fill="16145F"/>
            <w:vAlign w:val="center"/>
            <w:hideMark/>
          </w:tcPr>
          <w:p w14:paraId="53D39B34" w14:textId="77777777" w:rsidR="005109C8" w:rsidRPr="005109C8" w:rsidRDefault="005109C8" w:rsidP="005109C8">
            <w:pPr>
              <w:jc w:val="center"/>
              <w:rPr>
                <w:rFonts w:ascii="Arial" w:hAnsi="Arial" w:cs="Arial"/>
                <w:b/>
                <w:bCs/>
                <w:color w:val="FFFFFF"/>
                <w:lang w:eastAsia="ko-KR"/>
              </w:rPr>
            </w:pPr>
            <w:r w:rsidRPr="005109C8">
              <w:rPr>
                <w:rFonts w:ascii="Arial" w:hAnsi="Arial" w:cs="Arial"/>
                <w:b/>
                <w:bCs/>
                <w:color w:val="FFFFFF"/>
                <w:lang w:eastAsia="ko-KR"/>
              </w:rPr>
              <w:t>Criterion 1 – Fiscal Sustainability</w:t>
            </w:r>
          </w:p>
        </w:tc>
        <w:tc>
          <w:tcPr>
            <w:tcW w:w="1183" w:type="dxa"/>
            <w:tcBorders>
              <w:top w:val="single" w:sz="8" w:space="0" w:color="auto"/>
              <w:left w:val="nil"/>
              <w:bottom w:val="single" w:sz="8" w:space="0" w:color="auto"/>
              <w:right w:val="single" w:sz="8" w:space="0" w:color="auto"/>
            </w:tcBorders>
            <w:shd w:val="clear" w:color="000000" w:fill="16145F"/>
            <w:vAlign w:val="center"/>
            <w:hideMark/>
          </w:tcPr>
          <w:p w14:paraId="77F5F6F3" w14:textId="77777777" w:rsidR="005109C8" w:rsidRPr="005109C8" w:rsidRDefault="005109C8" w:rsidP="005109C8">
            <w:pPr>
              <w:jc w:val="center"/>
              <w:rPr>
                <w:rFonts w:ascii="Arial" w:hAnsi="Arial" w:cs="Arial"/>
                <w:b/>
                <w:bCs/>
                <w:color w:val="FFFFFF"/>
                <w:lang w:eastAsia="ko-KR"/>
              </w:rPr>
            </w:pPr>
            <w:r w:rsidRPr="005109C8">
              <w:rPr>
                <w:rFonts w:ascii="Arial" w:hAnsi="Arial" w:cs="Arial"/>
                <w:b/>
                <w:bCs/>
                <w:color w:val="FFFFFF"/>
                <w:lang w:eastAsia="ko-KR"/>
              </w:rPr>
              <w:t>Weighting</w:t>
            </w:r>
          </w:p>
        </w:tc>
        <w:tc>
          <w:tcPr>
            <w:tcW w:w="1622" w:type="dxa"/>
            <w:tcBorders>
              <w:top w:val="single" w:sz="8" w:space="0" w:color="auto"/>
              <w:left w:val="nil"/>
              <w:bottom w:val="single" w:sz="8" w:space="0" w:color="auto"/>
              <w:right w:val="single" w:sz="8" w:space="0" w:color="auto"/>
            </w:tcBorders>
            <w:shd w:val="clear" w:color="000000" w:fill="16145F"/>
            <w:vAlign w:val="center"/>
            <w:hideMark/>
          </w:tcPr>
          <w:p w14:paraId="320FB90C" w14:textId="77777777" w:rsidR="005109C8" w:rsidRPr="005109C8" w:rsidRDefault="005109C8" w:rsidP="005109C8">
            <w:pPr>
              <w:jc w:val="center"/>
              <w:rPr>
                <w:rFonts w:ascii="Arial" w:hAnsi="Arial" w:cs="Arial"/>
                <w:b/>
                <w:bCs/>
                <w:color w:val="FFFFFF"/>
                <w:lang w:eastAsia="ko-KR"/>
              </w:rPr>
            </w:pPr>
            <w:r w:rsidRPr="005109C8">
              <w:rPr>
                <w:rFonts w:ascii="Arial" w:hAnsi="Arial" w:cs="Arial"/>
                <w:b/>
                <w:bCs/>
                <w:color w:val="FFFFFF"/>
                <w:lang w:eastAsia="ko-KR"/>
              </w:rPr>
              <w:t>Option 1</w:t>
            </w:r>
          </w:p>
        </w:tc>
        <w:tc>
          <w:tcPr>
            <w:tcW w:w="1622" w:type="dxa"/>
            <w:tcBorders>
              <w:top w:val="single" w:sz="8" w:space="0" w:color="auto"/>
              <w:left w:val="nil"/>
              <w:bottom w:val="single" w:sz="8" w:space="0" w:color="auto"/>
              <w:right w:val="single" w:sz="8" w:space="0" w:color="auto"/>
            </w:tcBorders>
            <w:shd w:val="clear" w:color="000000" w:fill="16145F"/>
            <w:vAlign w:val="center"/>
            <w:hideMark/>
          </w:tcPr>
          <w:p w14:paraId="203AC313" w14:textId="77777777" w:rsidR="005109C8" w:rsidRPr="005109C8" w:rsidRDefault="005109C8" w:rsidP="005109C8">
            <w:pPr>
              <w:jc w:val="center"/>
              <w:rPr>
                <w:rFonts w:ascii="Arial" w:hAnsi="Arial" w:cs="Arial"/>
                <w:b/>
                <w:bCs/>
                <w:color w:val="FFFFFF"/>
                <w:lang w:eastAsia="ko-KR"/>
              </w:rPr>
            </w:pPr>
            <w:r w:rsidRPr="005109C8">
              <w:rPr>
                <w:rFonts w:ascii="Arial" w:hAnsi="Arial" w:cs="Arial"/>
                <w:b/>
                <w:bCs/>
                <w:color w:val="FFFFFF"/>
                <w:lang w:eastAsia="ko-KR"/>
              </w:rPr>
              <w:t>Option 2</w:t>
            </w:r>
          </w:p>
        </w:tc>
        <w:tc>
          <w:tcPr>
            <w:tcW w:w="1623" w:type="dxa"/>
            <w:tcBorders>
              <w:top w:val="single" w:sz="8" w:space="0" w:color="auto"/>
              <w:left w:val="nil"/>
              <w:bottom w:val="single" w:sz="8" w:space="0" w:color="auto"/>
              <w:right w:val="single" w:sz="8" w:space="0" w:color="auto"/>
            </w:tcBorders>
            <w:shd w:val="clear" w:color="000000" w:fill="16145F"/>
            <w:vAlign w:val="center"/>
            <w:hideMark/>
          </w:tcPr>
          <w:p w14:paraId="095A6ED9" w14:textId="77777777" w:rsidR="005109C8" w:rsidRPr="005109C8" w:rsidRDefault="005109C8" w:rsidP="005109C8">
            <w:pPr>
              <w:jc w:val="center"/>
              <w:rPr>
                <w:rFonts w:ascii="Arial" w:hAnsi="Arial" w:cs="Arial"/>
                <w:b/>
                <w:bCs/>
                <w:color w:val="FFFFFF"/>
                <w:lang w:eastAsia="ko-KR"/>
              </w:rPr>
            </w:pPr>
            <w:r w:rsidRPr="005109C8">
              <w:rPr>
                <w:rFonts w:ascii="Arial" w:hAnsi="Arial" w:cs="Arial"/>
                <w:b/>
                <w:bCs/>
                <w:color w:val="FFFFFF"/>
                <w:lang w:eastAsia="ko-KR"/>
              </w:rPr>
              <w:t>Option 3</w:t>
            </w:r>
          </w:p>
        </w:tc>
      </w:tr>
      <w:tr w:rsidR="005109C8" w:rsidRPr="005109C8" w14:paraId="26254B56" w14:textId="77777777" w:rsidTr="001761B8">
        <w:trPr>
          <w:trHeight w:val="300"/>
          <w:jc w:val="center"/>
        </w:trPr>
        <w:tc>
          <w:tcPr>
            <w:tcW w:w="3032" w:type="dxa"/>
            <w:tcBorders>
              <w:top w:val="nil"/>
              <w:left w:val="single" w:sz="8" w:space="0" w:color="auto"/>
              <w:bottom w:val="single" w:sz="8" w:space="0" w:color="auto"/>
              <w:right w:val="single" w:sz="8" w:space="0" w:color="auto"/>
            </w:tcBorders>
            <w:vAlign w:val="center"/>
            <w:hideMark/>
          </w:tcPr>
          <w:p w14:paraId="5B9F7A4E" w14:textId="68008FD4" w:rsidR="005109C8" w:rsidRPr="005109C8" w:rsidRDefault="005E4972" w:rsidP="00FA0CF5">
            <w:pPr>
              <w:rPr>
                <w:rFonts w:ascii="Arial" w:hAnsi="Arial" w:cs="Arial"/>
                <w:color w:val="000000"/>
                <w:lang w:eastAsia="ko-KR"/>
              </w:rPr>
            </w:pPr>
            <w:r w:rsidRPr="005E4972">
              <w:rPr>
                <w:rFonts w:ascii="Arial" w:hAnsi="Arial" w:cs="Arial"/>
                <w:color w:val="000000"/>
                <w:lang w:eastAsia="ko-KR"/>
              </w:rPr>
              <w:t>Fees should seek to support the overall fiscal sustainability of VCAT.</w:t>
            </w:r>
          </w:p>
        </w:tc>
        <w:tc>
          <w:tcPr>
            <w:tcW w:w="1183" w:type="dxa"/>
            <w:tcBorders>
              <w:top w:val="nil"/>
              <w:left w:val="nil"/>
              <w:bottom w:val="single" w:sz="8" w:space="0" w:color="auto"/>
              <w:right w:val="single" w:sz="8" w:space="0" w:color="auto"/>
            </w:tcBorders>
            <w:vAlign w:val="center"/>
            <w:hideMark/>
          </w:tcPr>
          <w:p w14:paraId="1023E3AC" w14:textId="77777777" w:rsidR="005109C8" w:rsidRPr="005109C8" w:rsidRDefault="005109C8" w:rsidP="005109C8">
            <w:pPr>
              <w:jc w:val="center"/>
              <w:rPr>
                <w:rFonts w:ascii="Arial" w:hAnsi="Arial" w:cs="Arial"/>
                <w:color w:val="000000"/>
                <w:lang w:eastAsia="ko-KR"/>
              </w:rPr>
            </w:pPr>
            <w:r w:rsidRPr="005109C8">
              <w:rPr>
                <w:rFonts w:ascii="Arial" w:hAnsi="Arial" w:cs="Arial"/>
                <w:color w:val="000000"/>
                <w:lang w:eastAsia="ko-KR"/>
              </w:rPr>
              <w:t>35%</w:t>
            </w:r>
          </w:p>
        </w:tc>
        <w:tc>
          <w:tcPr>
            <w:tcW w:w="1622" w:type="dxa"/>
            <w:tcBorders>
              <w:top w:val="nil"/>
              <w:left w:val="nil"/>
              <w:bottom w:val="single" w:sz="8" w:space="0" w:color="auto"/>
              <w:right w:val="single" w:sz="8" w:space="0" w:color="auto"/>
            </w:tcBorders>
            <w:vAlign w:val="center"/>
            <w:hideMark/>
          </w:tcPr>
          <w:p w14:paraId="4BE1EF16" w14:textId="77777777" w:rsidR="005109C8" w:rsidRPr="005109C8" w:rsidRDefault="005109C8" w:rsidP="005109C8">
            <w:pPr>
              <w:jc w:val="center"/>
              <w:rPr>
                <w:rFonts w:ascii="Arial" w:hAnsi="Arial" w:cs="Arial"/>
                <w:color w:val="000000"/>
                <w:lang w:eastAsia="ko-KR"/>
              </w:rPr>
            </w:pPr>
            <w:r w:rsidRPr="005109C8">
              <w:rPr>
                <w:rFonts w:ascii="Arial" w:hAnsi="Arial" w:cs="Arial"/>
                <w:color w:val="000000"/>
                <w:lang w:eastAsia="ko-KR"/>
              </w:rPr>
              <w:t>5</w:t>
            </w:r>
          </w:p>
        </w:tc>
        <w:tc>
          <w:tcPr>
            <w:tcW w:w="1622" w:type="dxa"/>
            <w:tcBorders>
              <w:top w:val="nil"/>
              <w:left w:val="nil"/>
              <w:bottom w:val="single" w:sz="8" w:space="0" w:color="auto"/>
              <w:right w:val="single" w:sz="8" w:space="0" w:color="auto"/>
            </w:tcBorders>
            <w:vAlign w:val="center"/>
            <w:hideMark/>
          </w:tcPr>
          <w:p w14:paraId="359E0246" w14:textId="77777777" w:rsidR="005109C8" w:rsidRPr="005109C8" w:rsidRDefault="005109C8" w:rsidP="005109C8">
            <w:pPr>
              <w:jc w:val="center"/>
              <w:rPr>
                <w:rFonts w:ascii="Arial" w:hAnsi="Arial" w:cs="Arial"/>
                <w:color w:val="000000"/>
                <w:lang w:eastAsia="ko-KR"/>
              </w:rPr>
            </w:pPr>
            <w:r w:rsidRPr="005109C8">
              <w:rPr>
                <w:rFonts w:ascii="Arial" w:hAnsi="Arial" w:cs="Arial"/>
                <w:color w:val="000000"/>
                <w:lang w:eastAsia="ko-KR"/>
              </w:rPr>
              <w:t>5</w:t>
            </w:r>
          </w:p>
        </w:tc>
        <w:tc>
          <w:tcPr>
            <w:tcW w:w="1623" w:type="dxa"/>
            <w:tcBorders>
              <w:top w:val="nil"/>
              <w:left w:val="nil"/>
              <w:bottom w:val="single" w:sz="8" w:space="0" w:color="auto"/>
              <w:right w:val="single" w:sz="8" w:space="0" w:color="auto"/>
            </w:tcBorders>
            <w:vAlign w:val="center"/>
            <w:hideMark/>
          </w:tcPr>
          <w:p w14:paraId="09CA04C2" w14:textId="71A796BA" w:rsidR="005109C8" w:rsidRPr="005109C8" w:rsidRDefault="005C128E" w:rsidP="005109C8">
            <w:pPr>
              <w:jc w:val="center"/>
              <w:rPr>
                <w:rFonts w:ascii="Arial" w:hAnsi="Arial" w:cs="Arial"/>
                <w:color w:val="000000"/>
                <w:lang w:eastAsia="ko-KR"/>
              </w:rPr>
            </w:pPr>
            <w:r>
              <w:rPr>
                <w:rFonts w:ascii="Arial" w:hAnsi="Arial" w:cs="Arial"/>
                <w:color w:val="000000"/>
                <w:lang w:eastAsia="ko-KR"/>
              </w:rPr>
              <w:t>9</w:t>
            </w:r>
          </w:p>
        </w:tc>
      </w:tr>
      <w:tr w:rsidR="005109C8" w:rsidRPr="005109C8" w14:paraId="672CD814" w14:textId="77777777" w:rsidTr="001761B8">
        <w:trPr>
          <w:trHeight w:val="300"/>
          <w:jc w:val="center"/>
        </w:trPr>
        <w:tc>
          <w:tcPr>
            <w:tcW w:w="4215" w:type="dxa"/>
            <w:gridSpan w:val="2"/>
            <w:tcBorders>
              <w:top w:val="single" w:sz="8" w:space="0" w:color="auto"/>
              <w:left w:val="single" w:sz="8" w:space="0" w:color="auto"/>
              <w:bottom w:val="single" w:sz="8" w:space="0" w:color="auto"/>
              <w:right w:val="single" w:sz="8" w:space="0" w:color="000000"/>
            </w:tcBorders>
            <w:vAlign w:val="center"/>
            <w:hideMark/>
          </w:tcPr>
          <w:p w14:paraId="7FC7F94E" w14:textId="77777777" w:rsidR="005109C8" w:rsidRPr="005109C8" w:rsidRDefault="005109C8" w:rsidP="005109C8">
            <w:pPr>
              <w:jc w:val="center"/>
              <w:rPr>
                <w:rFonts w:ascii="Arial" w:hAnsi="Arial" w:cs="Arial"/>
                <w:b/>
                <w:bCs/>
                <w:color w:val="000000"/>
                <w:lang w:eastAsia="ko-KR"/>
              </w:rPr>
            </w:pPr>
            <w:r w:rsidRPr="005109C8">
              <w:rPr>
                <w:rFonts w:ascii="Arial" w:hAnsi="Arial" w:cs="Arial"/>
                <w:b/>
                <w:bCs/>
                <w:color w:val="000000"/>
                <w:lang w:eastAsia="ko-KR"/>
              </w:rPr>
              <w:t>Weighted Score</w:t>
            </w:r>
          </w:p>
        </w:tc>
        <w:tc>
          <w:tcPr>
            <w:tcW w:w="1622" w:type="dxa"/>
            <w:tcBorders>
              <w:top w:val="nil"/>
              <w:left w:val="nil"/>
              <w:bottom w:val="single" w:sz="8" w:space="0" w:color="auto"/>
              <w:right w:val="single" w:sz="8" w:space="0" w:color="auto"/>
            </w:tcBorders>
            <w:vAlign w:val="center"/>
            <w:hideMark/>
          </w:tcPr>
          <w:p w14:paraId="35B42816" w14:textId="33140191" w:rsidR="005109C8" w:rsidRPr="005109C8" w:rsidRDefault="005109C8" w:rsidP="005109C8">
            <w:pPr>
              <w:jc w:val="center"/>
              <w:rPr>
                <w:rFonts w:ascii="Arial" w:hAnsi="Arial" w:cs="Arial"/>
                <w:color w:val="000000"/>
                <w:lang w:eastAsia="ko-KR"/>
              </w:rPr>
            </w:pPr>
            <w:r w:rsidRPr="005109C8">
              <w:rPr>
                <w:rFonts w:ascii="Arial" w:hAnsi="Arial" w:cs="Arial"/>
                <w:color w:val="000000"/>
                <w:lang w:eastAsia="ko-KR"/>
              </w:rPr>
              <w:t>1.</w:t>
            </w:r>
            <w:r w:rsidR="00E55CCD">
              <w:rPr>
                <w:rFonts w:ascii="Arial" w:hAnsi="Arial" w:cs="Arial"/>
                <w:color w:val="000000"/>
                <w:lang w:eastAsia="ko-KR"/>
              </w:rPr>
              <w:t>8</w:t>
            </w:r>
          </w:p>
        </w:tc>
        <w:tc>
          <w:tcPr>
            <w:tcW w:w="1622" w:type="dxa"/>
            <w:tcBorders>
              <w:top w:val="nil"/>
              <w:left w:val="nil"/>
              <w:bottom w:val="single" w:sz="8" w:space="0" w:color="auto"/>
              <w:right w:val="single" w:sz="8" w:space="0" w:color="auto"/>
            </w:tcBorders>
            <w:vAlign w:val="center"/>
            <w:hideMark/>
          </w:tcPr>
          <w:p w14:paraId="5B72AC7B" w14:textId="142949CC" w:rsidR="005109C8" w:rsidRPr="005109C8" w:rsidRDefault="005109C8" w:rsidP="005109C8">
            <w:pPr>
              <w:jc w:val="center"/>
              <w:rPr>
                <w:rFonts w:ascii="Arial" w:hAnsi="Arial" w:cs="Arial"/>
                <w:color w:val="000000"/>
                <w:lang w:eastAsia="ko-KR"/>
              </w:rPr>
            </w:pPr>
            <w:r w:rsidRPr="005109C8">
              <w:rPr>
                <w:rFonts w:ascii="Arial" w:hAnsi="Arial" w:cs="Arial"/>
                <w:color w:val="000000"/>
                <w:lang w:eastAsia="ko-KR"/>
              </w:rPr>
              <w:t>1.</w:t>
            </w:r>
            <w:r w:rsidR="00E55CCD">
              <w:rPr>
                <w:rFonts w:ascii="Arial" w:hAnsi="Arial" w:cs="Arial"/>
                <w:color w:val="000000"/>
                <w:lang w:eastAsia="ko-KR"/>
              </w:rPr>
              <w:t>8</w:t>
            </w:r>
          </w:p>
        </w:tc>
        <w:tc>
          <w:tcPr>
            <w:tcW w:w="1623" w:type="dxa"/>
            <w:tcBorders>
              <w:top w:val="nil"/>
              <w:left w:val="nil"/>
              <w:bottom w:val="single" w:sz="8" w:space="0" w:color="auto"/>
              <w:right w:val="single" w:sz="8" w:space="0" w:color="auto"/>
            </w:tcBorders>
            <w:vAlign w:val="center"/>
            <w:hideMark/>
          </w:tcPr>
          <w:p w14:paraId="594FD861" w14:textId="517F833A" w:rsidR="005109C8" w:rsidRPr="005109C8" w:rsidRDefault="00055171" w:rsidP="005109C8">
            <w:pPr>
              <w:jc w:val="center"/>
              <w:rPr>
                <w:rFonts w:ascii="Arial" w:hAnsi="Arial" w:cs="Arial"/>
                <w:color w:val="000000"/>
                <w:lang w:eastAsia="ko-KR"/>
              </w:rPr>
            </w:pPr>
            <w:r>
              <w:rPr>
                <w:rFonts w:ascii="Arial" w:hAnsi="Arial" w:cs="Arial"/>
                <w:color w:val="000000"/>
                <w:lang w:eastAsia="ko-KR"/>
              </w:rPr>
              <w:t>3</w:t>
            </w:r>
            <w:r w:rsidR="00EB0A91">
              <w:rPr>
                <w:rFonts w:ascii="Arial" w:hAnsi="Arial" w:cs="Arial"/>
                <w:color w:val="000000"/>
                <w:lang w:eastAsia="ko-KR"/>
              </w:rPr>
              <w:t>.</w:t>
            </w:r>
            <w:r w:rsidR="002D273E">
              <w:rPr>
                <w:rFonts w:ascii="Arial" w:hAnsi="Arial" w:cs="Arial"/>
                <w:color w:val="000000"/>
                <w:lang w:eastAsia="ko-KR"/>
              </w:rPr>
              <w:t>2</w:t>
            </w:r>
          </w:p>
        </w:tc>
      </w:tr>
    </w:tbl>
    <w:p w14:paraId="1DF75E65" w14:textId="77777777" w:rsidR="007B09F3" w:rsidRDefault="007B09F3" w:rsidP="009E57B6">
      <w:pPr>
        <w:pStyle w:val="DJCSbody"/>
        <w:rPr>
          <w:u w:val="single"/>
        </w:rPr>
      </w:pPr>
    </w:p>
    <w:p w14:paraId="0B721A59" w14:textId="53CDEC84" w:rsidR="0046403D" w:rsidRDefault="0046403D" w:rsidP="00703834">
      <w:pPr>
        <w:pStyle w:val="DJCSbody"/>
        <w:tabs>
          <w:tab w:val="left" w:pos="709"/>
        </w:tabs>
        <w:ind w:left="709"/>
        <w:rPr>
          <w:u w:val="single"/>
        </w:rPr>
      </w:pPr>
      <w:r>
        <w:rPr>
          <w:u w:val="single"/>
        </w:rPr>
        <w:t>Base Case</w:t>
      </w:r>
    </w:p>
    <w:p w14:paraId="339800A7" w14:textId="641671F3" w:rsidR="0046403D" w:rsidRDefault="00AC5E53" w:rsidP="00703834">
      <w:pPr>
        <w:pStyle w:val="DJCSbody"/>
        <w:tabs>
          <w:tab w:val="left" w:pos="709"/>
        </w:tabs>
        <w:ind w:left="709"/>
      </w:pPr>
      <w:r>
        <w:t>Under the Base Case, the Regulations would lapse and no fee revenue would be collected</w:t>
      </w:r>
      <w:r w:rsidR="002E7103">
        <w:t>. This means there is a zero cost recovery percentage from fees</w:t>
      </w:r>
      <w:r w:rsidR="00736A12">
        <w:t xml:space="preserve">. </w:t>
      </w:r>
      <w:r w:rsidR="00A64384">
        <w:t>The Base Case is included as a point of comparison for the other options</w:t>
      </w:r>
      <w:r w:rsidR="00817CF3">
        <w:t xml:space="preserve"> analysed below and is therefore awarded a score of 0.</w:t>
      </w:r>
    </w:p>
    <w:p w14:paraId="715E9F92" w14:textId="77777777" w:rsidR="006C287F" w:rsidRDefault="006C287F" w:rsidP="00703834">
      <w:pPr>
        <w:pStyle w:val="DJCSbody"/>
        <w:tabs>
          <w:tab w:val="left" w:pos="709"/>
        </w:tabs>
        <w:ind w:left="709"/>
      </w:pPr>
    </w:p>
    <w:p w14:paraId="042DA4FF" w14:textId="4C1E6F76" w:rsidR="0046403D" w:rsidRDefault="0046403D" w:rsidP="00703834">
      <w:pPr>
        <w:pStyle w:val="DJCSbody"/>
        <w:tabs>
          <w:tab w:val="left" w:pos="709"/>
        </w:tabs>
        <w:ind w:left="709"/>
        <w:rPr>
          <w:u w:val="single"/>
        </w:rPr>
      </w:pPr>
      <w:r>
        <w:rPr>
          <w:u w:val="single"/>
        </w:rPr>
        <w:t xml:space="preserve">Option 1: </w:t>
      </w:r>
      <w:r w:rsidR="002176D9">
        <w:rPr>
          <w:u w:val="single"/>
        </w:rPr>
        <w:t>Continue with Current Fees and Structure</w:t>
      </w:r>
    </w:p>
    <w:p w14:paraId="25C4CD00" w14:textId="35B00CA7" w:rsidR="0046403D" w:rsidRDefault="00F045C1" w:rsidP="00703834">
      <w:pPr>
        <w:pStyle w:val="DJCSbody"/>
        <w:tabs>
          <w:tab w:val="left" w:pos="709"/>
        </w:tabs>
        <w:ind w:left="709"/>
      </w:pPr>
      <w:r>
        <w:t xml:space="preserve">Under Option 1, it is projected that VCAT </w:t>
      </w:r>
      <w:r w:rsidR="00DC29E7">
        <w:t xml:space="preserve">will continue to </w:t>
      </w:r>
      <w:r w:rsidR="004E07C9">
        <w:t xml:space="preserve">generate </w:t>
      </w:r>
      <w:r w:rsidR="00DC29E7">
        <w:t>$</w:t>
      </w:r>
      <w:r w:rsidR="007A4A3C" w:rsidRPr="00703834">
        <w:t>6.</w:t>
      </w:r>
      <w:r w:rsidR="00E11CE8">
        <w:t>5</w:t>
      </w:r>
      <w:r w:rsidR="007A4A3C" w:rsidRPr="00703834">
        <w:t xml:space="preserve"> million</w:t>
      </w:r>
      <w:r w:rsidR="00DC29E7" w:rsidRPr="007A4A3C">
        <w:t xml:space="preserve"> </w:t>
      </w:r>
      <w:r w:rsidR="00DC29E7">
        <w:t xml:space="preserve">in </w:t>
      </w:r>
      <w:r w:rsidR="007A4A3C" w:rsidRPr="007A4A3C">
        <w:t xml:space="preserve">fee </w:t>
      </w:r>
      <w:r w:rsidR="00DC29E7" w:rsidRPr="007A4A3C">
        <w:t>revenue</w:t>
      </w:r>
      <w:r w:rsidR="00DC29E7">
        <w:t xml:space="preserve">, consistent with the </w:t>
      </w:r>
      <w:r w:rsidR="0017089B">
        <w:t>fee revenue</w:t>
      </w:r>
      <w:r w:rsidR="00DC29E7">
        <w:t xml:space="preserve"> raised in 2024-25. </w:t>
      </w:r>
      <w:r w:rsidR="00546545">
        <w:t>This means that VCAT recovers</w:t>
      </w:r>
      <w:r w:rsidR="00DC29E7">
        <w:t xml:space="preserve"> </w:t>
      </w:r>
      <w:r w:rsidR="00755005">
        <w:t>6</w:t>
      </w:r>
      <w:r w:rsidR="00DC29E7">
        <w:t>%</w:t>
      </w:r>
      <w:r w:rsidR="00546545">
        <w:t xml:space="preserve"> of its costs through fees</w:t>
      </w:r>
      <w:r w:rsidR="00DC29E7">
        <w:t xml:space="preserve">. </w:t>
      </w:r>
      <w:r w:rsidR="005820A7">
        <w:t xml:space="preserve">Since there is no revenue from fees in the Base Case, all this fee revenue is </w:t>
      </w:r>
      <w:r w:rsidR="007B09F3">
        <w:t>supplemental.</w:t>
      </w:r>
    </w:p>
    <w:p w14:paraId="6590C777" w14:textId="0FBC02A8" w:rsidR="006C287F" w:rsidRDefault="001902C3" w:rsidP="006E1343">
      <w:pPr>
        <w:pStyle w:val="DJCSbody"/>
        <w:tabs>
          <w:tab w:val="left" w:pos="709"/>
        </w:tabs>
        <w:ind w:left="709"/>
      </w:pPr>
      <w:r>
        <w:t xml:space="preserve">Option 1 raised the same level of fee revenue as Option 2 but </w:t>
      </w:r>
      <w:r w:rsidR="00806EBD">
        <w:t xml:space="preserve">less than the </w:t>
      </w:r>
      <w:r>
        <w:t>fee revenue in Option</w:t>
      </w:r>
      <w:r w:rsidR="007B3D9B">
        <w:t> </w:t>
      </w:r>
      <w:r>
        <w:t>3</w:t>
      </w:r>
      <w:r w:rsidR="00045BAA">
        <w:t xml:space="preserve">. As the fee revenue raised is </w:t>
      </w:r>
      <w:r w:rsidR="00392BFF">
        <w:t xml:space="preserve">greater than the </w:t>
      </w:r>
      <w:r w:rsidR="00045BAA">
        <w:t xml:space="preserve">base case </w:t>
      </w:r>
      <w:r w:rsidR="00392BFF">
        <w:t xml:space="preserve">but less than </w:t>
      </w:r>
      <w:r w:rsidR="00045BAA">
        <w:t>Option 3, Option 1 received a score of 5</w:t>
      </w:r>
      <w:r w:rsidR="00FE6CE3">
        <w:t>.</w:t>
      </w:r>
    </w:p>
    <w:p w14:paraId="21CE081E" w14:textId="77777777" w:rsidR="000C016D" w:rsidRDefault="000C016D" w:rsidP="00703834">
      <w:pPr>
        <w:pStyle w:val="DJCSbody"/>
        <w:tabs>
          <w:tab w:val="left" w:pos="709"/>
        </w:tabs>
        <w:ind w:left="709"/>
      </w:pPr>
    </w:p>
    <w:p w14:paraId="0A3A6AA4" w14:textId="76EC52A1" w:rsidR="0046403D" w:rsidRDefault="0046403D" w:rsidP="00703834">
      <w:pPr>
        <w:pStyle w:val="DJCSbody"/>
        <w:tabs>
          <w:tab w:val="left" w:pos="709"/>
        </w:tabs>
        <w:ind w:left="709"/>
        <w:rPr>
          <w:u w:val="single"/>
        </w:rPr>
      </w:pPr>
      <w:r>
        <w:rPr>
          <w:u w:val="single"/>
        </w:rPr>
        <w:t xml:space="preserve">Option 2: </w:t>
      </w:r>
      <w:r w:rsidR="002176D9">
        <w:rPr>
          <w:u w:val="single"/>
        </w:rPr>
        <w:t>New Fee Structure</w:t>
      </w:r>
    </w:p>
    <w:p w14:paraId="3C9EC5F1" w14:textId="27302754" w:rsidR="0046403D" w:rsidRDefault="007B09F3" w:rsidP="00703834">
      <w:pPr>
        <w:pStyle w:val="DJCSbody"/>
        <w:tabs>
          <w:tab w:val="left" w:pos="709"/>
        </w:tabs>
        <w:ind w:left="709"/>
      </w:pPr>
      <w:r>
        <w:t>Like Option 1</w:t>
      </w:r>
      <w:r w:rsidR="00FE6CE3">
        <w:t>, Option 2 raises $</w:t>
      </w:r>
      <w:r w:rsidR="007A4A3C" w:rsidRPr="00703834">
        <w:t>6.</w:t>
      </w:r>
      <w:r w:rsidR="00803C0E">
        <w:t>5</w:t>
      </w:r>
      <w:r w:rsidR="007A4A3C" w:rsidRPr="00703834">
        <w:t xml:space="preserve"> million</w:t>
      </w:r>
      <w:r w:rsidR="00FE6CE3">
        <w:t xml:space="preserve"> in </w:t>
      </w:r>
      <w:r w:rsidR="003617AC">
        <w:t xml:space="preserve">fee </w:t>
      </w:r>
      <w:r w:rsidR="00FE6CE3">
        <w:t>revenue</w:t>
      </w:r>
      <w:r w:rsidR="00A27321">
        <w:t>,</w:t>
      </w:r>
      <w:r w:rsidR="00FE6CE3">
        <w:t xml:space="preserve"> meaning it </w:t>
      </w:r>
      <w:r w:rsidR="00955F72">
        <w:t xml:space="preserve">also recovers </w:t>
      </w:r>
      <w:r w:rsidR="00755005">
        <w:t>6</w:t>
      </w:r>
      <w:r w:rsidR="00955F72">
        <w:t xml:space="preserve">% of costs from </w:t>
      </w:r>
      <w:r w:rsidR="003617AC">
        <w:t xml:space="preserve">fee revenue. As the level of fee revenue is identical to Option 1, it receives a score of </w:t>
      </w:r>
      <w:r w:rsidR="00916765" w:rsidRPr="00703834">
        <w:t>5</w:t>
      </w:r>
      <w:r w:rsidR="00916765">
        <w:t>.</w:t>
      </w:r>
    </w:p>
    <w:p w14:paraId="461ED712" w14:textId="77777777" w:rsidR="006C287F" w:rsidRDefault="006C287F" w:rsidP="00703834">
      <w:pPr>
        <w:pStyle w:val="DJCSbody"/>
        <w:tabs>
          <w:tab w:val="left" w:pos="709"/>
        </w:tabs>
        <w:ind w:left="709"/>
      </w:pPr>
    </w:p>
    <w:p w14:paraId="52997AF0" w14:textId="011B52CF" w:rsidR="0046403D" w:rsidRPr="0046403D" w:rsidRDefault="0046403D" w:rsidP="00703834">
      <w:pPr>
        <w:pStyle w:val="DJCSbody"/>
        <w:tabs>
          <w:tab w:val="left" w:pos="709"/>
        </w:tabs>
        <w:ind w:left="709"/>
        <w:rPr>
          <w:u w:val="single"/>
        </w:rPr>
      </w:pPr>
      <w:r>
        <w:rPr>
          <w:u w:val="single"/>
        </w:rPr>
        <w:t xml:space="preserve">Option 3: </w:t>
      </w:r>
      <w:r w:rsidR="00736926">
        <w:rPr>
          <w:u w:val="single"/>
        </w:rPr>
        <w:t>New Fee Structure and Increased Cost Recovery</w:t>
      </w:r>
    </w:p>
    <w:p w14:paraId="3267765B" w14:textId="244707C1" w:rsidR="009E57B6" w:rsidRDefault="00916765" w:rsidP="00703834">
      <w:pPr>
        <w:pStyle w:val="DJCSbody"/>
        <w:tabs>
          <w:tab w:val="left" w:pos="709"/>
        </w:tabs>
        <w:ind w:left="709"/>
      </w:pPr>
      <w:r>
        <w:t>Increasing fee levels in Option 3 increases the overall level of fee revenue to $</w:t>
      </w:r>
      <w:r w:rsidR="002C7308" w:rsidRPr="00703834">
        <w:t>1</w:t>
      </w:r>
      <w:r w:rsidR="00CB0AD0">
        <w:t>1</w:t>
      </w:r>
      <w:r w:rsidR="002C7308" w:rsidRPr="00703834">
        <w:t>.</w:t>
      </w:r>
      <w:r w:rsidR="00CB0AD0">
        <w:t>5</w:t>
      </w:r>
      <w:r w:rsidR="006D7C46" w:rsidRPr="00703834">
        <w:t xml:space="preserve"> million</w:t>
      </w:r>
      <w:r w:rsidR="007B0230">
        <w:t>,</w:t>
      </w:r>
      <w:r w:rsidR="000E0508">
        <w:t xml:space="preserve"> meaning that </w:t>
      </w:r>
      <w:r w:rsidR="006D7C46" w:rsidRPr="003076A1">
        <w:t>1</w:t>
      </w:r>
      <w:r w:rsidR="00391CB2">
        <w:t>1</w:t>
      </w:r>
      <w:r w:rsidR="000E0508">
        <w:t>% of costs are covered by fee revenue.</w:t>
      </w:r>
      <w:r w:rsidR="00D00F11">
        <w:t xml:space="preserve"> This is </w:t>
      </w:r>
      <w:r w:rsidR="00FE6E46">
        <w:t>almost two</w:t>
      </w:r>
      <w:r w:rsidR="00135752" w:rsidRPr="003076A1">
        <w:t xml:space="preserve"> times higher</w:t>
      </w:r>
      <w:r w:rsidR="006D7C46" w:rsidRPr="003076A1">
        <w:t xml:space="preserve"> </w:t>
      </w:r>
      <w:r w:rsidR="0016288D">
        <w:t xml:space="preserve">than </w:t>
      </w:r>
      <w:r w:rsidR="00D00F11">
        <w:t>the amount of fee revenue that is collected under Options 1 and 2</w:t>
      </w:r>
      <w:r w:rsidR="00552D28">
        <w:t>,</w:t>
      </w:r>
      <w:r w:rsidR="00290807">
        <w:t xml:space="preserve"> and more than the Base Case.</w:t>
      </w:r>
    </w:p>
    <w:p w14:paraId="32D40380" w14:textId="72871DEE" w:rsidR="00D00F11" w:rsidRDefault="00D00F11" w:rsidP="00703834">
      <w:pPr>
        <w:pStyle w:val="DJCSbody"/>
        <w:tabs>
          <w:tab w:val="left" w:pos="709"/>
        </w:tabs>
        <w:ind w:left="709"/>
      </w:pPr>
      <w:r>
        <w:t xml:space="preserve">Option 3 increases fee revenue by the highest amount so receives </w:t>
      </w:r>
      <w:r w:rsidR="006C287F">
        <w:t xml:space="preserve">a score of </w:t>
      </w:r>
      <w:r w:rsidR="005C128E">
        <w:t>9</w:t>
      </w:r>
      <w:r w:rsidR="006C287F">
        <w:t>.</w:t>
      </w:r>
    </w:p>
    <w:p w14:paraId="2F1D084D" w14:textId="30390E4E" w:rsidR="0046403D" w:rsidRDefault="0046403D" w:rsidP="006E1343">
      <w:pPr>
        <w:pStyle w:val="Heading3"/>
        <w:ind w:left="709"/>
      </w:pPr>
      <w:bookmarkStart w:id="112" w:name="_Toc216179718"/>
      <w:r w:rsidRPr="0046403D">
        <w:t xml:space="preserve">Criterion </w:t>
      </w:r>
      <w:r>
        <w:t>2</w:t>
      </w:r>
      <w:r w:rsidRPr="0046403D">
        <w:t xml:space="preserve"> – </w:t>
      </w:r>
      <w:r w:rsidR="00BF5DE2">
        <w:t>Equity</w:t>
      </w:r>
      <w:bookmarkEnd w:id="112"/>
    </w:p>
    <w:p w14:paraId="4256677F" w14:textId="2BE82831" w:rsidR="000A47D9" w:rsidRPr="00A91832" w:rsidRDefault="000A47D9" w:rsidP="0076176F">
      <w:pPr>
        <w:pStyle w:val="DJCStablecaption"/>
        <w:ind w:left="0" w:firstLine="709"/>
      </w:pPr>
      <w:r w:rsidRPr="00A91832">
        <w:t xml:space="preserve">Table </w:t>
      </w:r>
      <w:r w:rsidR="00EE497F">
        <w:t>1</w:t>
      </w:r>
      <w:r w:rsidR="00B076F0">
        <w:t>6</w:t>
      </w:r>
      <w:r>
        <w:t xml:space="preserve"> Criterion 2 – Equity</w:t>
      </w:r>
    </w:p>
    <w:tbl>
      <w:tblPr>
        <w:tblW w:w="9062" w:type="dxa"/>
        <w:jc w:val="center"/>
        <w:tblLayout w:type="fixed"/>
        <w:tblLook w:val="04A0" w:firstRow="1" w:lastRow="0" w:firstColumn="1" w:lastColumn="0" w:noHBand="0" w:noVBand="1"/>
      </w:tblPr>
      <w:tblGrid>
        <w:gridCol w:w="3534"/>
        <w:gridCol w:w="1276"/>
        <w:gridCol w:w="1417"/>
        <w:gridCol w:w="1386"/>
        <w:gridCol w:w="1449"/>
      </w:tblGrid>
      <w:tr w:rsidR="004908A0" w:rsidRPr="004908A0" w14:paraId="01687467" w14:textId="77777777" w:rsidTr="0076176F">
        <w:trPr>
          <w:trHeight w:val="530"/>
          <w:jc w:val="center"/>
        </w:trPr>
        <w:tc>
          <w:tcPr>
            <w:tcW w:w="3534" w:type="dxa"/>
            <w:tcBorders>
              <w:top w:val="single" w:sz="8" w:space="0" w:color="auto"/>
              <w:left w:val="single" w:sz="8" w:space="0" w:color="auto"/>
              <w:bottom w:val="single" w:sz="8" w:space="0" w:color="auto"/>
              <w:right w:val="single" w:sz="8" w:space="0" w:color="auto"/>
            </w:tcBorders>
            <w:shd w:val="clear" w:color="000000" w:fill="16145F"/>
            <w:vAlign w:val="center"/>
            <w:hideMark/>
          </w:tcPr>
          <w:p w14:paraId="16985D9D" w14:textId="31F6B465" w:rsidR="004908A0" w:rsidRPr="004908A0" w:rsidRDefault="004908A0" w:rsidP="004908A0">
            <w:pPr>
              <w:jc w:val="center"/>
              <w:rPr>
                <w:rFonts w:ascii="Arial" w:hAnsi="Arial" w:cs="Arial"/>
                <w:b/>
                <w:bCs/>
                <w:color w:val="FFFFFF"/>
                <w:lang w:eastAsia="ko-KR"/>
              </w:rPr>
            </w:pPr>
            <w:r w:rsidRPr="004908A0">
              <w:rPr>
                <w:rFonts w:ascii="Arial" w:hAnsi="Arial" w:cs="Arial"/>
                <w:b/>
                <w:bCs/>
                <w:color w:val="FFFFFF"/>
                <w:lang w:eastAsia="ko-KR"/>
              </w:rPr>
              <w:t>Criterion 2 – Equity</w:t>
            </w:r>
          </w:p>
        </w:tc>
        <w:tc>
          <w:tcPr>
            <w:tcW w:w="1276" w:type="dxa"/>
            <w:tcBorders>
              <w:top w:val="single" w:sz="8" w:space="0" w:color="auto"/>
              <w:left w:val="nil"/>
              <w:bottom w:val="single" w:sz="8" w:space="0" w:color="auto"/>
              <w:right w:val="single" w:sz="8" w:space="0" w:color="auto"/>
            </w:tcBorders>
            <w:shd w:val="clear" w:color="000000" w:fill="16145F"/>
            <w:vAlign w:val="center"/>
            <w:hideMark/>
          </w:tcPr>
          <w:p w14:paraId="6E4BFC04" w14:textId="77777777" w:rsidR="004908A0" w:rsidRPr="004908A0" w:rsidRDefault="004908A0" w:rsidP="004908A0">
            <w:pPr>
              <w:jc w:val="center"/>
              <w:rPr>
                <w:rFonts w:ascii="Arial" w:hAnsi="Arial" w:cs="Arial"/>
                <w:b/>
                <w:bCs/>
                <w:color w:val="FFFFFF"/>
                <w:lang w:eastAsia="ko-KR"/>
              </w:rPr>
            </w:pPr>
            <w:r w:rsidRPr="004908A0">
              <w:rPr>
                <w:rFonts w:ascii="Arial" w:hAnsi="Arial" w:cs="Arial"/>
                <w:b/>
                <w:bCs/>
                <w:color w:val="FFFFFF"/>
                <w:lang w:eastAsia="ko-KR"/>
              </w:rPr>
              <w:t>Weighting</w:t>
            </w:r>
          </w:p>
        </w:tc>
        <w:tc>
          <w:tcPr>
            <w:tcW w:w="1417" w:type="dxa"/>
            <w:tcBorders>
              <w:top w:val="single" w:sz="8" w:space="0" w:color="auto"/>
              <w:left w:val="nil"/>
              <w:bottom w:val="single" w:sz="8" w:space="0" w:color="auto"/>
              <w:right w:val="single" w:sz="8" w:space="0" w:color="auto"/>
            </w:tcBorders>
            <w:shd w:val="clear" w:color="000000" w:fill="16145F"/>
            <w:vAlign w:val="center"/>
            <w:hideMark/>
          </w:tcPr>
          <w:p w14:paraId="74101731" w14:textId="77777777" w:rsidR="004908A0" w:rsidRPr="004908A0" w:rsidRDefault="004908A0" w:rsidP="004908A0">
            <w:pPr>
              <w:jc w:val="center"/>
              <w:rPr>
                <w:rFonts w:ascii="Arial" w:hAnsi="Arial" w:cs="Arial"/>
                <w:b/>
                <w:bCs/>
                <w:color w:val="FFFFFF"/>
                <w:lang w:eastAsia="ko-KR"/>
              </w:rPr>
            </w:pPr>
            <w:r w:rsidRPr="004908A0">
              <w:rPr>
                <w:rFonts w:ascii="Arial" w:hAnsi="Arial" w:cs="Arial"/>
                <w:b/>
                <w:bCs/>
                <w:color w:val="FFFFFF"/>
                <w:lang w:eastAsia="ko-KR"/>
              </w:rPr>
              <w:t>Option 1</w:t>
            </w:r>
          </w:p>
        </w:tc>
        <w:tc>
          <w:tcPr>
            <w:tcW w:w="1386" w:type="dxa"/>
            <w:tcBorders>
              <w:top w:val="single" w:sz="8" w:space="0" w:color="auto"/>
              <w:left w:val="nil"/>
              <w:bottom w:val="single" w:sz="8" w:space="0" w:color="auto"/>
              <w:right w:val="single" w:sz="8" w:space="0" w:color="auto"/>
            </w:tcBorders>
            <w:shd w:val="clear" w:color="000000" w:fill="16145F"/>
            <w:vAlign w:val="center"/>
            <w:hideMark/>
          </w:tcPr>
          <w:p w14:paraId="2856A8D1" w14:textId="77777777" w:rsidR="004908A0" w:rsidRPr="004908A0" w:rsidRDefault="004908A0" w:rsidP="004908A0">
            <w:pPr>
              <w:jc w:val="center"/>
              <w:rPr>
                <w:rFonts w:ascii="Arial" w:hAnsi="Arial" w:cs="Arial"/>
                <w:b/>
                <w:bCs/>
                <w:color w:val="FFFFFF"/>
                <w:lang w:eastAsia="ko-KR"/>
              </w:rPr>
            </w:pPr>
            <w:r w:rsidRPr="004908A0">
              <w:rPr>
                <w:rFonts w:ascii="Arial" w:hAnsi="Arial" w:cs="Arial"/>
                <w:b/>
                <w:bCs/>
                <w:color w:val="FFFFFF"/>
                <w:lang w:eastAsia="ko-KR"/>
              </w:rPr>
              <w:t>Option 2</w:t>
            </w:r>
          </w:p>
        </w:tc>
        <w:tc>
          <w:tcPr>
            <w:tcW w:w="1449" w:type="dxa"/>
            <w:tcBorders>
              <w:top w:val="single" w:sz="8" w:space="0" w:color="auto"/>
              <w:left w:val="nil"/>
              <w:bottom w:val="single" w:sz="8" w:space="0" w:color="auto"/>
              <w:right w:val="single" w:sz="8" w:space="0" w:color="auto"/>
            </w:tcBorders>
            <w:shd w:val="clear" w:color="000000" w:fill="16145F"/>
            <w:vAlign w:val="center"/>
            <w:hideMark/>
          </w:tcPr>
          <w:p w14:paraId="1F9710B3" w14:textId="77777777" w:rsidR="004908A0" w:rsidRPr="004908A0" w:rsidRDefault="004908A0" w:rsidP="004908A0">
            <w:pPr>
              <w:jc w:val="center"/>
              <w:rPr>
                <w:rFonts w:ascii="Arial" w:hAnsi="Arial" w:cs="Arial"/>
                <w:b/>
                <w:bCs/>
                <w:color w:val="FFFFFF"/>
                <w:lang w:eastAsia="ko-KR"/>
              </w:rPr>
            </w:pPr>
            <w:r w:rsidRPr="004908A0">
              <w:rPr>
                <w:rFonts w:ascii="Arial" w:hAnsi="Arial" w:cs="Arial"/>
                <w:b/>
                <w:bCs/>
                <w:color w:val="FFFFFF"/>
                <w:lang w:eastAsia="ko-KR"/>
              </w:rPr>
              <w:t>Option 3</w:t>
            </w:r>
          </w:p>
        </w:tc>
      </w:tr>
      <w:tr w:rsidR="00040EC5" w:rsidRPr="004908A0" w14:paraId="190E148B" w14:textId="77777777" w:rsidTr="0076176F">
        <w:trPr>
          <w:trHeight w:val="300"/>
          <w:jc w:val="center"/>
        </w:trPr>
        <w:tc>
          <w:tcPr>
            <w:tcW w:w="3534" w:type="dxa"/>
            <w:tcBorders>
              <w:top w:val="nil"/>
              <w:left w:val="single" w:sz="8" w:space="0" w:color="auto"/>
              <w:bottom w:val="single" w:sz="8" w:space="0" w:color="auto"/>
              <w:right w:val="single" w:sz="8" w:space="0" w:color="auto"/>
            </w:tcBorders>
            <w:vAlign w:val="center"/>
            <w:hideMark/>
          </w:tcPr>
          <w:p w14:paraId="1F4650F0" w14:textId="3ABEB39C" w:rsidR="00040EC5" w:rsidRPr="004908A0" w:rsidRDefault="00040EC5" w:rsidP="00040EC5">
            <w:pPr>
              <w:jc w:val="center"/>
              <w:rPr>
                <w:rFonts w:ascii="Arial" w:hAnsi="Arial" w:cs="Arial"/>
                <w:color w:val="000000"/>
                <w:lang w:eastAsia="ko-KR"/>
              </w:rPr>
            </w:pPr>
            <w:r w:rsidRPr="00E77A7F">
              <w:rPr>
                <w:rFonts w:ascii="Arial" w:hAnsi="Arial" w:cs="Arial"/>
                <w:color w:val="000000"/>
                <w:lang w:eastAsia="ko-KR"/>
              </w:rPr>
              <w:t xml:space="preserve">Fees should reflect the capacity of different tribunal users to pay fees. </w:t>
            </w:r>
            <w:r>
              <w:rPr>
                <w:rFonts w:ascii="Arial" w:hAnsi="Arial" w:cs="Arial"/>
                <w:color w:val="000000"/>
                <w:lang w:eastAsia="ko-KR"/>
              </w:rPr>
              <w:t>VCAT</w:t>
            </w:r>
            <w:r w:rsidRPr="00E77A7F">
              <w:rPr>
                <w:rFonts w:ascii="Arial" w:hAnsi="Arial" w:cs="Arial"/>
                <w:color w:val="000000"/>
                <w:lang w:eastAsia="ko-KR"/>
              </w:rPr>
              <w:t xml:space="preserve"> fees should provide access to </w:t>
            </w:r>
            <w:r w:rsidRPr="00E77A7F">
              <w:rPr>
                <w:rFonts w:ascii="Arial" w:hAnsi="Arial" w:cs="Arial"/>
                <w:color w:val="000000"/>
                <w:lang w:eastAsia="ko-KR"/>
              </w:rPr>
              <w:lastRenderedPageBreak/>
              <w:t>justice for those with limited ability to pay fees.</w:t>
            </w:r>
          </w:p>
        </w:tc>
        <w:tc>
          <w:tcPr>
            <w:tcW w:w="1276" w:type="dxa"/>
            <w:tcBorders>
              <w:top w:val="nil"/>
              <w:left w:val="nil"/>
              <w:bottom w:val="single" w:sz="8" w:space="0" w:color="auto"/>
              <w:right w:val="single" w:sz="8" w:space="0" w:color="auto"/>
            </w:tcBorders>
            <w:vAlign w:val="center"/>
            <w:hideMark/>
          </w:tcPr>
          <w:p w14:paraId="679BBF88" w14:textId="77777777" w:rsidR="00040EC5" w:rsidRPr="004908A0" w:rsidRDefault="00040EC5" w:rsidP="00040EC5">
            <w:pPr>
              <w:jc w:val="center"/>
              <w:rPr>
                <w:rFonts w:ascii="Arial" w:hAnsi="Arial" w:cs="Arial"/>
                <w:color w:val="000000"/>
                <w:lang w:eastAsia="ko-KR"/>
              </w:rPr>
            </w:pPr>
            <w:r w:rsidRPr="004908A0">
              <w:rPr>
                <w:rFonts w:ascii="Arial" w:hAnsi="Arial" w:cs="Arial"/>
                <w:color w:val="000000"/>
                <w:lang w:eastAsia="ko-KR"/>
              </w:rPr>
              <w:lastRenderedPageBreak/>
              <w:t>40%</w:t>
            </w:r>
          </w:p>
        </w:tc>
        <w:tc>
          <w:tcPr>
            <w:tcW w:w="1417" w:type="dxa"/>
            <w:tcBorders>
              <w:top w:val="nil"/>
              <w:left w:val="nil"/>
              <w:bottom w:val="single" w:sz="8" w:space="0" w:color="auto"/>
              <w:right w:val="single" w:sz="8" w:space="0" w:color="auto"/>
            </w:tcBorders>
            <w:vAlign w:val="center"/>
            <w:hideMark/>
          </w:tcPr>
          <w:p w14:paraId="5D0FC086" w14:textId="6B6E6B43" w:rsidR="00040EC5" w:rsidRPr="004908A0" w:rsidRDefault="00FC5899" w:rsidP="00FC5899">
            <w:pPr>
              <w:jc w:val="center"/>
              <w:rPr>
                <w:rFonts w:ascii="Arial" w:hAnsi="Arial" w:cs="Arial"/>
                <w:color w:val="000000"/>
                <w:lang w:eastAsia="ko-KR"/>
              </w:rPr>
            </w:pPr>
            <w:r>
              <w:rPr>
                <w:rFonts w:ascii="Arial" w:hAnsi="Arial" w:cs="Arial"/>
                <w:color w:val="000000"/>
              </w:rPr>
              <w:t>2.3</w:t>
            </w:r>
          </w:p>
        </w:tc>
        <w:tc>
          <w:tcPr>
            <w:tcW w:w="1386" w:type="dxa"/>
            <w:tcBorders>
              <w:top w:val="nil"/>
              <w:left w:val="nil"/>
              <w:bottom w:val="single" w:sz="8" w:space="0" w:color="auto"/>
              <w:right w:val="single" w:sz="8" w:space="0" w:color="auto"/>
            </w:tcBorders>
            <w:vAlign w:val="center"/>
            <w:hideMark/>
          </w:tcPr>
          <w:p w14:paraId="4059BD6E" w14:textId="0B86080C" w:rsidR="00040EC5" w:rsidRPr="004908A0" w:rsidRDefault="00040EC5" w:rsidP="00040EC5">
            <w:pPr>
              <w:jc w:val="center"/>
              <w:rPr>
                <w:rFonts w:ascii="Arial" w:hAnsi="Arial" w:cs="Arial"/>
                <w:color w:val="000000"/>
                <w:lang w:eastAsia="ko-KR"/>
              </w:rPr>
            </w:pPr>
            <w:r>
              <w:rPr>
                <w:rFonts w:ascii="Arial" w:hAnsi="Arial" w:cs="Arial"/>
                <w:color w:val="000000"/>
              </w:rPr>
              <w:t>6.</w:t>
            </w:r>
            <w:r w:rsidR="00E55CCD">
              <w:rPr>
                <w:rFonts w:ascii="Arial" w:hAnsi="Arial" w:cs="Arial"/>
                <w:color w:val="000000"/>
              </w:rPr>
              <w:t>2</w:t>
            </w:r>
          </w:p>
        </w:tc>
        <w:tc>
          <w:tcPr>
            <w:tcW w:w="1449" w:type="dxa"/>
            <w:tcBorders>
              <w:top w:val="nil"/>
              <w:left w:val="nil"/>
              <w:bottom w:val="single" w:sz="8" w:space="0" w:color="auto"/>
              <w:right w:val="single" w:sz="8" w:space="0" w:color="auto"/>
            </w:tcBorders>
            <w:vAlign w:val="center"/>
            <w:hideMark/>
          </w:tcPr>
          <w:p w14:paraId="4DC4FC40" w14:textId="1C38CF12" w:rsidR="00040EC5" w:rsidRPr="004908A0" w:rsidRDefault="00040EC5" w:rsidP="00040EC5">
            <w:pPr>
              <w:jc w:val="center"/>
              <w:rPr>
                <w:rFonts w:ascii="Arial" w:hAnsi="Arial" w:cs="Arial"/>
                <w:color w:val="000000"/>
                <w:lang w:eastAsia="ko-KR"/>
              </w:rPr>
            </w:pPr>
            <w:r>
              <w:rPr>
                <w:rFonts w:ascii="Arial" w:hAnsi="Arial" w:cs="Arial"/>
                <w:color w:val="000000"/>
              </w:rPr>
              <w:t>6.</w:t>
            </w:r>
            <w:r w:rsidR="00E55CCD">
              <w:rPr>
                <w:rFonts w:ascii="Arial" w:hAnsi="Arial" w:cs="Arial"/>
                <w:color w:val="000000"/>
              </w:rPr>
              <w:t>2</w:t>
            </w:r>
          </w:p>
        </w:tc>
      </w:tr>
      <w:tr w:rsidR="00040EC5" w:rsidRPr="004908A0" w14:paraId="36D8D4F6" w14:textId="77777777" w:rsidTr="0076176F">
        <w:trPr>
          <w:trHeight w:val="300"/>
          <w:jc w:val="center"/>
        </w:trPr>
        <w:tc>
          <w:tcPr>
            <w:tcW w:w="4810" w:type="dxa"/>
            <w:gridSpan w:val="2"/>
            <w:tcBorders>
              <w:top w:val="single" w:sz="8" w:space="0" w:color="auto"/>
              <w:left w:val="single" w:sz="8" w:space="0" w:color="auto"/>
              <w:bottom w:val="single" w:sz="8" w:space="0" w:color="auto"/>
              <w:right w:val="single" w:sz="8" w:space="0" w:color="000000"/>
            </w:tcBorders>
            <w:vAlign w:val="center"/>
            <w:hideMark/>
          </w:tcPr>
          <w:p w14:paraId="4C36E48C" w14:textId="77777777" w:rsidR="00040EC5" w:rsidRPr="004908A0" w:rsidRDefault="00040EC5" w:rsidP="00040EC5">
            <w:pPr>
              <w:jc w:val="center"/>
              <w:rPr>
                <w:rFonts w:ascii="Arial" w:hAnsi="Arial" w:cs="Arial"/>
                <w:b/>
                <w:bCs/>
                <w:color w:val="000000"/>
                <w:lang w:eastAsia="ko-KR"/>
              </w:rPr>
            </w:pPr>
            <w:r w:rsidRPr="004908A0">
              <w:rPr>
                <w:rFonts w:ascii="Arial" w:hAnsi="Arial" w:cs="Arial"/>
                <w:b/>
                <w:bCs/>
                <w:color w:val="000000"/>
                <w:lang w:eastAsia="ko-KR"/>
              </w:rPr>
              <w:t>Weighted Score</w:t>
            </w:r>
          </w:p>
        </w:tc>
        <w:tc>
          <w:tcPr>
            <w:tcW w:w="1417" w:type="dxa"/>
            <w:tcBorders>
              <w:top w:val="nil"/>
              <w:left w:val="nil"/>
              <w:bottom w:val="single" w:sz="8" w:space="0" w:color="auto"/>
              <w:right w:val="single" w:sz="8" w:space="0" w:color="auto"/>
            </w:tcBorders>
            <w:vAlign w:val="center"/>
            <w:hideMark/>
          </w:tcPr>
          <w:p w14:paraId="70EAB6B5" w14:textId="5E0E44ED" w:rsidR="00040EC5" w:rsidRPr="004908A0" w:rsidRDefault="00040EC5" w:rsidP="00040EC5">
            <w:pPr>
              <w:jc w:val="center"/>
              <w:rPr>
                <w:rFonts w:ascii="Arial" w:hAnsi="Arial" w:cs="Arial"/>
                <w:color w:val="000000"/>
                <w:lang w:eastAsia="ko-KR"/>
              </w:rPr>
            </w:pPr>
            <w:r>
              <w:rPr>
                <w:rFonts w:ascii="Arial" w:hAnsi="Arial" w:cs="Arial"/>
                <w:color w:val="000000"/>
              </w:rPr>
              <w:t>0.9</w:t>
            </w:r>
          </w:p>
        </w:tc>
        <w:tc>
          <w:tcPr>
            <w:tcW w:w="1386" w:type="dxa"/>
            <w:tcBorders>
              <w:top w:val="nil"/>
              <w:left w:val="nil"/>
              <w:bottom w:val="single" w:sz="8" w:space="0" w:color="auto"/>
              <w:right w:val="single" w:sz="8" w:space="0" w:color="auto"/>
            </w:tcBorders>
            <w:vAlign w:val="center"/>
            <w:hideMark/>
          </w:tcPr>
          <w:p w14:paraId="77703483" w14:textId="7B5BD7FD" w:rsidR="00040EC5" w:rsidRPr="004908A0" w:rsidRDefault="00040EC5" w:rsidP="00040EC5">
            <w:pPr>
              <w:jc w:val="center"/>
              <w:rPr>
                <w:rFonts w:ascii="Arial" w:hAnsi="Arial" w:cs="Arial"/>
                <w:color w:val="000000"/>
                <w:lang w:eastAsia="ko-KR"/>
              </w:rPr>
            </w:pPr>
            <w:r>
              <w:rPr>
                <w:rFonts w:ascii="Arial" w:hAnsi="Arial" w:cs="Arial"/>
                <w:color w:val="000000"/>
              </w:rPr>
              <w:t>2.</w:t>
            </w:r>
            <w:r w:rsidR="00E55CCD">
              <w:rPr>
                <w:rFonts w:ascii="Arial" w:hAnsi="Arial" w:cs="Arial"/>
                <w:color w:val="000000"/>
              </w:rPr>
              <w:t>5</w:t>
            </w:r>
          </w:p>
        </w:tc>
        <w:tc>
          <w:tcPr>
            <w:tcW w:w="1449" w:type="dxa"/>
            <w:tcBorders>
              <w:top w:val="nil"/>
              <w:left w:val="nil"/>
              <w:bottom w:val="single" w:sz="8" w:space="0" w:color="auto"/>
              <w:right w:val="single" w:sz="8" w:space="0" w:color="auto"/>
            </w:tcBorders>
            <w:vAlign w:val="center"/>
            <w:hideMark/>
          </w:tcPr>
          <w:p w14:paraId="269B820C" w14:textId="108686D0" w:rsidR="00040EC5" w:rsidRPr="004908A0" w:rsidRDefault="00040EC5" w:rsidP="00040EC5">
            <w:pPr>
              <w:jc w:val="center"/>
              <w:rPr>
                <w:rFonts w:ascii="Arial" w:hAnsi="Arial" w:cs="Arial"/>
                <w:color w:val="000000"/>
                <w:lang w:eastAsia="ko-KR"/>
              </w:rPr>
            </w:pPr>
            <w:r>
              <w:rPr>
                <w:rFonts w:ascii="Arial" w:hAnsi="Arial" w:cs="Arial"/>
                <w:color w:val="000000"/>
              </w:rPr>
              <w:t>2.</w:t>
            </w:r>
            <w:r w:rsidR="00E55CCD">
              <w:rPr>
                <w:rFonts w:ascii="Arial" w:hAnsi="Arial" w:cs="Arial"/>
                <w:color w:val="000000"/>
              </w:rPr>
              <w:t>5</w:t>
            </w:r>
          </w:p>
        </w:tc>
      </w:tr>
    </w:tbl>
    <w:p w14:paraId="34D56AA7" w14:textId="3FCCD722" w:rsidR="000A47D9" w:rsidRDefault="000A47D9" w:rsidP="0046403D">
      <w:pPr>
        <w:pStyle w:val="DJCSbody"/>
      </w:pPr>
    </w:p>
    <w:p w14:paraId="65D12F8D" w14:textId="59D01EAF" w:rsidR="0009003D" w:rsidRDefault="0009003D" w:rsidP="0046403D">
      <w:pPr>
        <w:pStyle w:val="DJCSbody"/>
      </w:pPr>
      <w:r>
        <w:t>There are three components to scoring Criterion 2.</w:t>
      </w:r>
      <w:r w:rsidR="00E354F3">
        <w:t xml:space="preserve"> Each component is weighted equally in terms of the overall score. These includes:</w:t>
      </w:r>
    </w:p>
    <w:p w14:paraId="2CFD7FA8" w14:textId="7B8595D4" w:rsidR="00E354F3" w:rsidRDefault="00E354F3" w:rsidP="003C4FE7">
      <w:pPr>
        <w:pStyle w:val="DJCSbody"/>
        <w:numPr>
          <w:ilvl w:val="0"/>
          <w:numId w:val="28"/>
        </w:numPr>
      </w:pPr>
      <w:r>
        <w:t>The population of concession card holders</w:t>
      </w:r>
      <w:r w:rsidR="00D94704">
        <w:t xml:space="preserve"> that are eligible for concession fee</w:t>
      </w:r>
      <w:r w:rsidR="00F461AE">
        <w:t>s</w:t>
      </w:r>
      <w:r w:rsidR="00D94704">
        <w:t>.</w:t>
      </w:r>
      <w:r w:rsidR="00FB055D">
        <w:t xml:space="preserve"> In the Base Case</w:t>
      </w:r>
      <w:r w:rsidR="00F461AE">
        <w:t>,</w:t>
      </w:r>
      <w:r w:rsidR="00FB055D">
        <w:t xml:space="preserve"> there are no fees so </w:t>
      </w:r>
      <w:r w:rsidR="00793C84">
        <w:t xml:space="preserve">VCAT users are </w:t>
      </w:r>
      <w:r w:rsidR="00FD733E">
        <w:t>not</w:t>
      </w:r>
      <w:r w:rsidR="00793C84">
        <w:t xml:space="preserve"> required to pay </w:t>
      </w:r>
      <w:r w:rsidR="00BF7B60">
        <w:t>fees.</w:t>
      </w:r>
      <w:r w:rsidR="007A13FF">
        <w:t xml:space="preserve"> </w:t>
      </w:r>
      <w:r w:rsidR="006C62B3">
        <w:t xml:space="preserve">This is measured using </w:t>
      </w:r>
      <w:r w:rsidR="00815A08">
        <w:t>data by the Department of Social Services</w:t>
      </w:r>
      <w:r w:rsidR="002E3D9F">
        <w:rPr>
          <w:rStyle w:val="FootnoteReference"/>
        </w:rPr>
        <w:footnoteReference w:id="37"/>
      </w:r>
      <w:r w:rsidR="00815A08">
        <w:t xml:space="preserve"> (concession card holders) and the Department of Veterans </w:t>
      </w:r>
      <w:r w:rsidR="00E16C1E">
        <w:t>A</w:t>
      </w:r>
      <w:r w:rsidR="00815A08">
        <w:t>ffairs</w:t>
      </w:r>
      <w:r w:rsidR="00E16C1E">
        <w:rPr>
          <w:rStyle w:val="FootnoteReference"/>
        </w:rPr>
        <w:footnoteReference w:id="38"/>
      </w:r>
      <w:r w:rsidR="00815A08">
        <w:t xml:space="preserve"> (gold card holders).</w:t>
      </w:r>
    </w:p>
    <w:p w14:paraId="735F0579" w14:textId="0F3904DE" w:rsidR="00BF7B60" w:rsidRDefault="00BF7B60" w:rsidP="003C4FE7">
      <w:pPr>
        <w:pStyle w:val="DJCSbody"/>
        <w:numPr>
          <w:ilvl w:val="0"/>
          <w:numId w:val="28"/>
        </w:numPr>
      </w:pPr>
      <w:r>
        <w:t>The proportion of small businesses eligible</w:t>
      </w:r>
      <w:r w:rsidR="007756D8">
        <w:t xml:space="preserve"> for the standard fee payer category.</w:t>
      </w:r>
      <w:r w:rsidR="001E2445">
        <w:t xml:space="preserve"> This is measured </w:t>
      </w:r>
      <w:r w:rsidR="005F636A">
        <w:t>using the number of businesses operating at the end of the financial year</w:t>
      </w:r>
      <w:r w:rsidR="005F636A">
        <w:rPr>
          <w:rStyle w:val="FootnoteReference"/>
        </w:rPr>
        <w:footnoteReference w:id="39"/>
      </w:r>
      <w:r w:rsidR="005F636A">
        <w:t>.</w:t>
      </w:r>
    </w:p>
    <w:p w14:paraId="6949ECBC" w14:textId="1BD65F81" w:rsidR="007756D8" w:rsidRDefault="00A54754" w:rsidP="003C4FE7">
      <w:pPr>
        <w:pStyle w:val="DJCSbody"/>
        <w:numPr>
          <w:ilvl w:val="0"/>
          <w:numId w:val="28"/>
        </w:numPr>
      </w:pPr>
      <w:r>
        <w:t xml:space="preserve">The </w:t>
      </w:r>
      <w:r w:rsidR="00C055D2">
        <w:t xml:space="preserve">increase in corporate fees (in percentage) compared to </w:t>
      </w:r>
      <w:r w:rsidR="007A13FF">
        <w:t>standard fees.</w:t>
      </w:r>
      <w:r w:rsidR="00265AC7">
        <w:t xml:space="preserve"> This is sourced from the fee structure</w:t>
      </w:r>
      <w:r w:rsidR="000F3539">
        <w:t xml:space="preserve"> for the different options.</w:t>
      </w:r>
    </w:p>
    <w:p w14:paraId="5F338FD3" w14:textId="2094B471" w:rsidR="002C0C9F" w:rsidRDefault="00BB7CFD" w:rsidP="002C0C9F">
      <w:pPr>
        <w:pStyle w:val="DJCSbody"/>
      </w:pPr>
      <w:r>
        <w:t xml:space="preserve">For the purposes of </w:t>
      </w:r>
      <w:r w:rsidR="001A32E1">
        <w:t>scoring and comparing the different options, the following table provides an overview of the di</w:t>
      </w:r>
      <w:r w:rsidR="002C0C9F">
        <w:t>fferent metrics for the options.</w:t>
      </w:r>
    </w:p>
    <w:p w14:paraId="4974F0F8" w14:textId="234C4B65" w:rsidR="00A005AF" w:rsidRDefault="00A005AF" w:rsidP="0076176F">
      <w:pPr>
        <w:pStyle w:val="DJCStablecaption"/>
        <w:ind w:left="0" w:firstLine="720"/>
      </w:pPr>
      <w:r>
        <w:t xml:space="preserve">Table </w:t>
      </w:r>
      <w:r w:rsidR="00023E15">
        <w:t>1</w:t>
      </w:r>
      <w:r w:rsidR="00B076F0">
        <w:t>7</w:t>
      </w:r>
      <w:r>
        <w:t xml:space="preserve"> Underlying </w:t>
      </w:r>
      <w:r w:rsidR="00DC3160">
        <w:t>components to measure equity</w:t>
      </w:r>
    </w:p>
    <w:tbl>
      <w:tblPr>
        <w:tblW w:w="9062" w:type="dxa"/>
        <w:jc w:val="center"/>
        <w:tblLook w:val="04A0" w:firstRow="1" w:lastRow="0" w:firstColumn="1" w:lastColumn="0" w:noHBand="0" w:noVBand="1"/>
      </w:tblPr>
      <w:tblGrid>
        <w:gridCol w:w="3602"/>
        <w:gridCol w:w="600"/>
        <w:gridCol w:w="1301"/>
        <w:gridCol w:w="2134"/>
        <w:gridCol w:w="1425"/>
      </w:tblGrid>
      <w:tr w:rsidR="00A005AF" w:rsidRPr="00A005AF" w14:paraId="26E42DE5" w14:textId="77777777" w:rsidTr="0076176F">
        <w:trPr>
          <w:trHeight w:val="300"/>
          <w:jc w:val="center"/>
        </w:trPr>
        <w:tc>
          <w:tcPr>
            <w:tcW w:w="3602" w:type="dxa"/>
            <w:tcBorders>
              <w:top w:val="single" w:sz="8" w:space="0" w:color="auto"/>
              <w:left w:val="single" w:sz="8" w:space="0" w:color="auto"/>
              <w:bottom w:val="single" w:sz="8" w:space="0" w:color="auto"/>
              <w:right w:val="single" w:sz="8" w:space="0" w:color="auto"/>
            </w:tcBorders>
            <w:shd w:val="clear" w:color="000000" w:fill="16145F"/>
            <w:vAlign w:val="center"/>
            <w:hideMark/>
          </w:tcPr>
          <w:p w14:paraId="68F57E38" w14:textId="4164B830" w:rsidR="00A005AF" w:rsidRPr="00A005AF" w:rsidRDefault="00A005AF" w:rsidP="00A005AF">
            <w:pPr>
              <w:jc w:val="center"/>
              <w:rPr>
                <w:rFonts w:ascii="Arial" w:hAnsi="Arial" w:cs="Arial"/>
                <w:b/>
                <w:bCs/>
                <w:color w:val="FFFFFF"/>
                <w:lang w:eastAsia="ko-KR"/>
              </w:rPr>
            </w:pPr>
            <w:r w:rsidRPr="00A005AF">
              <w:rPr>
                <w:rFonts w:ascii="Arial" w:hAnsi="Arial" w:cs="Arial"/>
                <w:b/>
                <w:bCs/>
                <w:color w:val="FFFFFF"/>
                <w:lang w:eastAsia="ko-KR"/>
              </w:rPr>
              <w:t>Criterion 2 – Equity</w:t>
            </w:r>
          </w:p>
        </w:tc>
        <w:tc>
          <w:tcPr>
            <w:tcW w:w="600" w:type="dxa"/>
            <w:tcBorders>
              <w:top w:val="single" w:sz="8" w:space="0" w:color="auto"/>
              <w:left w:val="nil"/>
              <w:bottom w:val="single" w:sz="8" w:space="0" w:color="auto"/>
              <w:right w:val="single" w:sz="8" w:space="0" w:color="auto"/>
            </w:tcBorders>
            <w:shd w:val="clear" w:color="000000" w:fill="16145F"/>
            <w:vAlign w:val="center"/>
            <w:hideMark/>
          </w:tcPr>
          <w:p w14:paraId="2CF82407" w14:textId="77777777" w:rsidR="00A005AF" w:rsidRPr="00A005AF" w:rsidRDefault="00A005AF" w:rsidP="00A005AF">
            <w:pPr>
              <w:jc w:val="center"/>
              <w:rPr>
                <w:rFonts w:ascii="Arial" w:hAnsi="Arial" w:cs="Arial"/>
                <w:b/>
                <w:bCs/>
                <w:color w:val="FFFFFF"/>
                <w:lang w:eastAsia="ko-KR"/>
              </w:rPr>
            </w:pPr>
            <w:r w:rsidRPr="00A005AF">
              <w:rPr>
                <w:rFonts w:ascii="Arial" w:hAnsi="Arial" w:cs="Arial"/>
                <w:b/>
                <w:bCs/>
                <w:color w:val="FFFFFF"/>
                <w:lang w:eastAsia="ko-KR"/>
              </w:rPr>
              <w:t> </w:t>
            </w:r>
          </w:p>
        </w:tc>
        <w:tc>
          <w:tcPr>
            <w:tcW w:w="1301" w:type="dxa"/>
            <w:tcBorders>
              <w:top w:val="single" w:sz="8" w:space="0" w:color="auto"/>
              <w:left w:val="nil"/>
              <w:bottom w:val="single" w:sz="8" w:space="0" w:color="auto"/>
              <w:right w:val="single" w:sz="8" w:space="0" w:color="auto"/>
            </w:tcBorders>
            <w:shd w:val="clear" w:color="000000" w:fill="16145F"/>
            <w:vAlign w:val="center"/>
            <w:hideMark/>
          </w:tcPr>
          <w:p w14:paraId="468AF9C8" w14:textId="77777777" w:rsidR="00A005AF" w:rsidRPr="00A005AF" w:rsidRDefault="00A005AF" w:rsidP="00A005AF">
            <w:pPr>
              <w:jc w:val="center"/>
              <w:rPr>
                <w:rFonts w:ascii="Arial" w:hAnsi="Arial" w:cs="Arial"/>
                <w:b/>
                <w:bCs/>
                <w:color w:val="FFFFFF"/>
                <w:lang w:eastAsia="ko-KR"/>
              </w:rPr>
            </w:pPr>
            <w:r w:rsidRPr="00A005AF">
              <w:rPr>
                <w:rFonts w:ascii="Arial" w:hAnsi="Arial" w:cs="Arial"/>
                <w:b/>
                <w:bCs/>
                <w:color w:val="FFFFFF"/>
                <w:lang w:eastAsia="ko-KR"/>
              </w:rPr>
              <w:t>Option 1</w:t>
            </w:r>
          </w:p>
        </w:tc>
        <w:tc>
          <w:tcPr>
            <w:tcW w:w="2134" w:type="dxa"/>
            <w:tcBorders>
              <w:top w:val="single" w:sz="8" w:space="0" w:color="auto"/>
              <w:left w:val="nil"/>
              <w:bottom w:val="single" w:sz="8" w:space="0" w:color="auto"/>
              <w:right w:val="single" w:sz="8" w:space="0" w:color="auto"/>
            </w:tcBorders>
            <w:shd w:val="clear" w:color="000000" w:fill="16145F"/>
            <w:vAlign w:val="center"/>
            <w:hideMark/>
          </w:tcPr>
          <w:p w14:paraId="5C9D544E" w14:textId="77777777" w:rsidR="00A005AF" w:rsidRPr="00A005AF" w:rsidRDefault="00A005AF" w:rsidP="00A005AF">
            <w:pPr>
              <w:jc w:val="center"/>
              <w:rPr>
                <w:rFonts w:ascii="Arial" w:hAnsi="Arial" w:cs="Arial"/>
                <w:b/>
                <w:bCs/>
                <w:color w:val="FFFFFF"/>
                <w:lang w:eastAsia="ko-KR"/>
              </w:rPr>
            </w:pPr>
            <w:r w:rsidRPr="00A005AF">
              <w:rPr>
                <w:rFonts w:ascii="Arial" w:hAnsi="Arial" w:cs="Arial"/>
                <w:b/>
                <w:bCs/>
                <w:color w:val="FFFFFF"/>
                <w:lang w:eastAsia="ko-KR"/>
              </w:rPr>
              <w:t>Option 2</w:t>
            </w:r>
          </w:p>
        </w:tc>
        <w:tc>
          <w:tcPr>
            <w:tcW w:w="1425" w:type="dxa"/>
            <w:tcBorders>
              <w:top w:val="single" w:sz="8" w:space="0" w:color="auto"/>
              <w:left w:val="nil"/>
              <w:bottom w:val="single" w:sz="8" w:space="0" w:color="auto"/>
              <w:right w:val="single" w:sz="8" w:space="0" w:color="auto"/>
            </w:tcBorders>
            <w:shd w:val="clear" w:color="000000" w:fill="16145F"/>
            <w:vAlign w:val="center"/>
            <w:hideMark/>
          </w:tcPr>
          <w:p w14:paraId="1AB82EB2" w14:textId="77777777" w:rsidR="00A005AF" w:rsidRPr="00A005AF" w:rsidRDefault="00A005AF" w:rsidP="00A005AF">
            <w:pPr>
              <w:jc w:val="center"/>
              <w:rPr>
                <w:rFonts w:ascii="Arial" w:hAnsi="Arial" w:cs="Arial"/>
                <w:b/>
                <w:bCs/>
                <w:color w:val="FFFFFF"/>
                <w:lang w:eastAsia="ko-KR"/>
              </w:rPr>
            </w:pPr>
            <w:r w:rsidRPr="00A005AF">
              <w:rPr>
                <w:rFonts w:ascii="Arial" w:hAnsi="Arial" w:cs="Arial"/>
                <w:b/>
                <w:bCs/>
                <w:color w:val="FFFFFF"/>
                <w:lang w:eastAsia="ko-KR"/>
              </w:rPr>
              <w:t>Option 3</w:t>
            </w:r>
          </w:p>
        </w:tc>
      </w:tr>
      <w:tr w:rsidR="00DC3160" w:rsidRPr="00A005AF" w14:paraId="637C62B9" w14:textId="77777777" w:rsidTr="0076176F">
        <w:trPr>
          <w:trHeight w:val="300"/>
          <w:jc w:val="center"/>
        </w:trPr>
        <w:tc>
          <w:tcPr>
            <w:tcW w:w="4202" w:type="dxa"/>
            <w:gridSpan w:val="2"/>
            <w:tcBorders>
              <w:top w:val="nil"/>
              <w:left w:val="single" w:sz="8" w:space="0" w:color="auto"/>
              <w:bottom w:val="single" w:sz="8" w:space="0" w:color="auto"/>
              <w:right w:val="single" w:sz="8" w:space="0" w:color="auto"/>
            </w:tcBorders>
            <w:noWrap/>
            <w:vAlign w:val="bottom"/>
            <w:hideMark/>
          </w:tcPr>
          <w:p w14:paraId="7BA106BF" w14:textId="51583808" w:rsidR="00DC3160" w:rsidRPr="00FA0CF5" w:rsidRDefault="00E93FE9" w:rsidP="00A005AF">
            <w:pPr>
              <w:rPr>
                <w:rFonts w:asciiTheme="minorHAnsi" w:hAnsiTheme="minorHAnsi" w:cstheme="minorHAnsi"/>
                <w:color w:val="000000"/>
                <w:sz w:val="22"/>
                <w:szCs w:val="22"/>
                <w:lang w:eastAsia="ko-KR"/>
              </w:rPr>
            </w:pPr>
            <w:r w:rsidRPr="00FA0CF5">
              <w:rPr>
                <w:rFonts w:asciiTheme="minorHAnsi" w:hAnsiTheme="minorHAnsi" w:cstheme="minorHAnsi"/>
                <w:color w:val="000000"/>
                <w:sz w:val="22"/>
                <w:szCs w:val="22"/>
                <w:lang w:eastAsia="ko-KR"/>
              </w:rPr>
              <w:t xml:space="preserve">Component #1 </w:t>
            </w:r>
            <w:r w:rsidR="00DC3160" w:rsidRPr="00FA0CF5">
              <w:rPr>
                <w:rFonts w:asciiTheme="minorHAnsi" w:hAnsiTheme="minorHAnsi" w:cstheme="minorHAnsi"/>
                <w:color w:val="000000"/>
                <w:sz w:val="22"/>
                <w:szCs w:val="22"/>
                <w:lang w:eastAsia="ko-KR"/>
              </w:rPr>
              <w:t xml:space="preserve">Increase in concession card holders </w:t>
            </w:r>
            <w:r w:rsidR="001B70E0">
              <w:rPr>
                <w:rFonts w:asciiTheme="minorHAnsi" w:hAnsiTheme="minorHAnsi" w:cstheme="minorHAnsi"/>
                <w:color w:val="000000"/>
                <w:sz w:val="22"/>
                <w:szCs w:val="22"/>
                <w:lang w:eastAsia="ko-KR"/>
              </w:rPr>
              <w:t>eligible</w:t>
            </w:r>
          </w:p>
          <w:p w14:paraId="094FA27C" w14:textId="57EEB4F5" w:rsidR="00DC3160" w:rsidRPr="00FA0CF5" w:rsidRDefault="00DC3160" w:rsidP="00A005AF">
            <w:pPr>
              <w:rPr>
                <w:rFonts w:asciiTheme="minorHAnsi" w:hAnsiTheme="minorHAnsi" w:cstheme="minorHAnsi"/>
                <w:color w:val="000000"/>
                <w:sz w:val="22"/>
                <w:szCs w:val="22"/>
                <w:lang w:eastAsia="ko-KR"/>
              </w:rPr>
            </w:pPr>
            <w:r w:rsidRPr="00FA0CF5">
              <w:rPr>
                <w:rFonts w:asciiTheme="minorHAnsi" w:hAnsiTheme="minorHAnsi" w:cstheme="minorHAnsi"/>
                <w:color w:val="000000"/>
                <w:sz w:val="22"/>
                <w:szCs w:val="22"/>
                <w:lang w:eastAsia="ko-KR"/>
              </w:rPr>
              <w:t>(number of persons)</w:t>
            </w:r>
          </w:p>
        </w:tc>
        <w:tc>
          <w:tcPr>
            <w:tcW w:w="1301" w:type="dxa"/>
            <w:tcBorders>
              <w:top w:val="nil"/>
              <w:left w:val="nil"/>
              <w:bottom w:val="single" w:sz="8" w:space="0" w:color="auto"/>
              <w:right w:val="single" w:sz="8" w:space="0" w:color="auto"/>
            </w:tcBorders>
            <w:noWrap/>
            <w:vAlign w:val="center"/>
            <w:hideMark/>
          </w:tcPr>
          <w:p w14:paraId="4F191A94" w14:textId="1DCA026E"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82,055</w:t>
            </w:r>
          </w:p>
        </w:tc>
        <w:tc>
          <w:tcPr>
            <w:tcW w:w="2134" w:type="dxa"/>
            <w:tcBorders>
              <w:top w:val="nil"/>
              <w:left w:val="nil"/>
              <w:bottom w:val="single" w:sz="8" w:space="0" w:color="auto"/>
              <w:right w:val="single" w:sz="8" w:space="0" w:color="auto"/>
            </w:tcBorders>
            <w:noWrap/>
            <w:vAlign w:val="center"/>
            <w:hideMark/>
          </w:tcPr>
          <w:p w14:paraId="111D8E10" w14:textId="7CDF8A71"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727,124</w:t>
            </w:r>
          </w:p>
        </w:tc>
        <w:tc>
          <w:tcPr>
            <w:tcW w:w="1425" w:type="dxa"/>
            <w:tcBorders>
              <w:top w:val="nil"/>
              <w:left w:val="nil"/>
              <w:bottom w:val="single" w:sz="8" w:space="0" w:color="auto"/>
              <w:right w:val="single" w:sz="8" w:space="0" w:color="auto"/>
            </w:tcBorders>
            <w:noWrap/>
            <w:vAlign w:val="center"/>
            <w:hideMark/>
          </w:tcPr>
          <w:p w14:paraId="35DFBDAD" w14:textId="2BD56FBB"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727,124</w:t>
            </w:r>
          </w:p>
        </w:tc>
      </w:tr>
      <w:tr w:rsidR="00DC3160" w:rsidRPr="00A005AF" w14:paraId="172315B7" w14:textId="77777777" w:rsidTr="0076176F">
        <w:trPr>
          <w:trHeight w:val="300"/>
          <w:jc w:val="center"/>
        </w:trPr>
        <w:tc>
          <w:tcPr>
            <w:tcW w:w="4202" w:type="dxa"/>
            <w:gridSpan w:val="2"/>
            <w:tcBorders>
              <w:top w:val="nil"/>
              <w:left w:val="single" w:sz="8" w:space="0" w:color="auto"/>
              <w:bottom w:val="single" w:sz="8" w:space="0" w:color="auto"/>
              <w:right w:val="single" w:sz="8" w:space="0" w:color="auto"/>
            </w:tcBorders>
            <w:noWrap/>
            <w:vAlign w:val="bottom"/>
            <w:hideMark/>
          </w:tcPr>
          <w:p w14:paraId="3F34089D" w14:textId="02AF5FC8" w:rsidR="00DC3160" w:rsidRPr="00FA0CF5" w:rsidRDefault="00E93FE9" w:rsidP="00A005AF">
            <w:pPr>
              <w:rPr>
                <w:rFonts w:asciiTheme="minorHAnsi" w:hAnsiTheme="minorHAnsi" w:cstheme="minorHAnsi"/>
                <w:color w:val="000000"/>
                <w:sz w:val="22"/>
                <w:szCs w:val="22"/>
                <w:lang w:eastAsia="ko-KR"/>
              </w:rPr>
            </w:pPr>
            <w:r w:rsidRPr="00FA0CF5">
              <w:rPr>
                <w:rFonts w:asciiTheme="minorHAnsi" w:hAnsiTheme="minorHAnsi" w:cstheme="minorHAnsi"/>
                <w:color w:val="000000"/>
                <w:sz w:val="22"/>
                <w:szCs w:val="22"/>
                <w:lang w:eastAsia="ko-KR"/>
              </w:rPr>
              <w:t xml:space="preserve">Component #2 </w:t>
            </w:r>
            <w:r w:rsidR="00DC3160" w:rsidRPr="00FA0CF5">
              <w:rPr>
                <w:rFonts w:asciiTheme="minorHAnsi" w:hAnsiTheme="minorHAnsi" w:cstheme="minorHAnsi"/>
                <w:color w:val="000000"/>
                <w:sz w:val="22"/>
                <w:szCs w:val="22"/>
                <w:lang w:eastAsia="ko-KR"/>
              </w:rPr>
              <w:t>Increase in small businesses</w:t>
            </w:r>
            <w:r w:rsidR="002B0808">
              <w:rPr>
                <w:rFonts w:asciiTheme="minorHAnsi" w:hAnsiTheme="minorHAnsi" w:cstheme="minorHAnsi"/>
                <w:color w:val="000000"/>
                <w:sz w:val="22"/>
                <w:szCs w:val="22"/>
                <w:lang w:eastAsia="ko-KR"/>
              </w:rPr>
              <w:t xml:space="preserve"> eligible for standard fee</w:t>
            </w:r>
            <w:r w:rsidR="009920E1">
              <w:rPr>
                <w:rFonts w:asciiTheme="minorHAnsi" w:hAnsiTheme="minorHAnsi" w:cstheme="minorHAnsi"/>
                <w:color w:val="000000"/>
                <w:sz w:val="22"/>
                <w:szCs w:val="22"/>
                <w:lang w:eastAsia="ko-KR"/>
              </w:rPr>
              <w:t>s</w:t>
            </w:r>
          </w:p>
          <w:p w14:paraId="0FB79EFB" w14:textId="63ADA3DD" w:rsidR="00DC3160" w:rsidRPr="00FA0CF5" w:rsidRDefault="00DC3160" w:rsidP="00A005AF">
            <w:pPr>
              <w:rPr>
                <w:rFonts w:asciiTheme="minorHAnsi" w:hAnsiTheme="minorHAnsi" w:cstheme="minorHAnsi"/>
                <w:color w:val="000000"/>
                <w:sz w:val="22"/>
                <w:szCs w:val="22"/>
                <w:lang w:eastAsia="ko-KR"/>
              </w:rPr>
            </w:pPr>
            <w:r w:rsidRPr="00FA0CF5">
              <w:rPr>
                <w:rFonts w:asciiTheme="minorHAnsi" w:hAnsiTheme="minorHAnsi" w:cstheme="minorHAnsi"/>
                <w:color w:val="000000"/>
                <w:sz w:val="22"/>
                <w:szCs w:val="22"/>
                <w:lang w:eastAsia="ko-KR"/>
              </w:rPr>
              <w:t>(proportion</w:t>
            </w:r>
            <w:r w:rsidR="002C0C9F" w:rsidRPr="00FA0CF5">
              <w:rPr>
                <w:rFonts w:asciiTheme="minorHAnsi" w:hAnsiTheme="minorHAnsi" w:cstheme="minorHAnsi"/>
                <w:color w:val="000000"/>
                <w:sz w:val="22"/>
                <w:szCs w:val="22"/>
                <w:lang w:eastAsia="ko-KR"/>
              </w:rPr>
              <w:t xml:space="preserve"> of businesses paying standard fee</w:t>
            </w:r>
            <w:r w:rsidR="009920E1">
              <w:rPr>
                <w:rFonts w:asciiTheme="minorHAnsi" w:hAnsiTheme="minorHAnsi" w:cstheme="minorHAnsi"/>
                <w:color w:val="000000"/>
                <w:sz w:val="22"/>
                <w:szCs w:val="22"/>
                <w:lang w:eastAsia="ko-KR"/>
              </w:rPr>
              <w:t>s</w:t>
            </w:r>
            <w:r w:rsidR="002C0C9F" w:rsidRPr="00FA0CF5">
              <w:rPr>
                <w:rFonts w:asciiTheme="minorHAnsi" w:hAnsiTheme="minorHAnsi" w:cstheme="minorHAnsi"/>
                <w:color w:val="000000"/>
                <w:sz w:val="22"/>
                <w:szCs w:val="22"/>
                <w:lang w:eastAsia="ko-KR"/>
              </w:rPr>
              <w:t>)</w:t>
            </w:r>
          </w:p>
        </w:tc>
        <w:tc>
          <w:tcPr>
            <w:tcW w:w="1301" w:type="dxa"/>
            <w:tcBorders>
              <w:top w:val="nil"/>
              <w:left w:val="nil"/>
              <w:bottom w:val="single" w:sz="8" w:space="0" w:color="auto"/>
              <w:right w:val="single" w:sz="8" w:space="0" w:color="auto"/>
            </w:tcBorders>
            <w:noWrap/>
            <w:vAlign w:val="center"/>
            <w:hideMark/>
          </w:tcPr>
          <w:p w14:paraId="125AB6F6" w14:textId="77777777"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59%</w:t>
            </w:r>
          </w:p>
        </w:tc>
        <w:tc>
          <w:tcPr>
            <w:tcW w:w="2134" w:type="dxa"/>
            <w:tcBorders>
              <w:top w:val="nil"/>
              <w:left w:val="nil"/>
              <w:bottom w:val="single" w:sz="8" w:space="0" w:color="auto"/>
              <w:right w:val="single" w:sz="8" w:space="0" w:color="auto"/>
            </w:tcBorders>
            <w:noWrap/>
            <w:vAlign w:val="center"/>
            <w:hideMark/>
          </w:tcPr>
          <w:p w14:paraId="3D29C28D" w14:textId="77777777"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61%</w:t>
            </w:r>
          </w:p>
        </w:tc>
        <w:tc>
          <w:tcPr>
            <w:tcW w:w="1425" w:type="dxa"/>
            <w:tcBorders>
              <w:top w:val="nil"/>
              <w:left w:val="nil"/>
              <w:bottom w:val="single" w:sz="8" w:space="0" w:color="auto"/>
              <w:right w:val="single" w:sz="8" w:space="0" w:color="auto"/>
            </w:tcBorders>
            <w:noWrap/>
            <w:vAlign w:val="center"/>
            <w:hideMark/>
          </w:tcPr>
          <w:p w14:paraId="06196422" w14:textId="77777777"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61%</w:t>
            </w:r>
          </w:p>
        </w:tc>
      </w:tr>
      <w:tr w:rsidR="00DC3160" w:rsidRPr="00A005AF" w14:paraId="09500F2D" w14:textId="77777777" w:rsidTr="0076176F">
        <w:trPr>
          <w:trHeight w:val="300"/>
          <w:jc w:val="center"/>
        </w:trPr>
        <w:tc>
          <w:tcPr>
            <w:tcW w:w="4202" w:type="dxa"/>
            <w:gridSpan w:val="2"/>
            <w:tcBorders>
              <w:top w:val="nil"/>
              <w:left w:val="single" w:sz="8" w:space="0" w:color="auto"/>
              <w:bottom w:val="single" w:sz="8" w:space="0" w:color="auto"/>
              <w:right w:val="single" w:sz="8" w:space="0" w:color="auto"/>
            </w:tcBorders>
            <w:noWrap/>
            <w:vAlign w:val="bottom"/>
            <w:hideMark/>
          </w:tcPr>
          <w:p w14:paraId="2AF23717" w14:textId="7B916A62" w:rsidR="00DC3160" w:rsidRPr="00FA0CF5" w:rsidRDefault="00E93FE9" w:rsidP="00A005AF">
            <w:pPr>
              <w:rPr>
                <w:rFonts w:asciiTheme="minorHAnsi" w:hAnsiTheme="minorHAnsi" w:cstheme="minorHAnsi"/>
                <w:color w:val="000000"/>
                <w:sz w:val="22"/>
                <w:szCs w:val="22"/>
                <w:lang w:eastAsia="ko-KR"/>
              </w:rPr>
            </w:pPr>
            <w:r w:rsidRPr="00FA0CF5">
              <w:rPr>
                <w:rFonts w:asciiTheme="minorHAnsi" w:hAnsiTheme="minorHAnsi" w:cstheme="minorHAnsi"/>
                <w:color w:val="000000"/>
                <w:sz w:val="22"/>
                <w:szCs w:val="22"/>
                <w:lang w:eastAsia="ko-KR"/>
              </w:rPr>
              <w:t xml:space="preserve">Component #3 </w:t>
            </w:r>
            <w:r w:rsidR="00EB066B">
              <w:rPr>
                <w:rFonts w:asciiTheme="minorHAnsi" w:hAnsiTheme="minorHAnsi" w:cstheme="minorHAnsi"/>
                <w:color w:val="000000"/>
                <w:sz w:val="22"/>
                <w:szCs w:val="22"/>
                <w:lang w:eastAsia="ko-KR"/>
              </w:rPr>
              <w:t>Relative cost</w:t>
            </w:r>
            <w:r w:rsidR="00DC3160" w:rsidRPr="00FA0CF5">
              <w:rPr>
                <w:rFonts w:asciiTheme="minorHAnsi" w:hAnsiTheme="minorHAnsi" w:cstheme="minorHAnsi"/>
                <w:color w:val="000000"/>
                <w:sz w:val="22"/>
                <w:szCs w:val="22"/>
                <w:lang w:eastAsia="ko-KR"/>
              </w:rPr>
              <w:t xml:space="preserve"> for corporate</w:t>
            </w:r>
            <w:r w:rsidR="007E1CCE" w:rsidRPr="00FA0CF5">
              <w:rPr>
                <w:rFonts w:asciiTheme="minorHAnsi" w:hAnsiTheme="minorHAnsi" w:cstheme="minorHAnsi"/>
                <w:color w:val="000000"/>
                <w:sz w:val="22"/>
                <w:szCs w:val="22"/>
                <w:lang w:eastAsia="ko-KR"/>
              </w:rPr>
              <w:t xml:space="preserve"> </w:t>
            </w:r>
            <w:r w:rsidR="00EB066B">
              <w:rPr>
                <w:rFonts w:asciiTheme="minorHAnsi" w:hAnsiTheme="minorHAnsi" w:cstheme="minorHAnsi"/>
                <w:color w:val="000000"/>
                <w:sz w:val="22"/>
                <w:szCs w:val="22"/>
                <w:lang w:eastAsia="ko-KR"/>
              </w:rPr>
              <w:t>fee payers when compared</w:t>
            </w:r>
            <w:r w:rsidR="007E1CCE" w:rsidRPr="00FA0CF5">
              <w:rPr>
                <w:rFonts w:asciiTheme="minorHAnsi" w:hAnsiTheme="minorHAnsi" w:cstheme="minorHAnsi"/>
                <w:color w:val="000000"/>
                <w:sz w:val="22"/>
                <w:szCs w:val="22"/>
                <w:lang w:eastAsia="ko-KR"/>
              </w:rPr>
              <w:t xml:space="preserve"> to standard</w:t>
            </w:r>
            <w:r w:rsidR="00EB066B">
              <w:rPr>
                <w:rFonts w:asciiTheme="minorHAnsi" w:hAnsiTheme="minorHAnsi" w:cstheme="minorHAnsi"/>
                <w:color w:val="000000"/>
                <w:sz w:val="22"/>
                <w:szCs w:val="22"/>
                <w:lang w:eastAsia="ko-KR"/>
              </w:rPr>
              <w:t xml:space="preserve"> fee payers</w:t>
            </w:r>
          </w:p>
        </w:tc>
        <w:tc>
          <w:tcPr>
            <w:tcW w:w="1301" w:type="dxa"/>
            <w:tcBorders>
              <w:top w:val="nil"/>
              <w:left w:val="nil"/>
              <w:bottom w:val="single" w:sz="8" w:space="0" w:color="auto"/>
              <w:right w:val="single" w:sz="8" w:space="0" w:color="auto"/>
            </w:tcBorders>
            <w:noWrap/>
            <w:vAlign w:val="center"/>
            <w:hideMark/>
          </w:tcPr>
          <w:p w14:paraId="29382F5E" w14:textId="77777777"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143%</w:t>
            </w:r>
          </w:p>
        </w:tc>
        <w:tc>
          <w:tcPr>
            <w:tcW w:w="2134" w:type="dxa"/>
            <w:tcBorders>
              <w:top w:val="nil"/>
              <w:left w:val="nil"/>
              <w:bottom w:val="single" w:sz="8" w:space="0" w:color="auto"/>
              <w:right w:val="single" w:sz="8" w:space="0" w:color="auto"/>
            </w:tcBorders>
            <w:noWrap/>
            <w:vAlign w:val="center"/>
            <w:hideMark/>
          </w:tcPr>
          <w:p w14:paraId="6B7E03F6" w14:textId="77777777"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300%</w:t>
            </w:r>
          </w:p>
        </w:tc>
        <w:tc>
          <w:tcPr>
            <w:tcW w:w="1425" w:type="dxa"/>
            <w:tcBorders>
              <w:top w:val="nil"/>
              <w:left w:val="nil"/>
              <w:bottom w:val="single" w:sz="8" w:space="0" w:color="auto"/>
              <w:right w:val="single" w:sz="8" w:space="0" w:color="auto"/>
            </w:tcBorders>
            <w:noWrap/>
            <w:vAlign w:val="center"/>
            <w:hideMark/>
          </w:tcPr>
          <w:p w14:paraId="5C6AD3E6" w14:textId="77777777" w:rsidR="00DC3160" w:rsidRPr="0050364F" w:rsidRDefault="00DC3160" w:rsidP="00A005AF">
            <w:pPr>
              <w:jc w:val="center"/>
              <w:rPr>
                <w:rFonts w:asciiTheme="minorHAnsi" w:hAnsiTheme="minorHAnsi" w:cstheme="minorHAnsi"/>
                <w:color w:val="000000"/>
                <w:sz w:val="22"/>
                <w:szCs w:val="22"/>
                <w:lang w:eastAsia="ko-KR"/>
              </w:rPr>
            </w:pPr>
            <w:r w:rsidRPr="0050364F">
              <w:rPr>
                <w:rFonts w:asciiTheme="minorHAnsi" w:hAnsiTheme="minorHAnsi" w:cstheme="minorHAnsi"/>
                <w:color w:val="000000"/>
                <w:sz w:val="22"/>
                <w:szCs w:val="22"/>
                <w:lang w:eastAsia="ko-KR"/>
              </w:rPr>
              <w:t>300%</w:t>
            </w:r>
          </w:p>
        </w:tc>
      </w:tr>
    </w:tbl>
    <w:p w14:paraId="106320B5" w14:textId="77777777" w:rsidR="00B96AA2" w:rsidRPr="00FA0CF5" w:rsidRDefault="00B96AA2" w:rsidP="00BB7CFD">
      <w:pPr>
        <w:pStyle w:val="DJCSbody"/>
      </w:pPr>
    </w:p>
    <w:p w14:paraId="07D43470" w14:textId="3CC78C83" w:rsidR="0046403D" w:rsidRDefault="0046403D" w:rsidP="0046403D">
      <w:pPr>
        <w:pStyle w:val="DJCSbody"/>
        <w:rPr>
          <w:u w:val="single"/>
        </w:rPr>
      </w:pPr>
      <w:r>
        <w:rPr>
          <w:u w:val="single"/>
        </w:rPr>
        <w:t>Base Case</w:t>
      </w:r>
    </w:p>
    <w:p w14:paraId="72EC6495" w14:textId="17E69893" w:rsidR="0046403D" w:rsidRDefault="004908A0" w:rsidP="0046403D">
      <w:pPr>
        <w:pStyle w:val="DJCSbody"/>
      </w:pPr>
      <w:r>
        <w:t xml:space="preserve">The Base Case represents </w:t>
      </w:r>
      <w:r w:rsidR="007069BB">
        <w:t>the case where there are no fee regulations</w:t>
      </w:r>
      <w:r w:rsidR="00BB7CFD">
        <w:t>. For the purposes of comparison with the other options, the Base Case receives a score of 0</w:t>
      </w:r>
      <w:r w:rsidR="0046403D" w:rsidRPr="00A00994">
        <w:t>.</w:t>
      </w:r>
    </w:p>
    <w:p w14:paraId="5CB2B639" w14:textId="77777777" w:rsidR="0050364F" w:rsidRDefault="0050364F" w:rsidP="0046403D">
      <w:pPr>
        <w:pStyle w:val="DJCSbody"/>
      </w:pPr>
    </w:p>
    <w:p w14:paraId="1EA68C18" w14:textId="77777777" w:rsidR="002C0C9F" w:rsidRDefault="002C0C9F" w:rsidP="002C0C9F">
      <w:pPr>
        <w:pStyle w:val="DJCSbody"/>
        <w:rPr>
          <w:u w:val="single"/>
        </w:rPr>
      </w:pPr>
      <w:r>
        <w:rPr>
          <w:u w:val="single"/>
        </w:rPr>
        <w:t>Option 1: Continue with Current Fees and Structure</w:t>
      </w:r>
    </w:p>
    <w:p w14:paraId="0FFB777A" w14:textId="418CFE53" w:rsidR="0046403D" w:rsidRDefault="00D12D95" w:rsidP="0046403D">
      <w:pPr>
        <w:pStyle w:val="DJCSbody"/>
      </w:pPr>
      <w:r>
        <w:t xml:space="preserve">Option 1 </w:t>
      </w:r>
      <w:r w:rsidR="00E953C9">
        <w:t>maintains the current fee structure with</w:t>
      </w:r>
      <w:r w:rsidR="00357784">
        <w:t xml:space="preserve"> </w:t>
      </w:r>
      <w:r w:rsidR="00E953C9">
        <w:t>only those with a</w:t>
      </w:r>
      <w:r w:rsidR="00357784">
        <w:t xml:space="preserve"> low</w:t>
      </w:r>
      <w:r w:rsidR="007B3D9B">
        <w:t>-</w:t>
      </w:r>
      <w:r w:rsidR="00357784">
        <w:t>income health care car</w:t>
      </w:r>
      <w:r w:rsidR="00327574">
        <w:t>d</w:t>
      </w:r>
      <w:r w:rsidR="00E953C9">
        <w:t xml:space="preserve"> being eligible for concession</w:t>
      </w:r>
      <w:r w:rsidR="00327574">
        <w:t xml:space="preserve">, </w:t>
      </w:r>
      <w:r w:rsidR="00E953C9">
        <w:t>a</w:t>
      </w:r>
      <w:r w:rsidR="00327574">
        <w:t xml:space="preserve"> $200,000 </w:t>
      </w:r>
      <w:r w:rsidR="00A27EBA">
        <w:t>excl. GST</w:t>
      </w:r>
      <w:r w:rsidR="00327574">
        <w:t xml:space="preserve"> turnover threshold for corporate fee payers and the 35/70/100 relativities for concession</w:t>
      </w:r>
      <w:r w:rsidR="0067251F">
        <w:t>,</w:t>
      </w:r>
      <w:r w:rsidR="00327574">
        <w:t xml:space="preserve"> standard and</w:t>
      </w:r>
      <w:r w:rsidR="00273AFD">
        <w:t xml:space="preserve"> corporate.</w:t>
      </w:r>
    </w:p>
    <w:p w14:paraId="0055BB6A" w14:textId="65BDD1B2" w:rsidR="00273AFD" w:rsidRDefault="00273AFD" w:rsidP="0046403D">
      <w:pPr>
        <w:pStyle w:val="DJCSbody"/>
      </w:pPr>
      <w:r>
        <w:t>Some key points relating to the assessment against the criteria and the components measured</w:t>
      </w:r>
      <w:r w:rsidR="008D5180">
        <w:t>:</w:t>
      </w:r>
    </w:p>
    <w:p w14:paraId="2B19B1D6" w14:textId="709608CD" w:rsidR="00273AFD" w:rsidRDefault="00273AFD" w:rsidP="003C4FE7">
      <w:pPr>
        <w:pStyle w:val="DJCSbody"/>
        <w:numPr>
          <w:ilvl w:val="0"/>
          <w:numId w:val="29"/>
        </w:numPr>
      </w:pPr>
      <w:r>
        <w:lastRenderedPageBreak/>
        <w:t>A total of 82,</w:t>
      </w:r>
      <w:r w:rsidR="001B0AEE">
        <w:t xml:space="preserve">055 persons on </w:t>
      </w:r>
      <w:r w:rsidR="00E953C9">
        <w:t>low</w:t>
      </w:r>
      <w:r w:rsidR="007B3D9B">
        <w:t>-</w:t>
      </w:r>
      <w:r w:rsidR="00E953C9">
        <w:t xml:space="preserve">income </w:t>
      </w:r>
      <w:r w:rsidR="001B0AEE">
        <w:t xml:space="preserve">health care cards would be eligible </w:t>
      </w:r>
      <w:r w:rsidR="008525A7">
        <w:t xml:space="preserve">for the concession fee tier. In the </w:t>
      </w:r>
      <w:r w:rsidR="00AE50CC">
        <w:t xml:space="preserve">Base Case </w:t>
      </w:r>
      <w:r w:rsidR="008525A7">
        <w:t>there are no fees and no fee payer categories.</w:t>
      </w:r>
      <w:r w:rsidR="00793387">
        <w:t xml:space="preserve"> </w:t>
      </w:r>
      <w:r w:rsidR="002B5261">
        <w:t>For this component</w:t>
      </w:r>
      <w:r w:rsidR="00E953C9">
        <w:t>,</w:t>
      </w:r>
      <w:r w:rsidR="002B5261">
        <w:t xml:space="preserve"> </w:t>
      </w:r>
      <w:r w:rsidR="00E953C9">
        <w:t>O</w:t>
      </w:r>
      <w:r w:rsidR="002B5261">
        <w:t>ption 1 receives a score of 1.</w:t>
      </w:r>
    </w:p>
    <w:p w14:paraId="6F6D59A6" w14:textId="32C736A8" w:rsidR="008525A7" w:rsidRDefault="00EC1436" w:rsidP="003C4FE7">
      <w:pPr>
        <w:pStyle w:val="DJCSbody"/>
        <w:numPr>
          <w:ilvl w:val="0"/>
          <w:numId w:val="29"/>
        </w:numPr>
        <w:ind w:right="142"/>
      </w:pPr>
      <w:r>
        <w:t>59</w:t>
      </w:r>
      <w:r w:rsidR="00E953C9">
        <w:t xml:space="preserve">% </w:t>
      </w:r>
      <w:r>
        <w:t>of businesses would be eligible for the standard fee tier based on the threshold of $200,000</w:t>
      </w:r>
      <w:r w:rsidR="00A27EBA">
        <w:t xml:space="preserve"> excl. GST</w:t>
      </w:r>
      <w:r>
        <w:t xml:space="preserve">. </w:t>
      </w:r>
      <w:r w:rsidR="00AE2C4C">
        <w:t xml:space="preserve">In </w:t>
      </w:r>
      <w:r>
        <w:t xml:space="preserve">the </w:t>
      </w:r>
      <w:r w:rsidR="00AE50CC">
        <w:t>Base Case</w:t>
      </w:r>
      <w:r w:rsidR="00AE2C4C">
        <w:t>,</w:t>
      </w:r>
      <w:r>
        <w:t xml:space="preserve"> there are no fees and no fee structure</w:t>
      </w:r>
      <w:r w:rsidR="00427E5F">
        <w:t xml:space="preserve"> so the measure scores a 0</w:t>
      </w:r>
      <w:r>
        <w:t>.</w:t>
      </w:r>
      <w:r w:rsidR="002B5261">
        <w:t xml:space="preserve"> For this component</w:t>
      </w:r>
      <w:r w:rsidR="00E34906">
        <w:t>,</w:t>
      </w:r>
      <w:r w:rsidR="002B5261">
        <w:t xml:space="preserve"> </w:t>
      </w:r>
      <w:r w:rsidR="0047709B">
        <w:t>O</w:t>
      </w:r>
      <w:r w:rsidR="002B5261">
        <w:t>ption 1 receives a score of 4.</w:t>
      </w:r>
    </w:p>
    <w:p w14:paraId="6EAA9D70" w14:textId="4608BE16" w:rsidR="00EC1436" w:rsidRDefault="008D36C4" w:rsidP="003C4FE7">
      <w:pPr>
        <w:pStyle w:val="DJCSbody"/>
        <w:numPr>
          <w:ilvl w:val="0"/>
          <w:numId w:val="29"/>
        </w:numPr>
      </w:pPr>
      <w:r>
        <w:t xml:space="preserve">Corporate fees are set at a rate of </w:t>
      </w:r>
      <w:r w:rsidR="009672AA">
        <w:t>100</w:t>
      </w:r>
      <w:r w:rsidR="00165F08">
        <w:t>%</w:t>
      </w:r>
      <w:r w:rsidR="009672AA">
        <w:t xml:space="preserve"> of cost recovery and standard fees are set at 70</w:t>
      </w:r>
      <w:r w:rsidR="00165F08">
        <w:t>%</w:t>
      </w:r>
      <w:r w:rsidR="009672AA">
        <w:t>. This means that corporate fees are</w:t>
      </w:r>
      <w:r w:rsidR="007E1CCE">
        <w:t xml:space="preserve"> </w:t>
      </w:r>
      <w:r w:rsidR="00160C7F">
        <w:t xml:space="preserve">1.4 times </w:t>
      </w:r>
      <w:r w:rsidR="007E1CCE">
        <w:t>higher than standard fees</w:t>
      </w:r>
      <w:r w:rsidR="00E300C0">
        <w:t xml:space="preserve">. In the Base </w:t>
      </w:r>
      <w:r w:rsidR="00FD1B13">
        <w:t>C</w:t>
      </w:r>
      <w:r w:rsidR="00E300C0">
        <w:t>ase there are no fees and fee structures</w:t>
      </w:r>
      <w:r w:rsidR="00D4423B">
        <w:t>,</w:t>
      </w:r>
      <w:r w:rsidR="00DB204A">
        <w:t xml:space="preserve"> so the relativity is 0</w:t>
      </w:r>
      <w:r w:rsidR="002B5261">
        <w:t>. For this component</w:t>
      </w:r>
      <w:r w:rsidR="007F6438">
        <w:t>, Option 1 receives a score of 2.</w:t>
      </w:r>
    </w:p>
    <w:p w14:paraId="30A1B557" w14:textId="133CC259" w:rsidR="00273AFD" w:rsidRDefault="007F6438" w:rsidP="0046403D">
      <w:pPr>
        <w:pStyle w:val="DJCSbody"/>
      </w:pPr>
      <w:r>
        <w:t>Averaging out the three components results in an overall score of 2.3 for Option 1.</w:t>
      </w:r>
    </w:p>
    <w:p w14:paraId="6D23DA40" w14:textId="77777777" w:rsidR="002F20B8" w:rsidRPr="00D12D95" w:rsidRDefault="002F20B8" w:rsidP="003036D1">
      <w:pPr>
        <w:pStyle w:val="DJCSbody"/>
      </w:pPr>
    </w:p>
    <w:p w14:paraId="6D20AB9D" w14:textId="77777777" w:rsidR="002C0C9F" w:rsidRDefault="002C0C9F" w:rsidP="002C0C9F">
      <w:pPr>
        <w:pStyle w:val="DJCSbody"/>
        <w:rPr>
          <w:u w:val="single"/>
        </w:rPr>
      </w:pPr>
      <w:r>
        <w:rPr>
          <w:u w:val="single"/>
        </w:rPr>
        <w:t>Option 2: New Fee Structure</w:t>
      </w:r>
    </w:p>
    <w:p w14:paraId="0D9AA386" w14:textId="324B8D9C" w:rsidR="0046403D" w:rsidRDefault="00632086" w:rsidP="0046403D">
      <w:pPr>
        <w:pStyle w:val="DJCSbody"/>
      </w:pPr>
      <w:r w:rsidRPr="00FA0CF5">
        <w:t xml:space="preserve">In adopting the new fee structure, Option 2 has higher scores for each of </w:t>
      </w:r>
      <w:r w:rsidR="00DF1735">
        <w:t xml:space="preserve">the </w:t>
      </w:r>
      <w:r w:rsidR="00EF54F6" w:rsidRPr="00FA0CF5">
        <w:t>criteria. This reflects the greater access to justice through lower fees payable</w:t>
      </w:r>
      <w:r w:rsidR="001F407A">
        <w:t xml:space="preserve"> for </w:t>
      </w:r>
      <w:r w:rsidR="007B5634">
        <w:t>individuals with concessions and small businesses</w:t>
      </w:r>
      <w:r w:rsidR="00EF54F6" w:rsidRPr="00FA0CF5">
        <w:t>.</w:t>
      </w:r>
      <w:r w:rsidR="007B5634">
        <w:t xml:space="preserve"> Option 2 also receives a higher score by better reflecting the ability of corporations to pay relatively higher fees.</w:t>
      </w:r>
    </w:p>
    <w:p w14:paraId="351DCCE6" w14:textId="3E227B25" w:rsidR="007B5634" w:rsidRDefault="007B5634" w:rsidP="007B5634">
      <w:pPr>
        <w:pStyle w:val="DJCSbody"/>
      </w:pPr>
      <w:r>
        <w:t>Some key points relating to the assessment against the criteria and the components measured</w:t>
      </w:r>
      <w:r w:rsidR="00983938">
        <w:t>:</w:t>
      </w:r>
    </w:p>
    <w:p w14:paraId="534A63A7" w14:textId="1B93081B" w:rsidR="007B5634" w:rsidRDefault="007B5634" w:rsidP="003C4FE7">
      <w:pPr>
        <w:pStyle w:val="DJCSbody"/>
        <w:numPr>
          <w:ilvl w:val="0"/>
          <w:numId w:val="29"/>
        </w:numPr>
      </w:pPr>
      <w:r>
        <w:t xml:space="preserve">A total of 727,124 persons </w:t>
      </w:r>
      <w:r w:rsidR="001A0E95">
        <w:t xml:space="preserve">hold </w:t>
      </w:r>
      <w:r w:rsidR="00A86E10">
        <w:t>H</w:t>
      </w:r>
      <w:r>
        <w:t xml:space="preserve">ealth </w:t>
      </w:r>
      <w:r w:rsidR="00A86E10">
        <w:t>C</w:t>
      </w:r>
      <w:r>
        <w:t xml:space="preserve">are </w:t>
      </w:r>
      <w:r w:rsidR="00A86E10">
        <w:t>C</w:t>
      </w:r>
      <w:r>
        <w:t>ards</w:t>
      </w:r>
      <w:r w:rsidR="0002043C">
        <w:t xml:space="preserve">, </w:t>
      </w:r>
      <w:r w:rsidR="00E34B2B">
        <w:t>P</w:t>
      </w:r>
      <w:r w:rsidR="0002043C">
        <w:t>ension</w:t>
      </w:r>
      <w:r w:rsidR="00635C38">
        <w:t>er Concession</w:t>
      </w:r>
      <w:r w:rsidR="0002043C">
        <w:t xml:space="preserve"> </w:t>
      </w:r>
      <w:r w:rsidR="00635C38">
        <w:t>C</w:t>
      </w:r>
      <w:r w:rsidR="0002043C">
        <w:t xml:space="preserve">ards and </w:t>
      </w:r>
      <w:r w:rsidR="00F35D64">
        <w:t>V</w:t>
      </w:r>
      <w:r w:rsidR="0002043C">
        <w:t>eterans</w:t>
      </w:r>
      <w:r w:rsidR="00F35D64">
        <w:t>’</w:t>
      </w:r>
      <w:r w:rsidR="0002043C">
        <w:t xml:space="preserve"> </w:t>
      </w:r>
      <w:r w:rsidR="00F35D64">
        <w:t>G</w:t>
      </w:r>
      <w:r w:rsidR="0002043C">
        <w:t xml:space="preserve">old </w:t>
      </w:r>
      <w:r w:rsidR="00F35D64">
        <w:t>C</w:t>
      </w:r>
      <w:r w:rsidR="0002043C">
        <w:t xml:space="preserve">ards. This </w:t>
      </w:r>
      <w:r w:rsidR="000464AC">
        <w:t>represents an increase of 645,069 persons or almost 9 times the number of persons eligible</w:t>
      </w:r>
      <w:r w:rsidR="00A05B87">
        <w:t xml:space="preserve"> under the current Regulations</w:t>
      </w:r>
      <w:r w:rsidR="000464AC">
        <w:t>.</w:t>
      </w:r>
      <w:r w:rsidR="008C119E">
        <w:t xml:space="preserve"> As Option 1 scored a 1 and Option 2 had 9 times more persons</w:t>
      </w:r>
      <w:r w:rsidR="00FF5857">
        <w:t>,</w:t>
      </w:r>
      <w:r w:rsidR="008C119E">
        <w:t xml:space="preserve"> </w:t>
      </w:r>
      <w:r w:rsidR="0004544D">
        <w:t xml:space="preserve">Option 2 </w:t>
      </w:r>
      <w:r w:rsidR="008C119E">
        <w:t>scores a 9 for this component</w:t>
      </w:r>
      <w:r>
        <w:t>.</w:t>
      </w:r>
    </w:p>
    <w:p w14:paraId="67DDDE2C" w14:textId="18256A17" w:rsidR="007B5634" w:rsidRDefault="008C119E" w:rsidP="003C4FE7">
      <w:pPr>
        <w:pStyle w:val="DJCSbody"/>
        <w:numPr>
          <w:ilvl w:val="0"/>
          <w:numId w:val="29"/>
        </w:numPr>
      </w:pPr>
      <w:r>
        <w:t>61</w:t>
      </w:r>
      <w:r w:rsidR="00165F08">
        <w:t>%</w:t>
      </w:r>
      <w:r w:rsidR="007B5634">
        <w:t xml:space="preserve"> of businesses would be eligible for the standard fee tier based on the threshold of $</w:t>
      </w:r>
      <w:r>
        <w:t>3</w:t>
      </w:r>
      <w:r w:rsidR="007B5634">
        <w:t>00,000</w:t>
      </w:r>
      <w:r w:rsidR="00FD1442">
        <w:t xml:space="preserve"> excl.</w:t>
      </w:r>
      <w:r w:rsidR="00F35D64">
        <w:t xml:space="preserve"> </w:t>
      </w:r>
      <w:r w:rsidR="00FD1442">
        <w:t>GST</w:t>
      </w:r>
      <w:r w:rsidR="007B5634">
        <w:t xml:space="preserve">. </w:t>
      </w:r>
      <w:r>
        <w:t xml:space="preserve">This is an increase </w:t>
      </w:r>
      <w:r w:rsidR="00EB7433">
        <w:t>by 2%</w:t>
      </w:r>
      <w:r>
        <w:t xml:space="preserve"> in </w:t>
      </w:r>
      <w:r w:rsidR="0004544D">
        <w:t>the number</w:t>
      </w:r>
      <w:r>
        <w:t xml:space="preserve"> </w:t>
      </w:r>
      <w:r w:rsidR="00012F8C">
        <w:t xml:space="preserve">of small businesses eligible for the standard rate. This is a marginal increase and </w:t>
      </w:r>
      <w:r w:rsidR="00261425">
        <w:t>Option 2 scores</w:t>
      </w:r>
      <w:r w:rsidR="00012F8C">
        <w:t xml:space="preserve"> </w:t>
      </w:r>
      <w:r w:rsidR="00F56EC2">
        <w:t>4.5 for this component.</w:t>
      </w:r>
    </w:p>
    <w:p w14:paraId="45A13C63" w14:textId="6E63B7B7" w:rsidR="007B5634" w:rsidRDefault="007B5634" w:rsidP="003C4FE7">
      <w:pPr>
        <w:pStyle w:val="DJCSbody"/>
        <w:numPr>
          <w:ilvl w:val="0"/>
          <w:numId w:val="29"/>
        </w:numPr>
      </w:pPr>
      <w:r>
        <w:t xml:space="preserve">Corporate fees are set at a rate of </w:t>
      </w:r>
      <w:r w:rsidR="00F476D7">
        <w:t>1</w:t>
      </w:r>
      <w:r w:rsidR="00F56EC2">
        <w:t>00</w:t>
      </w:r>
      <w:r w:rsidR="00DD101F">
        <w:t>%</w:t>
      </w:r>
      <w:r w:rsidR="00C23201">
        <w:t xml:space="preserve"> </w:t>
      </w:r>
      <w:r>
        <w:t xml:space="preserve">and standard fees are set at </w:t>
      </w:r>
      <w:r w:rsidR="00F476D7">
        <w:t>33</w:t>
      </w:r>
      <w:r w:rsidR="00165F08">
        <w:t>%</w:t>
      </w:r>
      <w:r>
        <w:t>. This means that corporate fees are</w:t>
      </w:r>
      <w:r w:rsidR="00F56EC2">
        <w:t xml:space="preserve"> 3</w:t>
      </w:r>
      <w:r>
        <w:t xml:space="preserve"> times higher than standard fees. </w:t>
      </w:r>
      <w:r w:rsidR="00384CA0">
        <w:t>Corporate fees are only 1.43 times higher than corporate fees in Option 1</w:t>
      </w:r>
      <w:r w:rsidR="00B24046">
        <w:t xml:space="preserve">. Option 2 receives a </w:t>
      </w:r>
      <w:r w:rsidR="00296BD3">
        <w:t>score of 5 for this component</w:t>
      </w:r>
      <w:r w:rsidR="00C23201">
        <w:t>,</w:t>
      </w:r>
      <w:r w:rsidR="008A1B57">
        <w:t xml:space="preserve"> reflecting the greater disparity between standard and corporate fees</w:t>
      </w:r>
      <w:r w:rsidR="00296BD3">
        <w:t>.</w:t>
      </w:r>
    </w:p>
    <w:p w14:paraId="55968C36" w14:textId="35553127" w:rsidR="007B5634" w:rsidRDefault="007B5634" w:rsidP="007B5634">
      <w:pPr>
        <w:pStyle w:val="DJCSbody"/>
      </w:pPr>
      <w:r>
        <w:t xml:space="preserve">Averaging out the three components results in an overall score of </w:t>
      </w:r>
      <w:r w:rsidR="00296BD3">
        <w:t>6</w:t>
      </w:r>
      <w:r>
        <w:t>.</w:t>
      </w:r>
      <w:r w:rsidR="008C5DD3">
        <w:t>2</w:t>
      </w:r>
      <w:r>
        <w:t xml:space="preserve"> for Option </w:t>
      </w:r>
      <w:r w:rsidR="00296BD3">
        <w:t>2</w:t>
      </w:r>
      <w:r>
        <w:t>.</w:t>
      </w:r>
    </w:p>
    <w:p w14:paraId="6F77E81D" w14:textId="77777777" w:rsidR="007B2A8C" w:rsidRDefault="007B2A8C" w:rsidP="007B5634">
      <w:pPr>
        <w:pStyle w:val="DJCSbody"/>
      </w:pPr>
    </w:p>
    <w:p w14:paraId="06CE1E5B" w14:textId="77777777" w:rsidR="002C0C9F" w:rsidRPr="0046403D" w:rsidRDefault="002C0C9F" w:rsidP="002C0C9F">
      <w:pPr>
        <w:pStyle w:val="DJCSbody"/>
        <w:rPr>
          <w:u w:val="single"/>
        </w:rPr>
      </w:pPr>
      <w:r>
        <w:rPr>
          <w:u w:val="single"/>
        </w:rPr>
        <w:t>Option 3: New Fee Structure and Increased Cost Recovery</w:t>
      </w:r>
    </w:p>
    <w:p w14:paraId="4891FD08" w14:textId="2F1DE220" w:rsidR="0046403D" w:rsidRPr="00296BD3" w:rsidRDefault="00296BD3" w:rsidP="0046403D">
      <w:pPr>
        <w:pStyle w:val="DJCSbody"/>
      </w:pPr>
      <w:r>
        <w:t xml:space="preserve">Option 3 has the same </w:t>
      </w:r>
      <w:r w:rsidR="00BB007A">
        <w:t>fee structure as Option 2</w:t>
      </w:r>
      <w:r w:rsidR="00C23201">
        <w:t>,</w:t>
      </w:r>
      <w:r w:rsidR="00BB007A">
        <w:t xml:space="preserve"> so the analysis is the same as for Option 2. </w:t>
      </w:r>
      <w:r w:rsidR="00343E49">
        <w:t xml:space="preserve">As a result, </w:t>
      </w:r>
      <w:r w:rsidR="00BB007A">
        <w:t>Option 3 receives a score of 6.</w:t>
      </w:r>
      <w:r w:rsidR="008C5DD3">
        <w:t>2</w:t>
      </w:r>
      <w:r w:rsidR="00227FD4">
        <w:t>.</w:t>
      </w:r>
    </w:p>
    <w:p w14:paraId="47340DA5" w14:textId="79810641" w:rsidR="0046403D" w:rsidRDefault="0046403D" w:rsidP="00FA0CF5">
      <w:pPr>
        <w:pStyle w:val="Heading3"/>
        <w:ind w:left="709"/>
      </w:pPr>
      <w:bookmarkStart w:id="113" w:name="_Toc216179719"/>
      <w:r w:rsidRPr="0046403D">
        <w:t xml:space="preserve">Criterion </w:t>
      </w:r>
      <w:r>
        <w:t>3</w:t>
      </w:r>
      <w:r w:rsidRPr="0046403D">
        <w:t xml:space="preserve"> – </w:t>
      </w:r>
      <w:r w:rsidR="00BF5DE2">
        <w:t>Efficiency</w:t>
      </w:r>
      <w:bookmarkEnd w:id="113"/>
    </w:p>
    <w:p w14:paraId="019AE57D" w14:textId="7E6AF52B" w:rsidR="008E264A" w:rsidRPr="00A91832" w:rsidRDefault="008E264A" w:rsidP="006E1343">
      <w:pPr>
        <w:pStyle w:val="DJCStablecaption"/>
      </w:pPr>
      <w:r w:rsidRPr="00A91832">
        <w:t xml:space="preserve">Table </w:t>
      </w:r>
      <w:r w:rsidR="00B076F0">
        <w:t>18</w:t>
      </w:r>
      <w:r>
        <w:t xml:space="preserve"> Criterion 3 – Efficiency</w:t>
      </w:r>
    </w:p>
    <w:tbl>
      <w:tblPr>
        <w:tblW w:w="8921" w:type="dxa"/>
        <w:jc w:val="center"/>
        <w:tblLook w:val="04A0" w:firstRow="1" w:lastRow="0" w:firstColumn="1" w:lastColumn="0" w:noHBand="0" w:noVBand="1"/>
      </w:tblPr>
      <w:tblGrid>
        <w:gridCol w:w="3015"/>
        <w:gridCol w:w="1183"/>
        <w:gridCol w:w="1462"/>
        <w:gridCol w:w="1560"/>
        <w:gridCol w:w="1701"/>
      </w:tblGrid>
      <w:tr w:rsidR="004E64A6" w:rsidRPr="004E64A6" w14:paraId="4681ACAB" w14:textId="77777777" w:rsidTr="0076176F">
        <w:trPr>
          <w:trHeight w:val="530"/>
          <w:jc w:val="center"/>
        </w:trPr>
        <w:tc>
          <w:tcPr>
            <w:tcW w:w="3015" w:type="dxa"/>
            <w:tcBorders>
              <w:top w:val="single" w:sz="8" w:space="0" w:color="auto"/>
              <w:left w:val="single" w:sz="8" w:space="0" w:color="auto"/>
              <w:bottom w:val="single" w:sz="8" w:space="0" w:color="auto"/>
              <w:right w:val="single" w:sz="8" w:space="0" w:color="auto"/>
            </w:tcBorders>
            <w:shd w:val="clear" w:color="000000" w:fill="16145F"/>
            <w:vAlign w:val="center"/>
            <w:hideMark/>
          </w:tcPr>
          <w:p w14:paraId="1DC57988" w14:textId="77777777" w:rsidR="004E64A6" w:rsidRPr="004E64A6" w:rsidRDefault="004E64A6" w:rsidP="004E64A6">
            <w:pPr>
              <w:jc w:val="center"/>
              <w:rPr>
                <w:rFonts w:ascii="Arial" w:hAnsi="Arial" w:cs="Arial"/>
                <w:b/>
                <w:bCs/>
                <w:color w:val="FFFFFF"/>
                <w:lang w:eastAsia="ko-KR"/>
              </w:rPr>
            </w:pPr>
            <w:r w:rsidRPr="004E64A6">
              <w:rPr>
                <w:rFonts w:ascii="Arial" w:hAnsi="Arial" w:cs="Arial"/>
                <w:b/>
                <w:bCs/>
                <w:color w:val="FFFFFF"/>
                <w:lang w:eastAsia="ko-KR"/>
              </w:rPr>
              <w:t>Criterion 3 – Efficiency</w:t>
            </w:r>
          </w:p>
        </w:tc>
        <w:tc>
          <w:tcPr>
            <w:tcW w:w="1183" w:type="dxa"/>
            <w:tcBorders>
              <w:top w:val="single" w:sz="8" w:space="0" w:color="auto"/>
              <w:left w:val="nil"/>
              <w:bottom w:val="single" w:sz="8" w:space="0" w:color="auto"/>
              <w:right w:val="single" w:sz="8" w:space="0" w:color="auto"/>
            </w:tcBorders>
            <w:shd w:val="clear" w:color="000000" w:fill="16145F"/>
            <w:vAlign w:val="center"/>
            <w:hideMark/>
          </w:tcPr>
          <w:p w14:paraId="3BD41D10" w14:textId="77777777" w:rsidR="004E64A6" w:rsidRPr="004E64A6" w:rsidRDefault="004E64A6" w:rsidP="004E64A6">
            <w:pPr>
              <w:jc w:val="center"/>
              <w:rPr>
                <w:rFonts w:ascii="Arial" w:hAnsi="Arial" w:cs="Arial"/>
                <w:b/>
                <w:bCs/>
                <w:color w:val="FFFFFF"/>
                <w:lang w:eastAsia="ko-KR"/>
              </w:rPr>
            </w:pPr>
            <w:r w:rsidRPr="004E64A6">
              <w:rPr>
                <w:rFonts w:ascii="Arial" w:hAnsi="Arial" w:cs="Arial"/>
                <w:b/>
                <w:bCs/>
                <w:color w:val="FFFFFF"/>
                <w:lang w:eastAsia="ko-KR"/>
              </w:rPr>
              <w:t>Weighting</w:t>
            </w:r>
          </w:p>
        </w:tc>
        <w:tc>
          <w:tcPr>
            <w:tcW w:w="1462" w:type="dxa"/>
            <w:tcBorders>
              <w:top w:val="single" w:sz="8" w:space="0" w:color="auto"/>
              <w:left w:val="nil"/>
              <w:bottom w:val="single" w:sz="8" w:space="0" w:color="auto"/>
              <w:right w:val="single" w:sz="8" w:space="0" w:color="auto"/>
            </w:tcBorders>
            <w:shd w:val="clear" w:color="000000" w:fill="16145F"/>
            <w:vAlign w:val="center"/>
            <w:hideMark/>
          </w:tcPr>
          <w:p w14:paraId="536BD3AA" w14:textId="77777777" w:rsidR="004E64A6" w:rsidRPr="004E64A6" w:rsidRDefault="004E64A6" w:rsidP="004E64A6">
            <w:pPr>
              <w:jc w:val="center"/>
              <w:rPr>
                <w:rFonts w:ascii="Arial" w:hAnsi="Arial" w:cs="Arial"/>
                <w:b/>
                <w:bCs/>
                <w:color w:val="FFFFFF"/>
                <w:lang w:eastAsia="ko-KR"/>
              </w:rPr>
            </w:pPr>
            <w:r w:rsidRPr="004E64A6">
              <w:rPr>
                <w:rFonts w:ascii="Arial" w:hAnsi="Arial" w:cs="Arial"/>
                <w:b/>
                <w:bCs/>
                <w:color w:val="FFFFFF"/>
                <w:lang w:eastAsia="ko-KR"/>
              </w:rPr>
              <w:t>Option 1</w:t>
            </w:r>
          </w:p>
        </w:tc>
        <w:tc>
          <w:tcPr>
            <w:tcW w:w="1560" w:type="dxa"/>
            <w:tcBorders>
              <w:top w:val="single" w:sz="8" w:space="0" w:color="auto"/>
              <w:left w:val="nil"/>
              <w:bottom w:val="single" w:sz="8" w:space="0" w:color="auto"/>
              <w:right w:val="single" w:sz="8" w:space="0" w:color="auto"/>
            </w:tcBorders>
            <w:shd w:val="clear" w:color="000000" w:fill="16145F"/>
            <w:vAlign w:val="center"/>
            <w:hideMark/>
          </w:tcPr>
          <w:p w14:paraId="6AA40D54" w14:textId="77777777" w:rsidR="004E64A6" w:rsidRPr="004E64A6" w:rsidRDefault="004E64A6" w:rsidP="004E64A6">
            <w:pPr>
              <w:jc w:val="center"/>
              <w:rPr>
                <w:rFonts w:ascii="Arial" w:hAnsi="Arial" w:cs="Arial"/>
                <w:b/>
                <w:bCs/>
                <w:color w:val="FFFFFF"/>
                <w:lang w:eastAsia="ko-KR"/>
              </w:rPr>
            </w:pPr>
            <w:r w:rsidRPr="004E64A6">
              <w:rPr>
                <w:rFonts w:ascii="Arial" w:hAnsi="Arial" w:cs="Arial"/>
                <w:b/>
                <w:bCs/>
                <w:color w:val="FFFFFF"/>
                <w:lang w:eastAsia="ko-KR"/>
              </w:rPr>
              <w:t>Option 2</w:t>
            </w:r>
          </w:p>
        </w:tc>
        <w:tc>
          <w:tcPr>
            <w:tcW w:w="1701" w:type="dxa"/>
            <w:tcBorders>
              <w:top w:val="single" w:sz="8" w:space="0" w:color="auto"/>
              <w:left w:val="nil"/>
              <w:bottom w:val="single" w:sz="8" w:space="0" w:color="auto"/>
              <w:right w:val="single" w:sz="8" w:space="0" w:color="auto"/>
            </w:tcBorders>
            <w:shd w:val="clear" w:color="000000" w:fill="16145F"/>
            <w:vAlign w:val="center"/>
            <w:hideMark/>
          </w:tcPr>
          <w:p w14:paraId="32A030EC" w14:textId="77777777" w:rsidR="004E64A6" w:rsidRPr="004E64A6" w:rsidRDefault="004E64A6" w:rsidP="004E64A6">
            <w:pPr>
              <w:jc w:val="center"/>
              <w:rPr>
                <w:rFonts w:ascii="Arial" w:hAnsi="Arial" w:cs="Arial"/>
                <w:b/>
                <w:bCs/>
                <w:color w:val="FFFFFF"/>
                <w:lang w:eastAsia="ko-KR"/>
              </w:rPr>
            </w:pPr>
            <w:r w:rsidRPr="004E64A6">
              <w:rPr>
                <w:rFonts w:ascii="Arial" w:hAnsi="Arial" w:cs="Arial"/>
                <w:b/>
                <w:bCs/>
                <w:color w:val="FFFFFF"/>
                <w:lang w:eastAsia="ko-KR"/>
              </w:rPr>
              <w:t>Option 3</w:t>
            </w:r>
          </w:p>
        </w:tc>
      </w:tr>
      <w:tr w:rsidR="00D7259D" w:rsidRPr="004E64A6" w14:paraId="4ED2304E" w14:textId="77777777" w:rsidTr="0076176F">
        <w:trPr>
          <w:trHeight w:val="300"/>
          <w:jc w:val="center"/>
        </w:trPr>
        <w:tc>
          <w:tcPr>
            <w:tcW w:w="3015" w:type="dxa"/>
            <w:tcBorders>
              <w:top w:val="nil"/>
              <w:left w:val="single" w:sz="8" w:space="0" w:color="auto"/>
              <w:bottom w:val="single" w:sz="8" w:space="0" w:color="auto"/>
              <w:right w:val="single" w:sz="8" w:space="0" w:color="auto"/>
            </w:tcBorders>
            <w:vAlign w:val="center"/>
            <w:hideMark/>
          </w:tcPr>
          <w:p w14:paraId="77C9FB47" w14:textId="3D2B8530" w:rsidR="00D7259D" w:rsidRPr="004E64A6" w:rsidRDefault="00E77A7F" w:rsidP="00D7259D">
            <w:pPr>
              <w:jc w:val="center"/>
              <w:rPr>
                <w:rFonts w:ascii="Arial" w:hAnsi="Arial" w:cs="Arial"/>
                <w:color w:val="000000"/>
                <w:lang w:eastAsia="ko-KR"/>
              </w:rPr>
            </w:pPr>
            <w:r w:rsidRPr="00E77A7F">
              <w:rPr>
                <w:rFonts w:ascii="Arial" w:hAnsi="Arial" w:cs="Arial"/>
                <w:color w:val="000000"/>
                <w:lang w:eastAsia="ko-KR"/>
              </w:rPr>
              <w:t>Fees should reflect the cost of the underlying VCAT services.</w:t>
            </w:r>
          </w:p>
        </w:tc>
        <w:tc>
          <w:tcPr>
            <w:tcW w:w="1183" w:type="dxa"/>
            <w:tcBorders>
              <w:top w:val="nil"/>
              <w:left w:val="nil"/>
              <w:bottom w:val="single" w:sz="8" w:space="0" w:color="auto"/>
              <w:right w:val="single" w:sz="8" w:space="0" w:color="auto"/>
            </w:tcBorders>
            <w:vAlign w:val="center"/>
            <w:hideMark/>
          </w:tcPr>
          <w:p w14:paraId="1AB9C6DC" w14:textId="77777777" w:rsidR="00D7259D" w:rsidRPr="004E64A6" w:rsidRDefault="00D7259D" w:rsidP="00D7259D">
            <w:pPr>
              <w:jc w:val="center"/>
              <w:rPr>
                <w:rFonts w:ascii="Arial" w:hAnsi="Arial" w:cs="Arial"/>
                <w:color w:val="000000"/>
                <w:lang w:eastAsia="ko-KR"/>
              </w:rPr>
            </w:pPr>
            <w:r w:rsidRPr="004E64A6">
              <w:rPr>
                <w:rFonts w:ascii="Arial" w:hAnsi="Arial" w:cs="Arial"/>
                <w:color w:val="000000"/>
                <w:lang w:eastAsia="ko-KR"/>
              </w:rPr>
              <w:t>15%</w:t>
            </w:r>
          </w:p>
        </w:tc>
        <w:tc>
          <w:tcPr>
            <w:tcW w:w="1462" w:type="dxa"/>
            <w:tcBorders>
              <w:top w:val="nil"/>
              <w:left w:val="nil"/>
              <w:bottom w:val="single" w:sz="8" w:space="0" w:color="auto"/>
              <w:right w:val="single" w:sz="8" w:space="0" w:color="auto"/>
            </w:tcBorders>
            <w:vAlign w:val="center"/>
            <w:hideMark/>
          </w:tcPr>
          <w:p w14:paraId="640EA755" w14:textId="07019331" w:rsidR="00D7259D" w:rsidRPr="004E64A6" w:rsidRDefault="00923591" w:rsidP="00D7259D">
            <w:pPr>
              <w:jc w:val="center"/>
              <w:rPr>
                <w:rFonts w:ascii="Arial" w:hAnsi="Arial" w:cs="Arial"/>
                <w:color w:val="000000"/>
                <w:lang w:eastAsia="ko-KR"/>
              </w:rPr>
            </w:pPr>
            <w:r>
              <w:rPr>
                <w:rFonts w:ascii="Arial" w:hAnsi="Arial" w:cs="Arial"/>
                <w:color w:val="000000"/>
              </w:rPr>
              <w:t>5</w:t>
            </w:r>
          </w:p>
        </w:tc>
        <w:tc>
          <w:tcPr>
            <w:tcW w:w="1560" w:type="dxa"/>
            <w:tcBorders>
              <w:top w:val="nil"/>
              <w:left w:val="nil"/>
              <w:bottom w:val="single" w:sz="8" w:space="0" w:color="auto"/>
              <w:right w:val="single" w:sz="8" w:space="0" w:color="auto"/>
            </w:tcBorders>
            <w:vAlign w:val="center"/>
            <w:hideMark/>
          </w:tcPr>
          <w:p w14:paraId="213657AD" w14:textId="62787F89" w:rsidR="00D7259D" w:rsidRPr="004E64A6" w:rsidRDefault="00923591" w:rsidP="00D7259D">
            <w:pPr>
              <w:jc w:val="center"/>
              <w:rPr>
                <w:rFonts w:ascii="Arial" w:hAnsi="Arial" w:cs="Arial"/>
                <w:color w:val="000000"/>
                <w:lang w:eastAsia="ko-KR"/>
              </w:rPr>
            </w:pPr>
            <w:r>
              <w:rPr>
                <w:rFonts w:ascii="Arial" w:hAnsi="Arial" w:cs="Arial"/>
                <w:color w:val="000000"/>
              </w:rPr>
              <w:t>4.5</w:t>
            </w:r>
          </w:p>
        </w:tc>
        <w:tc>
          <w:tcPr>
            <w:tcW w:w="1701" w:type="dxa"/>
            <w:tcBorders>
              <w:top w:val="nil"/>
              <w:left w:val="nil"/>
              <w:bottom w:val="single" w:sz="8" w:space="0" w:color="auto"/>
              <w:right w:val="single" w:sz="8" w:space="0" w:color="auto"/>
            </w:tcBorders>
            <w:vAlign w:val="center"/>
            <w:hideMark/>
          </w:tcPr>
          <w:p w14:paraId="3CCE3BA0" w14:textId="57531594" w:rsidR="00D7259D" w:rsidRPr="004E64A6" w:rsidRDefault="001040B0" w:rsidP="00D7259D">
            <w:pPr>
              <w:jc w:val="center"/>
              <w:rPr>
                <w:rFonts w:ascii="Arial" w:hAnsi="Arial" w:cs="Arial"/>
                <w:color w:val="000000"/>
                <w:lang w:eastAsia="ko-KR"/>
              </w:rPr>
            </w:pPr>
            <w:r>
              <w:rPr>
                <w:rFonts w:ascii="Arial" w:hAnsi="Arial" w:cs="Arial"/>
                <w:color w:val="000000"/>
              </w:rPr>
              <w:t>3.5</w:t>
            </w:r>
          </w:p>
        </w:tc>
      </w:tr>
      <w:tr w:rsidR="00D7259D" w:rsidRPr="004E64A6" w14:paraId="0E9F23D8" w14:textId="77777777" w:rsidTr="0076176F">
        <w:trPr>
          <w:trHeight w:val="300"/>
          <w:jc w:val="center"/>
        </w:trPr>
        <w:tc>
          <w:tcPr>
            <w:tcW w:w="4198" w:type="dxa"/>
            <w:gridSpan w:val="2"/>
            <w:tcBorders>
              <w:top w:val="single" w:sz="8" w:space="0" w:color="auto"/>
              <w:left w:val="single" w:sz="8" w:space="0" w:color="auto"/>
              <w:bottom w:val="single" w:sz="8" w:space="0" w:color="auto"/>
              <w:right w:val="single" w:sz="8" w:space="0" w:color="000000"/>
            </w:tcBorders>
            <w:vAlign w:val="center"/>
            <w:hideMark/>
          </w:tcPr>
          <w:p w14:paraId="70940F9A" w14:textId="77777777" w:rsidR="00D7259D" w:rsidRPr="004E64A6" w:rsidRDefault="00D7259D" w:rsidP="00D7259D">
            <w:pPr>
              <w:jc w:val="center"/>
              <w:rPr>
                <w:rFonts w:ascii="Arial" w:hAnsi="Arial" w:cs="Arial"/>
                <w:b/>
                <w:bCs/>
                <w:color w:val="000000"/>
                <w:lang w:eastAsia="ko-KR"/>
              </w:rPr>
            </w:pPr>
            <w:r w:rsidRPr="004E64A6">
              <w:rPr>
                <w:rFonts w:ascii="Arial" w:hAnsi="Arial" w:cs="Arial"/>
                <w:b/>
                <w:bCs/>
                <w:color w:val="000000"/>
                <w:lang w:eastAsia="ko-KR"/>
              </w:rPr>
              <w:t>Weighted Score</w:t>
            </w:r>
          </w:p>
        </w:tc>
        <w:tc>
          <w:tcPr>
            <w:tcW w:w="1462" w:type="dxa"/>
            <w:tcBorders>
              <w:top w:val="nil"/>
              <w:left w:val="nil"/>
              <w:bottom w:val="single" w:sz="8" w:space="0" w:color="auto"/>
              <w:right w:val="single" w:sz="8" w:space="0" w:color="auto"/>
            </w:tcBorders>
            <w:vAlign w:val="center"/>
            <w:hideMark/>
          </w:tcPr>
          <w:p w14:paraId="7B277D07" w14:textId="3BFA7A0A" w:rsidR="00D7259D" w:rsidRPr="004E64A6" w:rsidRDefault="00C91EED" w:rsidP="00C91EED">
            <w:pPr>
              <w:jc w:val="center"/>
              <w:rPr>
                <w:rFonts w:ascii="Arial" w:hAnsi="Arial" w:cs="Arial"/>
                <w:color w:val="000000"/>
                <w:lang w:eastAsia="ko-KR"/>
              </w:rPr>
            </w:pPr>
            <w:r>
              <w:rPr>
                <w:rFonts w:ascii="Arial" w:hAnsi="Arial" w:cs="Arial"/>
                <w:color w:val="000000"/>
              </w:rPr>
              <w:t>0.</w:t>
            </w:r>
            <w:r w:rsidR="00C458F2">
              <w:rPr>
                <w:rFonts w:ascii="Arial" w:hAnsi="Arial" w:cs="Arial"/>
                <w:color w:val="000000"/>
              </w:rPr>
              <w:t>8</w:t>
            </w:r>
          </w:p>
        </w:tc>
        <w:tc>
          <w:tcPr>
            <w:tcW w:w="1560" w:type="dxa"/>
            <w:tcBorders>
              <w:top w:val="nil"/>
              <w:left w:val="nil"/>
              <w:bottom w:val="single" w:sz="8" w:space="0" w:color="auto"/>
              <w:right w:val="single" w:sz="8" w:space="0" w:color="auto"/>
            </w:tcBorders>
            <w:vAlign w:val="center"/>
            <w:hideMark/>
          </w:tcPr>
          <w:p w14:paraId="34F47FF0" w14:textId="28C4CC12" w:rsidR="00D7259D" w:rsidRPr="004E64A6" w:rsidRDefault="00C91EED" w:rsidP="00C91EED">
            <w:pPr>
              <w:jc w:val="center"/>
              <w:rPr>
                <w:rFonts w:ascii="Arial" w:hAnsi="Arial" w:cs="Arial"/>
                <w:color w:val="000000"/>
                <w:lang w:eastAsia="ko-KR"/>
              </w:rPr>
            </w:pPr>
            <w:r>
              <w:rPr>
                <w:rFonts w:ascii="Arial" w:hAnsi="Arial" w:cs="Arial"/>
                <w:color w:val="000000"/>
              </w:rPr>
              <w:t>0.</w:t>
            </w:r>
            <w:r w:rsidR="00C458F2">
              <w:rPr>
                <w:rFonts w:ascii="Arial" w:hAnsi="Arial" w:cs="Arial"/>
                <w:color w:val="000000"/>
              </w:rPr>
              <w:t>7</w:t>
            </w:r>
          </w:p>
        </w:tc>
        <w:tc>
          <w:tcPr>
            <w:tcW w:w="1701" w:type="dxa"/>
            <w:tcBorders>
              <w:top w:val="nil"/>
              <w:left w:val="nil"/>
              <w:bottom w:val="single" w:sz="8" w:space="0" w:color="auto"/>
              <w:right w:val="single" w:sz="8" w:space="0" w:color="auto"/>
            </w:tcBorders>
            <w:vAlign w:val="center"/>
            <w:hideMark/>
          </w:tcPr>
          <w:p w14:paraId="22DCE08C" w14:textId="3011D656" w:rsidR="00D7259D" w:rsidRPr="004E64A6" w:rsidRDefault="000A417B" w:rsidP="000A417B">
            <w:pPr>
              <w:jc w:val="center"/>
              <w:rPr>
                <w:rFonts w:ascii="Arial" w:hAnsi="Arial" w:cs="Arial"/>
                <w:color w:val="000000"/>
                <w:lang w:eastAsia="ko-KR"/>
              </w:rPr>
            </w:pPr>
            <w:r>
              <w:rPr>
                <w:rFonts w:ascii="Arial" w:hAnsi="Arial" w:cs="Arial"/>
                <w:color w:val="000000"/>
              </w:rPr>
              <w:t>0.</w:t>
            </w:r>
            <w:r w:rsidR="001040B0">
              <w:rPr>
                <w:rFonts w:ascii="Arial" w:hAnsi="Arial" w:cs="Arial"/>
                <w:color w:val="000000"/>
              </w:rPr>
              <w:t>5</w:t>
            </w:r>
          </w:p>
        </w:tc>
      </w:tr>
    </w:tbl>
    <w:p w14:paraId="32FC3B53" w14:textId="0CC3068B" w:rsidR="0046403D" w:rsidRDefault="0046403D" w:rsidP="0046403D">
      <w:pPr>
        <w:pStyle w:val="DJCSbody"/>
        <w:rPr>
          <w:u w:val="single"/>
        </w:rPr>
      </w:pPr>
      <w:r>
        <w:rPr>
          <w:u w:val="single"/>
        </w:rPr>
        <w:lastRenderedPageBreak/>
        <w:t>Base Case</w:t>
      </w:r>
    </w:p>
    <w:p w14:paraId="117CA477" w14:textId="3CC3070C" w:rsidR="0046403D" w:rsidRDefault="00343E49" w:rsidP="0046403D">
      <w:pPr>
        <w:pStyle w:val="DJCSbody"/>
      </w:pPr>
      <w:r>
        <w:t>Under the Base Case</w:t>
      </w:r>
      <w:r w:rsidR="002C18ED">
        <w:t xml:space="preserve"> there are no fees charged for VCAT. The score for the </w:t>
      </w:r>
      <w:r w:rsidR="00FD723D">
        <w:t>B</w:t>
      </w:r>
      <w:r w:rsidR="002C18ED">
        <w:t xml:space="preserve">ase </w:t>
      </w:r>
      <w:r w:rsidR="00FD723D">
        <w:t>C</w:t>
      </w:r>
      <w:r w:rsidR="002C18ED">
        <w:t>ase is 0 for comparison to the other options.</w:t>
      </w:r>
    </w:p>
    <w:p w14:paraId="485BEB3E" w14:textId="77777777" w:rsidR="00E77A7F" w:rsidRDefault="00E77A7F" w:rsidP="002C0C9F">
      <w:pPr>
        <w:pStyle w:val="DJCSbody"/>
        <w:rPr>
          <w:u w:val="single"/>
        </w:rPr>
      </w:pPr>
    </w:p>
    <w:p w14:paraId="79045A8A" w14:textId="667F9AA0" w:rsidR="002C0C9F" w:rsidRDefault="002C0C9F" w:rsidP="002C0C9F">
      <w:pPr>
        <w:pStyle w:val="DJCSbody"/>
        <w:rPr>
          <w:u w:val="single"/>
        </w:rPr>
      </w:pPr>
      <w:r>
        <w:rPr>
          <w:u w:val="single"/>
        </w:rPr>
        <w:t>Option 1: Continue with Current Fees and Structure</w:t>
      </w:r>
    </w:p>
    <w:p w14:paraId="1979FC44" w14:textId="249D16DA" w:rsidR="0046403D" w:rsidRPr="000C39A1" w:rsidRDefault="002C18ED" w:rsidP="0046403D">
      <w:pPr>
        <w:pStyle w:val="DJCSbody"/>
      </w:pPr>
      <w:r w:rsidRPr="00FA0CF5">
        <w:t xml:space="preserve">In Option 1, the corporate fee payer category recovers </w:t>
      </w:r>
      <w:r w:rsidR="00230AD7" w:rsidRPr="00703834">
        <w:t>43%</w:t>
      </w:r>
      <w:r w:rsidRPr="00FA0CF5">
        <w:t xml:space="preserve"> of the </w:t>
      </w:r>
      <w:r w:rsidR="00943FCF">
        <w:t>VCAT fee revenue</w:t>
      </w:r>
      <w:r w:rsidRPr="00FA0CF5">
        <w:t>.</w:t>
      </w:r>
      <w:r w:rsidR="0024344E">
        <w:t xml:space="preserve"> As this </w:t>
      </w:r>
      <w:r w:rsidR="00A91411">
        <w:t xml:space="preserve">is lower than Options 2 and 3 it means that under Option 1, concession and standard fees are charged closer </w:t>
      </w:r>
      <w:r w:rsidR="00272838">
        <w:t xml:space="preserve">to cost for VCAT services which is more efficient. Option 1 receives a score of </w:t>
      </w:r>
      <w:r w:rsidR="00A40CEE">
        <w:t>5</w:t>
      </w:r>
      <w:r w:rsidR="00272838">
        <w:t>.</w:t>
      </w:r>
    </w:p>
    <w:p w14:paraId="62B5B20F" w14:textId="77777777" w:rsidR="00E77A7F" w:rsidRDefault="00E77A7F" w:rsidP="002C0C9F">
      <w:pPr>
        <w:pStyle w:val="DJCSbody"/>
        <w:rPr>
          <w:u w:val="single"/>
        </w:rPr>
      </w:pPr>
    </w:p>
    <w:p w14:paraId="5F8E539E" w14:textId="4024E6C4" w:rsidR="002C0C9F" w:rsidRDefault="002C0C9F" w:rsidP="002C0C9F">
      <w:pPr>
        <w:pStyle w:val="DJCSbody"/>
        <w:rPr>
          <w:u w:val="single"/>
        </w:rPr>
      </w:pPr>
      <w:r>
        <w:rPr>
          <w:u w:val="single"/>
        </w:rPr>
        <w:t>Option 2: New Fee Structure</w:t>
      </w:r>
    </w:p>
    <w:p w14:paraId="6C31E4D4" w14:textId="7B0D074E" w:rsidR="0046403D" w:rsidRDefault="00272838" w:rsidP="003F69D0">
      <w:pPr>
        <w:pStyle w:val="DJCSbody"/>
      </w:pPr>
      <w:r>
        <w:t xml:space="preserve">Under Option 2, given the fee structure changes, corporate fee payers </w:t>
      </w:r>
      <w:r w:rsidR="00ED265F">
        <w:t>are charged a higher proportion of total VCAT fees</w:t>
      </w:r>
      <w:r w:rsidR="00F93C29">
        <w:t xml:space="preserve"> at </w:t>
      </w:r>
      <w:r w:rsidR="00DE25F7">
        <w:t>4</w:t>
      </w:r>
      <w:r w:rsidR="00281AC4">
        <w:t>5</w:t>
      </w:r>
      <w:r w:rsidR="00DE25F7">
        <w:t>%</w:t>
      </w:r>
      <w:r w:rsidR="00F93C29">
        <w:t>.</w:t>
      </w:r>
      <w:r w:rsidR="00ED265F">
        <w:t xml:space="preserve"> As a result</w:t>
      </w:r>
      <w:r w:rsidR="00F93C29">
        <w:t xml:space="preserve">, corporate fee payers </w:t>
      </w:r>
      <w:r w:rsidR="003F69D0">
        <w:t>pay a higher proportion of total fees compared t</w:t>
      </w:r>
      <w:r w:rsidR="007519A9">
        <w:t xml:space="preserve">o Option 1. This </w:t>
      </w:r>
      <w:r w:rsidR="007A12A5">
        <w:t xml:space="preserve">means </w:t>
      </w:r>
      <w:r w:rsidR="007519A9">
        <w:t xml:space="preserve">that concession and standard fee payers are paying </w:t>
      </w:r>
      <w:r w:rsidR="00E1206A">
        <w:t>a lower proportion of total cost under Option 2. As a result</w:t>
      </w:r>
      <w:r w:rsidR="00D4423B">
        <w:t>,</w:t>
      </w:r>
      <w:r w:rsidR="00E1206A">
        <w:t xml:space="preserve"> Option 2 scores </w:t>
      </w:r>
      <w:r w:rsidR="00A40CEE">
        <w:t>4.5</w:t>
      </w:r>
      <w:r w:rsidR="00CD6B24">
        <w:t xml:space="preserve"> as fee charges are less representative of the underlying costs.</w:t>
      </w:r>
    </w:p>
    <w:p w14:paraId="3A309B3A" w14:textId="77777777" w:rsidR="00E77A7F" w:rsidRDefault="00E77A7F" w:rsidP="003F69D0">
      <w:pPr>
        <w:pStyle w:val="DJCSbody"/>
      </w:pPr>
    </w:p>
    <w:p w14:paraId="16090544" w14:textId="77777777" w:rsidR="002C0C9F" w:rsidRPr="0046403D" w:rsidRDefault="002C0C9F" w:rsidP="002C0C9F">
      <w:pPr>
        <w:pStyle w:val="DJCSbody"/>
        <w:rPr>
          <w:u w:val="single"/>
        </w:rPr>
      </w:pPr>
      <w:r>
        <w:rPr>
          <w:u w:val="single"/>
        </w:rPr>
        <w:t>Option 3: New Fee Structure and Increased Cost Recovery</w:t>
      </w:r>
    </w:p>
    <w:p w14:paraId="0261DEC1" w14:textId="041DB5E6" w:rsidR="0046403D" w:rsidRPr="00F31218" w:rsidRDefault="00CD6B24" w:rsidP="0046403D">
      <w:pPr>
        <w:pStyle w:val="DJCSbody"/>
      </w:pPr>
      <w:r w:rsidRPr="00FA0CF5">
        <w:t xml:space="preserve">For Option 3, </w:t>
      </w:r>
      <w:r w:rsidR="00D4423B" w:rsidRPr="00FA0CF5">
        <w:t>like</w:t>
      </w:r>
      <w:r w:rsidR="00D603D1" w:rsidRPr="00FA0CF5">
        <w:t xml:space="preserve"> Option 2, the changes in fee structure result in corporate fee payers paying a greater proportion of fees. This proportion is increased </w:t>
      </w:r>
      <w:r w:rsidR="00C178B3">
        <w:t xml:space="preserve">to </w:t>
      </w:r>
      <w:r w:rsidR="00E67955">
        <w:t>50</w:t>
      </w:r>
      <w:r w:rsidR="00C178B3">
        <w:t>% of to</w:t>
      </w:r>
      <w:r w:rsidR="006E7E97">
        <w:t xml:space="preserve">tal fees being </w:t>
      </w:r>
      <w:r w:rsidR="007108EB" w:rsidRPr="00FA0CF5">
        <w:t>paid by corporate fee payers in Option 3. This is higher than Option 1 and 2</w:t>
      </w:r>
      <w:r w:rsidR="00900433">
        <w:t>,</w:t>
      </w:r>
      <w:r w:rsidR="007108EB" w:rsidRPr="00FA0CF5">
        <w:t xml:space="preserve"> and as such</w:t>
      </w:r>
      <w:r w:rsidR="00900433">
        <w:t>,</w:t>
      </w:r>
      <w:r w:rsidR="007108EB" w:rsidRPr="00FA0CF5">
        <w:t xml:space="preserve"> Option 3 receives a score of </w:t>
      </w:r>
      <w:r w:rsidR="00E67955">
        <w:t>3.5</w:t>
      </w:r>
      <w:r w:rsidR="00F31218" w:rsidRPr="00FA0CF5">
        <w:t>.</w:t>
      </w:r>
    </w:p>
    <w:p w14:paraId="4A142362" w14:textId="0D80E2E5" w:rsidR="008E264A" w:rsidRDefault="0046403D" w:rsidP="000655F8">
      <w:pPr>
        <w:pStyle w:val="Heading3"/>
        <w:ind w:firstLine="742"/>
      </w:pPr>
      <w:bookmarkStart w:id="114" w:name="_Toc216179720"/>
      <w:r w:rsidRPr="0046403D">
        <w:t xml:space="preserve">Criterion </w:t>
      </w:r>
      <w:r>
        <w:t>4</w:t>
      </w:r>
      <w:r w:rsidRPr="0046403D">
        <w:t xml:space="preserve"> – </w:t>
      </w:r>
      <w:r w:rsidR="006A5AE0">
        <w:t>Sim</w:t>
      </w:r>
      <w:r w:rsidR="008E264A">
        <w:t>plicity</w:t>
      </w:r>
      <w:bookmarkEnd w:id="114"/>
    </w:p>
    <w:p w14:paraId="304C6433" w14:textId="5F665514" w:rsidR="008E264A" w:rsidRPr="008E264A" w:rsidRDefault="008E264A" w:rsidP="0076176F">
      <w:pPr>
        <w:pStyle w:val="DJCStablecaption"/>
        <w:ind w:left="0" w:firstLine="720"/>
      </w:pPr>
      <w:r w:rsidRPr="00A91832">
        <w:t xml:space="preserve">Table </w:t>
      </w:r>
      <w:r w:rsidR="00D85FF6">
        <w:t>1</w:t>
      </w:r>
      <w:r w:rsidR="00B076F0">
        <w:t>9</w:t>
      </w:r>
      <w:r>
        <w:t xml:space="preserve"> Criterion </w:t>
      </w:r>
      <w:r w:rsidR="00CD4914">
        <w:t>4</w:t>
      </w:r>
      <w:r>
        <w:t xml:space="preserve"> – Simplicity</w:t>
      </w:r>
    </w:p>
    <w:tbl>
      <w:tblPr>
        <w:tblW w:w="8921" w:type="dxa"/>
        <w:jc w:val="center"/>
        <w:tblLook w:val="04A0" w:firstRow="1" w:lastRow="0" w:firstColumn="1" w:lastColumn="0" w:noHBand="0" w:noVBand="1"/>
      </w:tblPr>
      <w:tblGrid>
        <w:gridCol w:w="3191"/>
        <w:gridCol w:w="1183"/>
        <w:gridCol w:w="1428"/>
        <w:gridCol w:w="1559"/>
        <w:gridCol w:w="1560"/>
      </w:tblGrid>
      <w:tr w:rsidR="00CE441E" w:rsidRPr="00F840E8" w14:paraId="63A5BA40" w14:textId="77777777" w:rsidTr="0076176F">
        <w:trPr>
          <w:trHeight w:val="530"/>
          <w:jc w:val="center"/>
        </w:trPr>
        <w:tc>
          <w:tcPr>
            <w:tcW w:w="3191" w:type="dxa"/>
            <w:tcBorders>
              <w:top w:val="single" w:sz="8" w:space="0" w:color="auto"/>
              <w:left w:val="single" w:sz="8" w:space="0" w:color="auto"/>
              <w:bottom w:val="single" w:sz="8" w:space="0" w:color="auto"/>
              <w:right w:val="single" w:sz="8" w:space="0" w:color="auto"/>
            </w:tcBorders>
            <w:shd w:val="clear" w:color="000000" w:fill="16145F"/>
            <w:vAlign w:val="center"/>
            <w:hideMark/>
          </w:tcPr>
          <w:p w14:paraId="5B8FB784" w14:textId="77777777" w:rsidR="00F840E8" w:rsidRPr="00F840E8" w:rsidRDefault="00F840E8" w:rsidP="00F840E8">
            <w:pPr>
              <w:jc w:val="center"/>
              <w:rPr>
                <w:rFonts w:ascii="Arial" w:hAnsi="Arial" w:cs="Arial"/>
                <w:b/>
                <w:bCs/>
                <w:color w:val="FFFFFF"/>
                <w:lang w:eastAsia="ko-KR"/>
              </w:rPr>
            </w:pPr>
            <w:r w:rsidRPr="00F840E8">
              <w:rPr>
                <w:rFonts w:ascii="Arial" w:hAnsi="Arial" w:cs="Arial"/>
                <w:b/>
                <w:bCs/>
                <w:color w:val="FFFFFF"/>
                <w:lang w:eastAsia="ko-KR"/>
              </w:rPr>
              <w:t>Criterion 4 – Simplicity</w:t>
            </w:r>
          </w:p>
        </w:tc>
        <w:tc>
          <w:tcPr>
            <w:tcW w:w="1183" w:type="dxa"/>
            <w:tcBorders>
              <w:top w:val="single" w:sz="8" w:space="0" w:color="auto"/>
              <w:left w:val="nil"/>
              <w:bottom w:val="single" w:sz="8" w:space="0" w:color="auto"/>
              <w:right w:val="single" w:sz="8" w:space="0" w:color="auto"/>
            </w:tcBorders>
            <w:shd w:val="clear" w:color="000000" w:fill="16145F"/>
            <w:vAlign w:val="center"/>
            <w:hideMark/>
          </w:tcPr>
          <w:p w14:paraId="33801A52" w14:textId="77777777" w:rsidR="00F840E8" w:rsidRPr="00F840E8" w:rsidRDefault="00F840E8" w:rsidP="00F840E8">
            <w:pPr>
              <w:jc w:val="center"/>
              <w:rPr>
                <w:rFonts w:ascii="Arial" w:hAnsi="Arial" w:cs="Arial"/>
                <w:b/>
                <w:bCs/>
                <w:color w:val="FFFFFF"/>
                <w:lang w:eastAsia="ko-KR"/>
              </w:rPr>
            </w:pPr>
            <w:r w:rsidRPr="00F840E8">
              <w:rPr>
                <w:rFonts w:ascii="Arial" w:hAnsi="Arial" w:cs="Arial"/>
                <w:b/>
                <w:bCs/>
                <w:color w:val="FFFFFF"/>
                <w:lang w:eastAsia="ko-KR"/>
              </w:rPr>
              <w:t>Weighting</w:t>
            </w:r>
          </w:p>
        </w:tc>
        <w:tc>
          <w:tcPr>
            <w:tcW w:w="1428" w:type="dxa"/>
            <w:tcBorders>
              <w:top w:val="single" w:sz="8" w:space="0" w:color="auto"/>
              <w:left w:val="nil"/>
              <w:bottom w:val="single" w:sz="8" w:space="0" w:color="auto"/>
              <w:right w:val="single" w:sz="8" w:space="0" w:color="auto"/>
            </w:tcBorders>
            <w:shd w:val="clear" w:color="000000" w:fill="16145F"/>
            <w:vAlign w:val="center"/>
            <w:hideMark/>
          </w:tcPr>
          <w:p w14:paraId="547E8DAF" w14:textId="77777777" w:rsidR="00F840E8" w:rsidRPr="00F840E8" w:rsidRDefault="00F840E8" w:rsidP="00F840E8">
            <w:pPr>
              <w:jc w:val="center"/>
              <w:rPr>
                <w:rFonts w:ascii="Arial" w:hAnsi="Arial" w:cs="Arial"/>
                <w:b/>
                <w:bCs/>
                <w:color w:val="FFFFFF"/>
                <w:lang w:eastAsia="ko-KR"/>
              </w:rPr>
            </w:pPr>
            <w:r w:rsidRPr="00F840E8">
              <w:rPr>
                <w:rFonts w:ascii="Arial" w:hAnsi="Arial" w:cs="Arial"/>
                <w:b/>
                <w:bCs/>
                <w:color w:val="FFFFFF"/>
                <w:lang w:eastAsia="ko-KR"/>
              </w:rPr>
              <w:t>Option 1</w:t>
            </w:r>
          </w:p>
        </w:tc>
        <w:tc>
          <w:tcPr>
            <w:tcW w:w="1559" w:type="dxa"/>
            <w:tcBorders>
              <w:top w:val="single" w:sz="8" w:space="0" w:color="auto"/>
              <w:left w:val="nil"/>
              <w:bottom w:val="single" w:sz="8" w:space="0" w:color="auto"/>
              <w:right w:val="single" w:sz="8" w:space="0" w:color="auto"/>
            </w:tcBorders>
            <w:shd w:val="clear" w:color="000000" w:fill="16145F"/>
            <w:vAlign w:val="center"/>
            <w:hideMark/>
          </w:tcPr>
          <w:p w14:paraId="160E60DF" w14:textId="77777777" w:rsidR="00F840E8" w:rsidRPr="00F840E8" w:rsidRDefault="00F840E8" w:rsidP="00F840E8">
            <w:pPr>
              <w:jc w:val="center"/>
              <w:rPr>
                <w:rFonts w:ascii="Arial" w:hAnsi="Arial" w:cs="Arial"/>
                <w:b/>
                <w:bCs/>
                <w:color w:val="FFFFFF"/>
                <w:lang w:eastAsia="ko-KR"/>
              </w:rPr>
            </w:pPr>
            <w:r w:rsidRPr="00F840E8">
              <w:rPr>
                <w:rFonts w:ascii="Arial" w:hAnsi="Arial" w:cs="Arial"/>
                <w:b/>
                <w:bCs/>
                <w:color w:val="FFFFFF"/>
                <w:lang w:eastAsia="ko-KR"/>
              </w:rPr>
              <w:t>Option 2</w:t>
            </w:r>
          </w:p>
        </w:tc>
        <w:tc>
          <w:tcPr>
            <w:tcW w:w="1560" w:type="dxa"/>
            <w:tcBorders>
              <w:top w:val="single" w:sz="8" w:space="0" w:color="auto"/>
              <w:left w:val="nil"/>
              <w:bottom w:val="single" w:sz="8" w:space="0" w:color="auto"/>
              <w:right w:val="single" w:sz="8" w:space="0" w:color="auto"/>
            </w:tcBorders>
            <w:shd w:val="clear" w:color="000000" w:fill="16145F"/>
            <w:vAlign w:val="center"/>
            <w:hideMark/>
          </w:tcPr>
          <w:p w14:paraId="40A70CE0" w14:textId="77777777" w:rsidR="00F840E8" w:rsidRPr="00F840E8" w:rsidRDefault="00F840E8" w:rsidP="00F840E8">
            <w:pPr>
              <w:jc w:val="center"/>
              <w:rPr>
                <w:rFonts w:ascii="Arial" w:hAnsi="Arial" w:cs="Arial"/>
                <w:b/>
                <w:bCs/>
                <w:color w:val="FFFFFF"/>
                <w:lang w:eastAsia="ko-KR"/>
              </w:rPr>
            </w:pPr>
            <w:r w:rsidRPr="00F840E8">
              <w:rPr>
                <w:rFonts w:ascii="Arial" w:hAnsi="Arial" w:cs="Arial"/>
                <w:b/>
                <w:bCs/>
                <w:color w:val="FFFFFF"/>
                <w:lang w:eastAsia="ko-KR"/>
              </w:rPr>
              <w:t>Option 3</w:t>
            </w:r>
          </w:p>
        </w:tc>
      </w:tr>
      <w:tr w:rsidR="00CE441E" w:rsidRPr="00F840E8" w14:paraId="521A14DB" w14:textId="77777777" w:rsidTr="0076176F">
        <w:trPr>
          <w:trHeight w:val="300"/>
          <w:jc w:val="center"/>
        </w:trPr>
        <w:tc>
          <w:tcPr>
            <w:tcW w:w="3191" w:type="dxa"/>
            <w:tcBorders>
              <w:top w:val="nil"/>
              <w:left w:val="single" w:sz="8" w:space="0" w:color="auto"/>
              <w:bottom w:val="single" w:sz="8" w:space="0" w:color="auto"/>
              <w:right w:val="single" w:sz="8" w:space="0" w:color="auto"/>
            </w:tcBorders>
            <w:vAlign w:val="center"/>
            <w:hideMark/>
          </w:tcPr>
          <w:p w14:paraId="67E71106" w14:textId="5C0F26E2" w:rsidR="00F840E8" w:rsidRPr="00F840E8" w:rsidRDefault="00E77A7F" w:rsidP="00F840E8">
            <w:pPr>
              <w:jc w:val="center"/>
              <w:rPr>
                <w:rFonts w:ascii="Arial" w:hAnsi="Arial" w:cs="Arial"/>
                <w:color w:val="000000"/>
                <w:lang w:eastAsia="ko-KR"/>
              </w:rPr>
            </w:pPr>
            <w:r w:rsidRPr="00E77A7F">
              <w:rPr>
                <w:rFonts w:ascii="Arial" w:hAnsi="Arial" w:cs="Arial"/>
                <w:color w:val="000000"/>
                <w:lang w:eastAsia="ko-KR"/>
              </w:rPr>
              <w:t>Fee structures should be simple to administer for VCAT and easy to navigate for VCAT users.</w:t>
            </w:r>
          </w:p>
        </w:tc>
        <w:tc>
          <w:tcPr>
            <w:tcW w:w="1183" w:type="dxa"/>
            <w:tcBorders>
              <w:top w:val="nil"/>
              <w:left w:val="nil"/>
              <w:bottom w:val="single" w:sz="8" w:space="0" w:color="auto"/>
              <w:right w:val="single" w:sz="8" w:space="0" w:color="auto"/>
            </w:tcBorders>
            <w:vAlign w:val="center"/>
            <w:hideMark/>
          </w:tcPr>
          <w:p w14:paraId="268502F9" w14:textId="77777777" w:rsidR="00F840E8" w:rsidRPr="00F840E8" w:rsidRDefault="00F840E8" w:rsidP="00F840E8">
            <w:pPr>
              <w:jc w:val="center"/>
              <w:rPr>
                <w:rFonts w:ascii="Arial" w:hAnsi="Arial" w:cs="Arial"/>
                <w:color w:val="000000"/>
                <w:lang w:eastAsia="ko-KR"/>
              </w:rPr>
            </w:pPr>
            <w:r w:rsidRPr="00F840E8">
              <w:rPr>
                <w:rFonts w:ascii="Arial" w:hAnsi="Arial" w:cs="Arial"/>
                <w:color w:val="000000"/>
                <w:lang w:eastAsia="ko-KR"/>
              </w:rPr>
              <w:t>15%</w:t>
            </w:r>
          </w:p>
        </w:tc>
        <w:tc>
          <w:tcPr>
            <w:tcW w:w="1428" w:type="dxa"/>
            <w:tcBorders>
              <w:top w:val="nil"/>
              <w:left w:val="nil"/>
              <w:bottom w:val="single" w:sz="8" w:space="0" w:color="auto"/>
              <w:right w:val="single" w:sz="8" w:space="0" w:color="auto"/>
            </w:tcBorders>
            <w:noWrap/>
            <w:vAlign w:val="center"/>
            <w:hideMark/>
          </w:tcPr>
          <w:p w14:paraId="57CFE498" w14:textId="77777777" w:rsidR="00F840E8" w:rsidRPr="00F840E8" w:rsidRDefault="00F840E8" w:rsidP="00CE441E">
            <w:pPr>
              <w:jc w:val="center"/>
              <w:rPr>
                <w:rFonts w:ascii="Aptos Narrow" w:hAnsi="Aptos Narrow"/>
                <w:color w:val="000000"/>
                <w:sz w:val="22"/>
                <w:szCs w:val="22"/>
                <w:lang w:eastAsia="ko-KR"/>
              </w:rPr>
            </w:pPr>
            <w:r w:rsidRPr="00F840E8">
              <w:rPr>
                <w:rFonts w:ascii="Aptos Narrow" w:hAnsi="Aptos Narrow"/>
                <w:color w:val="000000"/>
                <w:sz w:val="22"/>
                <w:szCs w:val="22"/>
                <w:lang w:eastAsia="ko-KR"/>
              </w:rPr>
              <w:t>-4</w:t>
            </w:r>
          </w:p>
        </w:tc>
        <w:tc>
          <w:tcPr>
            <w:tcW w:w="1559" w:type="dxa"/>
            <w:tcBorders>
              <w:top w:val="nil"/>
              <w:left w:val="nil"/>
              <w:bottom w:val="single" w:sz="8" w:space="0" w:color="auto"/>
              <w:right w:val="single" w:sz="8" w:space="0" w:color="auto"/>
            </w:tcBorders>
            <w:noWrap/>
            <w:vAlign w:val="center"/>
            <w:hideMark/>
          </w:tcPr>
          <w:p w14:paraId="5D8188C3" w14:textId="77777777" w:rsidR="00F840E8" w:rsidRPr="00F840E8" w:rsidRDefault="00F840E8" w:rsidP="00CE441E">
            <w:pPr>
              <w:jc w:val="center"/>
              <w:rPr>
                <w:rFonts w:ascii="Aptos Narrow" w:hAnsi="Aptos Narrow"/>
                <w:color w:val="000000"/>
                <w:sz w:val="22"/>
                <w:szCs w:val="22"/>
                <w:lang w:eastAsia="ko-KR"/>
              </w:rPr>
            </w:pPr>
            <w:r w:rsidRPr="00F840E8">
              <w:rPr>
                <w:rFonts w:ascii="Aptos Narrow" w:hAnsi="Aptos Narrow"/>
                <w:color w:val="000000"/>
                <w:sz w:val="22"/>
                <w:szCs w:val="22"/>
                <w:lang w:eastAsia="ko-KR"/>
              </w:rPr>
              <w:t>-6</w:t>
            </w:r>
          </w:p>
        </w:tc>
        <w:tc>
          <w:tcPr>
            <w:tcW w:w="1560" w:type="dxa"/>
            <w:tcBorders>
              <w:top w:val="nil"/>
              <w:left w:val="nil"/>
              <w:bottom w:val="single" w:sz="8" w:space="0" w:color="auto"/>
              <w:right w:val="single" w:sz="8" w:space="0" w:color="auto"/>
            </w:tcBorders>
            <w:noWrap/>
            <w:vAlign w:val="center"/>
            <w:hideMark/>
          </w:tcPr>
          <w:p w14:paraId="4D68901C" w14:textId="77777777" w:rsidR="00F840E8" w:rsidRPr="00F840E8" w:rsidRDefault="00F840E8" w:rsidP="00CE441E">
            <w:pPr>
              <w:jc w:val="center"/>
              <w:rPr>
                <w:rFonts w:ascii="Aptos Narrow" w:hAnsi="Aptos Narrow"/>
                <w:color w:val="000000"/>
                <w:sz w:val="22"/>
                <w:szCs w:val="22"/>
                <w:lang w:eastAsia="ko-KR"/>
              </w:rPr>
            </w:pPr>
            <w:r w:rsidRPr="00F840E8">
              <w:rPr>
                <w:rFonts w:ascii="Aptos Narrow" w:hAnsi="Aptos Narrow"/>
                <w:color w:val="000000"/>
                <w:sz w:val="22"/>
                <w:szCs w:val="22"/>
                <w:lang w:eastAsia="ko-KR"/>
              </w:rPr>
              <w:t>-6</w:t>
            </w:r>
          </w:p>
        </w:tc>
      </w:tr>
      <w:tr w:rsidR="00F840E8" w:rsidRPr="00F840E8" w14:paraId="044BEF4A" w14:textId="77777777" w:rsidTr="0076176F">
        <w:trPr>
          <w:trHeight w:val="300"/>
          <w:jc w:val="center"/>
        </w:trPr>
        <w:tc>
          <w:tcPr>
            <w:tcW w:w="4374" w:type="dxa"/>
            <w:gridSpan w:val="2"/>
            <w:tcBorders>
              <w:top w:val="single" w:sz="8" w:space="0" w:color="auto"/>
              <w:left w:val="single" w:sz="8" w:space="0" w:color="auto"/>
              <w:bottom w:val="single" w:sz="8" w:space="0" w:color="auto"/>
              <w:right w:val="single" w:sz="8" w:space="0" w:color="000000"/>
            </w:tcBorders>
            <w:vAlign w:val="center"/>
            <w:hideMark/>
          </w:tcPr>
          <w:p w14:paraId="5FEBA238" w14:textId="77777777" w:rsidR="00F840E8" w:rsidRPr="00F840E8" w:rsidRDefault="00F840E8" w:rsidP="00F840E8">
            <w:pPr>
              <w:jc w:val="center"/>
              <w:rPr>
                <w:rFonts w:ascii="Arial" w:hAnsi="Arial" w:cs="Arial"/>
                <w:b/>
                <w:bCs/>
                <w:color w:val="000000"/>
                <w:lang w:eastAsia="ko-KR"/>
              </w:rPr>
            </w:pPr>
            <w:r w:rsidRPr="00F840E8">
              <w:rPr>
                <w:rFonts w:ascii="Arial" w:hAnsi="Arial" w:cs="Arial"/>
                <w:b/>
                <w:bCs/>
                <w:color w:val="000000"/>
                <w:lang w:eastAsia="ko-KR"/>
              </w:rPr>
              <w:t>Weighted Score</w:t>
            </w:r>
          </w:p>
        </w:tc>
        <w:tc>
          <w:tcPr>
            <w:tcW w:w="1428" w:type="dxa"/>
            <w:tcBorders>
              <w:top w:val="nil"/>
              <w:left w:val="nil"/>
              <w:bottom w:val="single" w:sz="8" w:space="0" w:color="auto"/>
              <w:right w:val="single" w:sz="8" w:space="0" w:color="auto"/>
            </w:tcBorders>
            <w:vAlign w:val="center"/>
            <w:hideMark/>
          </w:tcPr>
          <w:p w14:paraId="6DBB2AFD" w14:textId="77777777" w:rsidR="00F840E8" w:rsidRPr="00F840E8" w:rsidRDefault="00F840E8" w:rsidP="00F840E8">
            <w:pPr>
              <w:jc w:val="center"/>
              <w:rPr>
                <w:rFonts w:ascii="Arial" w:hAnsi="Arial" w:cs="Arial"/>
                <w:color w:val="000000"/>
                <w:lang w:eastAsia="ko-KR"/>
              </w:rPr>
            </w:pPr>
            <w:r w:rsidRPr="00F840E8">
              <w:rPr>
                <w:rFonts w:ascii="Arial" w:hAnsi="Arial" w:cs="Arial"/>
                <w:color w:val="000000"/>
                <w:lang w:eastAsia="ko-KR"/>
              </w:rPr>
              <w:t>-0.6</w:t>
            </w:r>
          </w:p>
        </w:tc>
        <w:tc>
          <w:tcPr>
            <w:tcW w:w="1559" w:type="dxa"/>
            <w:tcBorders>
              <w:top w:val="nil"/>
              <w:left w:val="nil"/>
              <w:bottom w:val="single" w:sz="8" w:space="0" w:color="auto"/>
              <w:right w:val="single" w:sz="8" w:space="0" w:color="auto"/>
            </w:tcBorders>
            <w:vAlign w:val="center"/>
            <w:hideMark/>
          </w:tcPr>
          <w:p w14:paraId="406D1449" w14:textId="77777777" w:rsidR="00F840E8" w:rsidRPr="00F840E8" w:rsidRDefault="00F840E8" w:rsidP="00F840E8">
            <w:pPr>
              <w:jc w:val="center"/>
              <w:rPr>
                <w:rFonts w:ascii="Arial" w:hAnsi="Arial" w:cs="Arial"/>
                <w:color w:val="000000"/>
                <w:lang w:eastAsia="ko-KR"/>
              </w:rPr>
            </w:pPr>
            <w:r w:rsidRPr="00F840E8">
              <w:rPr>
                <w:rFonts w:ascii="Arial" w:hAnsi="Arial" w:cs="Arial"/>
                <w:color w:val="000000"/>
                <w:lang w:eastAsia="ko-KR"/>
              </w:rPr>
              <w:t>-0.9</w:t>
            </w:r>
          </w:p>
        </w:tc>
        <w:tc>
          <w:tcPr>
            <w:tcW w:w="1560" w:type="dxa"/>
            <w:tcBorders>
              <w:top w:val="nil"/>
              <w:left w:val="nil"/>
              <w:bottom w:val="single" w:sz="8" w:space="0" w:color="auto"/>
              <w:right w:val="single" w:sz="8" w:space="0" w:color="auto"/>
            </w:tcBorders>
            <w:vAlign w:val="center"/>
            <w:hideMark/>
          </w:tcPr>
          <w:p w14:paraId="33B00F69" w14:textId="77777777" w:rsidR="00F840E8" w:rsidRPr="00F840E8" w:rsidRDefault="00F840E8" w:rsidP="00F840E8">
            <w:pPr>
              <w:jc w:val="center"/>
              <w:rPr>
                <w:rFonts w:ascii="Arial" w:hAnsi="Arial" w:cs="Arial"/>
                <w:color w:val="000000"/>
                <w:lang w:eastAsia="ko-KR"/>
              </w:rPr>
            </w:pPr>
            <w:r w:rsidRPr="00F840E8">
              <w:rPr>
                <w:rFonts w:ascii="Arial" w:hAnsi="Arial" w:cs="Arial"/>
                <w:color w:val="000000"/>
                <w:lang w:eastAsia="ko-KR"/>
              </w:rPr>
              <w:t>-0.9</w:t>
            </w:r>
          </w:p>
        </w:tc>
      </w:tr>
    </w:tbl>
    <w:p w14:paraId="5FA91491" w14:textId="77777777" w:rsidR="00CE441E" w:rsidRDefault="00CE441E" w:rsidP="0046403D">
      <w:pPr>
        <w:pStyle w:val="DJCSbody"/>
        <w:rPr>
          <w:u w:val="single"/>
        </w:rPr>
      </w:pPr>
    </w:p>
    <w:p w14:paraId="0C845611" w14:textId="78BF583D" w:rsidR="0046403D" w:rsidRDefault="0046403D" w:rsidP="0046403D">
      <w:pPr>
        <w:pStyle w:val="DJCSbody"/>
        <w:rPr>
          <w:u w:val="single"/>
        </w:rPr>
      </w:pPr>
      <w:r>
        <w:rPr>
          <w:u w:val="single"/>
        </w:rPr>
        <w:t>Base Case</w:t>
      </w:r>
    </w:p>
    <w:p w14:paraId="4BE69255" w14:textId="48364515" w:rsidR="0046403D" w:rsidRDefault="00CE441E" w:rsidP="0046403D">
      <w:pPr>
        <w:pStyle w:val="DJCSbody"/>
      </w:pPr>
      <w:r>
        <w:t xml:space="preserve">Similar to the other </w:t>
      </w:r>
      <w:r w:rsidR="00B1718E">
        <w:t>c</w:t>
      </w:r>
      <w:r>
        <w:t xml:space="preserve">riterion, </w:t>
      </w:r>
      <w:r w:rsidR="00AA2E7B">
        <w:t xml:space="preserve">as the Base Case has no regulations or fees it scores 0. This </w:t>
      </w:r>
      <w:r w:rsidR="00B1718E">
        <w:t xml:space="preserve">serves </w:t>
      </w:r>
      <w:r w:rsidR="00AA2E7B">
        <w:t>as the point of comparison for the other options.</w:t>
      </w:r>
    </w:p>
    <w:p w14:paraId="1DA904C5" w14:textId="77777777" w:rsidR="00E77A7F" w:rsidRDefault="00E77A7F" w:rsidP="002C0C9F">
      <w:pPr>
        <w:pStyle w:val="DJCSbody"/>
        <w:rPr>
          <w:u w:val="single"/>
        </w:rPr>
      </w:pPr>
    </w:p>
    <w:p w14:paraId="5079E9D1" w14:textId="79967F92" w:rsidR="002C0C9F" w:rsidRDefault="002C0C9F" w:rsidP="002C0C9F">
      <w:pPr>
        <w:pStyle w:val="DJCSbody"/>
        <w:rPr>
          <w:u w:val="single"/>
        </w:rPr>
      </w:pPr>
      <w:r>
        <w:rPr>
          <w:u w:val="single"/>
        </w:rPr>
        <w:t>Option 1: Continue with Current Fees and Structure</w:t>
      </w:r>
    </w:p>
    <w:p w14:paraId="7F14A9D0" w14:textId="655F4210" w:rsidR="0046403D" w:rsidRDefault="00924611" w:rsidP="0046403D">
      <w:pPr>
        <w:pStyle w:val="DJCSbody"/>
      </w:pPr>
      <w:r>
        <w:t xml:space="preserve">Compared with the Base Case </w:t>
      </w:r>
      <w:r w:rsidR="0004180C">
        <w:t>where no fees are charged</w:t>
      </w:r>
      <w:r>
        <w:t xml:space="preserve">, introducing fee regulations </w:t>
      </w:r>
      <w:r w:rsidR="009827E4">
        <w:t xml:space="preserve">introduces an administrative burden for both VCAT and </w:t>
      </w:r>
      <w:r w:rsidR="0004180C">
        <w:t>VCAT users</w:t>
      </w:r>
      <w:r w:rsidR="00760783">
        <w:t xml:space="preserve">. As the current </w:t>
      </w:r>
      <w:r w:rsidR="007B3D9B">
        <w:t>R</w:t>
      </w:r>
      <w:r w:rsidR="00760783">
        <w:t>egulations are moderately complex, Option 1 scored a -4 for this criterion.</w:t>
      </w:r>
      <w:r w:rsidR="00305FD4">
        <w:t xml:space="preserve"> This </w:t>
      </w:r>
      <w:r w:rsidR="0004180C">
        <w:t xml:space="preserve">reflects </w:t>
      </w:r>
      <w:r w:rsidR="00305FD4">
        <w:t>that administration costs are higher than the base case.</w:t>
      </w:r>
    </w:p>
    <w:p w14:paraId="7A116AE9" w14:textId="77777777" w:rsidR="00E77A7F" w:rsidRDefault="00E77A7F" w:rsidP="002C0C9F">
      <w:pPr>
        <w:pStyle w:val="DJCSbody"/>
        <w:rPr>
          <w:u w:val="single"/>
        </w:rPr>
      </w:pPr>
    </w:p>
    <w:p w14:paraId="43715D85" w14:textId="77777777" w:rsidR="00032E37" w:rsidRDefault="00032E37" w:rsidP="002C0C9F">
      <w:pPr>
        <w:pStyle w:val="DJCSbody"/>
        <w:rPr>
          <w:u w:val="single"/>
        </w:rPr>
      </w:pPr>
    </w:p>
    <w:p w14:paraId="397561EC" w14:textId="19AF6DBB" w:rsidR="002C0C9F" w:rsidRDefault="002C0C9F" w:rsidP="002C0C9F">
      <w:pPr>
        <w:pStyle w:val="DJCSbody"/>
        <w:rPr>
          <w:u w:val="single"/>
        </w:rPr>
      </w:pPr>
      <w:r>
        <w:rPr>
          <w:u w:val="single"/>
        </w:rPr>
        <w:lastRenderedPageBreak/>
        <w:t>Option 2: New Fee Structure</w:t>
      </w:r>
    </w:p>
    <w:p w14:paraId="29D746E2" w14:textId="472C9287" w:rsidR="0046403D" w:rsidRPr="00FA0CF5" w:rsidRDefault="00EA17CB" w:rsidP="0046403D">
      <w:pPr>
        <w:pStyle w:val="DJCSbody"/>
      </w:pPr>
      <w:r w:rsidRPr="00FA0CF5">
        <w:t>A number of changes to the fee structure have been made in Options 2 and 3</w:t>
      </w:r>
      <w:r w:rsidR="0004180C">
        <w:t>,</w:t>
      </w:r>
      <w:r w:rsidRPr="00FA0CF5">
        <w:t xml:space="preserve"> which makes the fee structure relatively more complex. These include:</w:t>
      </w:r>
    </w:p>
    <w:p w14:paraId="7F573835" w14:textId="5D41A6BA" w:rsidR="00EA17CB" w:rsidRDefault="00EA17CB" w:rsidP="003C4FE7">
      <w:pPr>
        <w:pStyle w:val="DJCSbody"/>
        <w:numPr>
          <w:ilvl w:val="0"/>
          <w:numId w:val="30"/>
        </w:numPr>
      </w:pPr>
      <w:r>
        <w:t xml:space="preserve">Introducing a new fee </w:t>
      </w:r>
      <w:r w:rsidR="007E3934">
        <w:t>for compulsory conferences</w:t>
      </w:r>
      <w:r w:rsidR="00E01534">
        <w:t xml:space="preserve">, </w:t>
      </w:r>
      <w:r w:rsidR="00C50707">
        <w:t>mediations</w:t>
      </w:r>
      <w:r w:rsidR="00E01534">
        <w:t xml:space="preserve">, </w:t>
      </w:r>
      <w:r w:rsidR="00C13CD3">
        <w:t>directions hearings, practice day hearings and non-urgent injunctions</w:t>
      </w:r>
      <w:r w:rsidR="007E3934">
        <w:t xml:space="preserve"> which means additional fee</w:t>
      </w:r>
      <w:r w:rsidR="00C50707">
        <w:t>s</w:t>
      </w:r>
      <w:r w:rsidR="007E3934">
        <w:t xml:space="preserve"> to understand for the user and collect for VCAT.</w:t>
      </w:r>
    </w:p>
    <w:p w14:paraId="44143063" w14:textId="66D5781E" w:rsidR="007E3934" w:rsidRDefault="007E3934" w:rsidP="003C4FE7">
      <w:pPr>
        <w:pStyle w:val="DJCSbody"/>
        <w:numPr>
          <w:ilvl w:val="0"/>
          <w:numId w:val="30"/>
        </w:numPr>
      </w:pPr>
      <w:r>
        <w:t xml:space="preserve">An additional waiver has been added for appeals from the </w:t>
      </w:r>
      <w:r w:rsidR="007B3D9B">
        <w:t>FAS</w:t>
      </w:r>
      <w:r>
        <w:t xml:space="preserve"> which means that waivers are relatively more complex.</w:t>
      </w:r>
    </w:p>
    <w:p w14:paraId="42E55C11" w14:textId="666C4084" w:rsidR="007659CF" w:rsidRDefault="004F0D7C" w:rsidP="003C4FE7">
      <w:pPr>
        <w:pStyle w:val="DJCSbody"/>
        <w:numPr>
          <w:ilvl w:val="0"/>
          <w:numId w:val="30"/>
        </w:numPr>
      </w:pPr>
      <w:r>
        <w:t>Expanding the</w:t>
      </w:r>
      <w:r w:rsidR="007659CF">
        <w:t xml:space="preserve"> eligibility for the concession fee payer tier means </w:t>
      </w:r>
      <w:r w:rsidR="00871CA7">
        <w:t>that</w:t>
      </w:r>
      <w:r w:rsidR="007659CF">
        <w:t xml:space="preserve"> the administration around </w:t>
      </w:r>
      <w:r w:rsidR="00871CA7">
        <w:t>Option</w:t>
      </w:r>
      <w:r w:rsidR="007659CF">
        <w:t xml:space="preserve"> </w:t>
      </w:r>
      <w:r w:rsidR="00871CA7">
        <w:t xml:space="preserve">2 </w:t>
      </w:r>
      <w:r w:rsidR="007659CF">
        <w:t>is relatively</w:t>
      </w:r>
      <w:r w:rsidR="003E3EBF">
        <w:t xml:space="preserve"> more complex. More concession cards will need to be evidenced and noted in the system which requires additional administrative time for VCAT.</w:t>
      </w:r>
    </w:p>
    <w:p w14:paraId="725222DB" w14:textId="63595302" w:rsidR="00E77A7F" w:rsidRDefault="008622B7" w:rsidP="002C0C9F">
      <w:pPr>
        <w:pStyle w:val="DJCSbody"/>
      </w:pPr>
      <w:r w:rsidRPr="00FA0CF5">
        <w:t>Offsetting these changes</w:t>
      </w:r>
      <w:r w:rsidR="00B53CDA" w:rsidRPr="00FA0CF5">
        <w:t xml:space="preserve">, administration fees have been reorganised </w:t>
      </w:r>
      <w:r w:rsidR="00E84A6F" w:rsidRPr="00FA0CF5">
        <w:t xml:space="preserve">into the fee schedule to make the regulations easier to understand. The fee for transferring cases from the Magistrates’ Court has also been </w:t>
      </w:r>
      <w:r w:rsidR="00C13CD3">
        <w:t>removed</w:t>
      </w:r>
      <w:r w:rsidR="00E84A6F" w:rsidRPr="00FA0CF5">
        <w:t>.</w:t>
      </w:r>
    </w:p>
    <w:p w14:paraId="13DD0AB3" w14:textId="290624FE" w:rsidR="00E84A6F" w:rsidRPr="00FA0CF5" w:rsidRDefault="00E84A6F" w:rsidP="002C0C9F">
      <w:pPr>
        <w:pStyle w:val="DJCSbody"/>
      </w:pPr>
      <w:r>
        <w:t>Overall</w:t>
      </w:r>
      <w:r w:rsidR="00323D15">
        <w:t>,</w:t>
      </w:r>
      <w:r>
        <w:t xml:space="preserve"> it is judge</w:t>
      </w:r>
      <w:r w:rsidR="00323D15">
        <w:t>d</w:t>
      </w:r>
      <w:r>
        <w:t xml:space="preserve"> that there is a small increase in administrative burden compared to Option 1</w:t>
      </w:r>
      <w:r w:rsidR="008104BA">
        <w:t>,</w:t>
      </w:r>
      <w:r>
        <w:t xml:space="preserve"> with a score of -6 for this criterion.</w:t>
      </w:r>
    </w:p>
    <w:p w14:paraId="775C8099" w14:textId="77777777" w:rsidR="00805826" w:rsidRPr="00FA0CF5" w:rsidRDefault="00805826" w:rsidP="002C0C9F">
      <w:pPr>
        <w:pStyle w:val="DJCSbody"/>
      </w:pPr>
    </w:p>
    <w:p w14:paraId="73AC6F40" w14:textId="21EBE8E3" w:rsidR="002C0C9F" w:rsidRPr="0046403D" w:rsidRDefault="002C0C9F" w:rsidP="002C0C9F">
      <w:pPr>
        <w:pStyle w:val="DJCSbody"/>
        <w:rPr>
          <w:u w:val="single"/>
        </w:rPr>
      </w:pPr>
      <w:r>
        <w:rPr>
          <w:u w:val="single"/>
        </w:rPr>
        <w:t>Option 3: New Fee Structure and Increased Cost Recovery</w:t>
      </w:r>
    </w:p>
    <w:p w14:paraId="698F282F" w14:textId="3C6861D6" w:rsidR="0046403D" w:rsidRPr="00FF7E4A" w:rsidRDefault="00305FD4" w:rsidP="0046403D">
      <w:pPr>
        <w:pStyle w:val="DJCSbody"/>
      </w:pPr>
      <w:r w:rsidRPr="00FA0CF5">
        <w:t>Option 3 has the same fee structure as Option 2 and</w:t>
      </w:r>
      <w:r w:rsidR="00FF7E4A" w:rsidRPr="00FA0CF5">
        <w:t xml:space="preserve"> as a result scores </w:t>
      </w:r>
      <w:r w:rsidR="00AB062E">
        <w:t>-6 for this criterion.</w:t>
      </w:r>
    </w:p>
    <w:p w14:paraId="3D863407" w14:textId="77777777" w:rsidR="00826042" w:rsidRDefault="00826042" w:rsidP="0046403D">
      <w:pPr>
        <w:pStyle w:val="DJCSbody"/>
        <w:sectPr w:rsidR="00826042" w:rsidSect="00C5670C">
          <w:pgSz w:w="11906" w:h="16838" w:code="9"/>
          <w:pgMar w:top="1871" w:right="707" w:bottom="1588" w:left="851" w:header="283" w:footer="680" w:gutter="0"/>
          <w:cols w:space="720"/>
          <w:docGrid w:linePitch="360"/>
        </w:sectPr>
      </w:pPr>
    </w:p>
    <w:p w14:paraId="408FEFF0" w14:textId="55EA42EB" w:rsidR="0046403D" w:rsidRDefault="0046403D" w:rsidP="0046403D">
      <w:pPr>
        <w:pStyle w:val="Heading1"/>
      </w:pPr>
      <w:bookmarkStart w:id="115" w:name="_Toc216179721"/>
      <w:r>
        <w:lastRenderedPageBreak/>
        <w:t>Preferred Option</w:t>
      </w:r>
      <w:bookmarkEnd w:id="115"/>
    </w:p>
    <w:p w14:paraId="21A234C3" w14:textId="03579D40" w:rsidR="0046403D" w:rsidRDefault="00E12408" w:rsidP="0046403D">
      <w:pPr>
        <w:pStyle w:val="Heading2"/>
      </w:pPr>
      <w:bookmarkStart w:id="116" w:name="_Toc216179722"/>
      <w:r>
        <w:t xml:space="preserve">Identification of the </w:t>
      </w:r>
      <w:r w:rsidR="00F706F1">
        <w:t>p</w:t>
      </w:r>
      <w:r>
        <w:t xml:space="preserve">referred </w:t>
      </w:r>
      <w:r w:rsidR="00F706F1">
        <w:t>o</w:t>
      </w:r>
      <w:r>
        <w:t>ption</w:t>
      </w:r>
      <w:bookmarkEnd w:id="116"/>
    </w:p>
    <w:p w14:paraId="66CEE54B" w14:textId="3B0B3602" w:rsidR="0046403D" w:rsidRDefault="001B7792" w:rsidP="00FA0CF5">
      <w:pPr>
        <w:pStyle w:val="DJCSbodyafterbullets"/>
        <w:ind w:left="680"/>
      </w:pPr>
      <w:r>
        <w:t xml:space="preserve">Table </w:t>
      </w:r>
      <w:r w:rsidR="00F706F1">
        <w:t xml:space="preserve">19 </w:t>
      </w:r>
      <w:r>
        <w:t xml:space="preserve">below </w:t>
      </w:r>
      <w:r w:rsidR="00F706F1">
        <w:t>summarises</w:t>
      </w:r>
      <w:r>
        <w:t xml:space="preserve"> the MCA scores assigned to </w:t>
      </w:r>
      <w:r w:rsidR="008A1CF7">
        <w:t xml:space="preserve">each </w:t>
      </w:r>
      <w:r>
        <w:t>individual criterion. The scores are weighted</w:t>
      </w:r>
      <w:r w:rsidR="00D15256">
        <w:t xml:space="preserve"> as per the cr</w:t>
      </w:r>
      <w:r w:rsidR="00D438DE">
        <w:t xml:space="preserve">iterion weightings outlined in </w:t>
      </w:r>
      <w:r w:rsidR="00323D15">
        <w:t>S</w:t>
      </w:r>
      <w:r w:rsidR="00D438DE">
        <w:t xml:space="preserve">ection </w:t>
      </w:r>
      <w:r w:rsidR="00323D15">
        <w:t>4</w:t>
      </w:r>
      <w:r w:rsidR="00CE4B97">
        <w:t xml:space="preserve">, </w:t>
      </w:r>
      <w:r w:rsidR="008A1CF7">
        <w:t>producing</w:t>
      </w:r>
      <w:r w:rsidR="0098705C">
        <w:t xml:space="preserve"> a weighted score for each option.</w:t>
      </w:r>
    </w:p>
    <w:p w14:paraId="4AC2023F" w14:textId="3823AD30" w:rsidR="00A74288" w:rsidRDefault="00A74288" w:rsidP="001B7792">
      <w:pPr>
        <w:pStyle w:val="DJCSbodyafterbullets"/>
        <w:ind w:left="680"/>
      </w:pPr>
      <w:r>
        <w:t xml:space="preserve">The results of the MCA determine that Option 3 is </w:t>
      </w:r>
      <w:r w:rsidR="0059421C">
        <w:t xml:space="preserve">preferred as it has the highest weighted score of all </w:t>
      </w:r>
      <w:r w:rsidR="00607D47">
        <w:t>the options considered.</w:t>
      </w:r>
    </w:p>
    <w:p w14:paraId="5B3E58BA" w14:textId="4BB7E8B2" w:rsidR="00C10D7D" w:rsidRDefault="00C10D7D" w:rsidP="001761B8">
      <w:pPr>
        <w:pStyle w:val="DJCStablecaption"/>
        <w:ind w:left="709"/>
      </w:pPr>
      <w:r>
        <w:t xml:space="preserve">Table </w:t>
      </w:r>
      <w:r w:rsidR="00B076F0">
        <w:t>20</w:t>
      </w:r>
      <w:r w:rsidR="006E1343" w:rsidRPr="006E1343">
        <w:t xml:space="preserve"> </w:t>
      </w:r>
      <w:r w:rsidR="00826042">
        <w:t>S</w:t>
      </w:r>
      <w:r w:rsidR="006E1343" w:rsidRPr="006E1343">
        <w:t xml:space="preserve">ummary of the MCA scores assigned to </w:t>
      </w:r>
      <w:r w:rsidR="00426645">
        <w:t>each</w:t>
      </w:r>
      <w:r w:rsidR="00426645" w:rsidRPr="006E1343">
        <w:t xml:space="preserve"> </w:t>
      </w:r>
      <w:r w:rsidR="006E1343" w:rsidRPr="006E1343">
        <w:t>individual criterion</w:t>
      </w:r>
      <w:r w:rsidR="007C2CD6">
        <w:rPr>
          <w:rStyle w:val="FootnoteReference"/>
        </w:rPr>
        <w:footnoteReference w:id="40"/>
      </w:r>
    </w:p>
    <w:tbl>
      <w:tblPr>
        <w:tblW w:w="41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156"/>
        <w:gridCol w:w="1537"/>
        <w:gridCol w:w="1177"/>
        <w:gridCol w:w="1739"/>
      </w:tblGrid>
      <w:tr w:rsidR="0040201A" w:rsidRPr="002F3BB5" w14:paraId="5312FFE4" w14:textId="77777777" w:rsidTr="0040201A">
        <w:trPr>
          <w:trHeight w:val="886"/>
          <w:jc w:val="center"/>
        </w:trPr>
        <w:tc>
          <w:tcPr>
            <w:tcW w:w="1755" w:type="pct"/>
            <w:shd w:val="clear" w:color="000000" w:fill="002060"/>
            <w:noWrap/>
            <w:vAlign w:val="center"/>
            <w:hideMark/>
          </w:tcPr>
          <w:p w14:paraId="01F759F8" w14:textId="77777777" w:rsidR="00826042" w:rsidRDefault="00826042">
            <w:pPr>
              <w:jc w:val="center"/>
              <w:rPr>
                <w:rFonts w:ascii="Calibri" w:hAnsi="Calibri" w:cs="Calibri"/>
                <w:b/>
                <w:bCs/>
                <w:color w:val="FFFFFF"/>
                <w:sz w:val="22"/>
                <w:szCs w:val="22"/>
                <w:lang w:eastAsia="ko-KR"/>
              </w:rPr>
            </w:pPr>
            <w:r w:rsidRPr="002F3BB5">
              <w:rPr>
                <w:rFonts w:ascii="Calibri" w:hAnsi="Calibri" w:cs="Calibri"/>
                <w:b/>
                <w:bCs/>
                <w:color w:val="FFFFFF"/>
                <w:sz w:val="22"/>
                <w:szCs w:val="22"/>
                <w:lang w:eastAsia="ko-KR"/>
              </w:rPr>
              <w:t>Criteria</w:t>
            </w:r>
          </w:p>
          <w:p w14:paraId="09432FBA" w14:textId="77777777" w:rsidR="00826042" w:rsidRPr="002F3BB5" w:rsidRDefault="00826042">
            <w:pPr>
              <w:rPr>
                <w:rFonts w:ascii="Calibri" w:hAnsi="Calibri" w:cs="Calibri"/>
                <w:b/>
                <w:bCs/>
                <w:color w:val="FFFFFF"/>
                <w:sz w:val="22"/>
                <w:szCs w:val="22"/>
                <w:lang w:eastAsia="ko-KR"/>
              </w:rPr>
            </w:pPr>
          </w:p>
        </w:tc>
        <w:tc>
          <w:tcPr>
            <w:tcW w:w="669" w:type="pct"/>
            <w:shd w:val="clear" w:color="000000" w:fill="002060"/>
            <w:vAlign w:val="center"/>
            <w:hideMark/>
          </w:tcPr>
          <w:p w14:paraId="718AA1A0" w14:textId="77777777" w:rsidR="00826042" w:rsidRPr="002F3BB5" w:rsidRDefault="00826042">
            <w:pPr>
              <w:jc w:val="center"/>
              <w:rPr>
                <w:rFonts w:ascii="Calibri" w:hAnsi="Calibri" w:cs="Calibri"/>
                <w:b/>
                <w:bCs/>
                <w:color w:val="FFFFFF"/>
                <w:sz w:val="22"/>
                <w:szCs w:val="22"/>
                <w:lang w:eastAsia="ko-KR"/>
              </w:rPr>
            </w:pPr>
            <w:r w:rsidRPr="002F3BB5">
              <w:rPr>
                <w:rFonts w:ascii="Calibri" w:hAnsi="Calibri" w:cs="Calibri"/>
                <w:b/>
                <w:bCs/>
                <w:color w:val="FFFFFF"/>
                <w:sz w:val="22"/>
                <w:szCs w:val="22"/>
                <w:lang w:eastAsia="ko-KR"/>
              </w:rPr>
              <w:t>Weighting</w:t>
            </w:r>
          </w:p>
        </w:tc>
        <w:tc>
          <w:tcPr>
            <w:tcW w:w="889" w:type="pct"/>
            <w:shd w:val="clear" w:color="000000" w:fill="002060"/>
            <w:vAlign w:val="center"/>
            <w:hideMark/>
          </w:tcPr>
          <w:p w14:paraId="6E676AA7" w14:textId="77777777" w:rsidR="00826042" w:rsidRPr="002F3BB5" w:rsidRDefault="00826042">
            <w:pPr>
              <w:jc w:val="center"/>
              <w:rPr>
                <w:rFonts w:ascii="Aptos Narrow" w:hAnsi="Aptos Narrow"/>
                <w:b/>
                <w:bCs/>
                <w:color w:val="FFFFFF"/>
                <w:sz w:val="22"/>
                <w:szCs w:val="22"/>
                <w:lang w:eastAsia="ko-KR"/>
              </w:rPr>
            </w:pPr>
            <w:r w:rsidRPr="002F3BB5">
              <w:rPr>
                <w:rFonts w:ascii="Aptos Narrow" w:hAnsi="Aptos Narrow"/>
                <w:b/>
                <w:bCs/>
                <w:color w:val="FFFFFF"/>
                <w:sz w:val="22"/>
                <w:szCs w:val="22"/>
                <w:lang w:eastAsia="ko-KR"/>
              </w:rPr>
              <w:t>Option 1: Continue with Current Fees and Structure</w:t>
            </w:r>
          </w:p>
        </w:tc>
        <w:tc>
          <w:tcPr>
            <w:tcW w:w="681" w:type="pct"/>
            <w:shd w:val="clear" w:color="000000" w:fill="002060"/>
            <w:vAlign w:val="center"/>
            <w:hideMark/>
          </w:tcPr>
          <w:p w14:paraId="10737D2F" w14:textId="77777777" w:rsidR="00826042" w:rsidRPr="002F3BB5" w:rsidRDefault="00826042">
            <w:pPr>
              <w:jc w:val="center"/>
              <w:rPr>
                <w:rFonts w:ascii="Aptos Narrow" w:hAnsi="Aptos Narrow"/>
                <w:b/>
                <w:bCs/>
                <w:color w:val="FFFFFF"/>
                <w:sz w:val="22"/>
                <w:szCs w:val="22"/>
                <w:lang w:eastAsia="ko-KR"/>
              </w:rPr>
            </w:pPr>
            <w:r w:rsidRPr="002F3BB5">
              <w:rPr>
                <w:rFonts w:ascii="Aptos Narrow" w:hAnsi="Aptos Narrow"/>
                <w:b/>
                <w:bCs/>
                <w:color w:val="FFFFFF"/>
                <w:sz w:val="22"/>
                <w:szCs w:val="22"/>
                <w:lang w:eastAsia="ko-KR"/>
              </w:rPr>
              <w:t>Option 2: New Fee Structure</w:t>
            </w:r>
          </w:p>
        </w:tc>
        <w:tc>
          <w:tcPr>
            <w:tcW w:w="1007" w:type="pct"/>
            <w:shd w:val="clear" w:color="000000" w:fill="002060"/>
            <w:vAlign w:val="center"/>
            <w:hideMark/>
          </w:tcPr>
          <w:p w14:paraId="399638EF" w14:textId="77777777" w:rsidR="00826042" w:rsidRPr="002F3BB5" w:rsidRDefault="00826042">
            <w:pPr>
              <w:jc w:val="center"/>
              <w:rPr>
                <w:rFonts w:ascii="Aptos Narrow" w:hAnsi="Aptos Narrow"/>
                <w:b/>
                <w:bCs/>
                <w:color w:val="FFFFFF"/>
                <w:sz w:val="22"/>
                <w:szCs w:val="22"/>
                <w:lang w:eastAsia="ko-KR"/>
              </w:rPr>
            </w:pPr>
            <w:r w:rsidRPr="002F3BB5">
              <w:rPr>
                <w:rFonts w:ascii="Aptos Narrow" w:hAnsi="Aptos Narrow"/>
                <w:b/>
                <w:bCs/>
                <w:color w:val="FFFFFF"/>
                <w:sz w:val="22"/>
                <w:szCs w:val="22"/>
                <w:lang w:eastAsia="ko-KR"/>
              </w:rPr>
              <w:t xml:space="preserve">Option </w:t>
            </w:r>
            <w:r>
              <w:rPr>
                <w:rFonts w:ascii="Aptos Narrow" w:hAnsi="Aptos Narrow"/>
                <w:b/>
                <w:bCs/>
                <w:color w:val="FFFFFF"/>
                <w:sz w:val="22"/>
                <w:szCs w:val="22"/>
                <w:lang w:eastAsia="ko-KR"/>
              </w:rPr>
              <w:t xml:space="preserve">3 </w:t>
            </w:r>
            <w:r w:rsidRPr="002F3BB5">
              <w:rPr>
                <w:rFonts w:ascii="Aptos Narrow" w:hAnsi="Aptos Narrow"/>
                <w:b/>
                <w:bCs/>
                <w:color w:val="FFFFFF"/>
                <w:sz w:val="22"/>
                <w:szCs w:val="22"/>
                <w:lang w:eastAsia="ko-KR"/>
              </w:rPr>
              <w:t>: New Fee Structure and Increased Cost Recovery</w:t>
            </w:r>
          </w:p>
        </w:tc>
      </w:tr>
      <w:tr w:rsidR="0040201A" w:rsidRPr="002F3BB5" w14:paraId="2FA0974B" w14:textId="77777777" w:rsidTr="0040201A">
        <w:trPr>
          <w:trHeight w:val="1017"/>
          <w:jc w:val="center"/>
        </w:trPr>
        <w:tc>
          <w:tcPr>
            <w:tcW w:w="1755" w:type="pct"/>
            <w:shd w:val="clear" w:color="000000" w:fill="FFFFFF"/>
            <w:vAlign w:val="center"/>
            <w:hideMark/>
          </w:tcPr>
          <w:p w14:paraId="1AEFAA38" w14:textId="77777777" w:rsidR="00826042" w:rsidRPr="002F3BB5" w:rsidRDefault="00826042">
            <w:pPr>
              <w:jc w:val="center"/>
              <w:rPr>
                <w:rFonts w:ascii="Arial" w:hAnsi="Arial" w:cs="Arial"/>
                <w:b/>
                <w:bCs/>
                <w:color w:val="000000"/>
                <w:lang w:eastAsia="ko-KR"/>
              </w:rPr>
            </w:pPr>
            <w:r w:rsidRPr="002F3BB5">
              <w:rPr>
                <w:rFonts w:ascii="Arial" w:hAnsi="Arial" w:cs="Arial"/>
                <w:b/>
                <w:bCs/>
                <w:color w:val="000000"/>
                <w:lang w:eastAsia="ko-KR"/>
              </w:rPr>
              <w:t>Criterion 1 – Fiscal Sustainability</w:t>
            </w:r>
          </w:p>
          <w:p w14:paraId="7761D865" w14:textId="77777777" w:rsidR="00826042" w:rsidRPr="002F3BB5" w:rsidRDefault="00826042">
            <w:pPr>
              <w:jc w:val="center"/>
              <w:rPr>
                <w:rFonts w:ascii="Arial" w:hAnsi="Arial" w:cs="Arial"/>
                <w:color w:val="000000"/>
                <w:lang w:eastAsia="ko-KR"/>
              </w:rPr>
            </w:pPr>
            <w:r w:rsidRPr="002F3BB5">
              <w:rPr>
                <w:rFonts w:ascii="Arial" w:hAnsi="Arial" w:cs="Arial"/>
                <w:color w:val="000000"/>
                <w:lang w:eastAsia="ko-KR"/>
              </w:rPr>
              <w:t>Fees should seek to support the overall fiscal sustainability of VCAT.</w:t>
            </w:r>
          </w:p>
        </w:tc>
        <w:tc>
          <w:tcPr>
            <w:tcW w:w="669" w:type="pct"/>
            <w:shd w:val="clear" w:color="000000" w:fill="FFFFFF"/>
            <w:noWrap/>
            <w:vAlign w:val="center"/>
            <w:hideMark/>
          </w:tcPr>
          <w:p w14:paraId="7FB7816A" w14:textId="71C64AA5" w:rsidR="00826042" w:rsidRPr="002F3BB5" w:rsidRDefault="00196170">
            <w:pPr>
              <w:jc w:val="center"/>
              <w:rPr>
                <w:rFonts w:ascii="Calibri" w:hAnsi="Calibri" w:cs="Calibri"/>
                <w:color w:val="000000"/>
                <w:sz w:val="22"/>
                <w:szCs w:val="22"/>
                <w:lang w:eastAsia="ko-KR"/>
              </w:rPr>
            </w:pPr>
            <w:r>
              <w:rPr>
                <w:rFonts w:ascii="Calibri" w:hAnsi="Calibri" w:cs="Calibri"/>
                <w:color w:val="000000"/>
                <w:sz w:val="22"/>
                <w:szCs w:val="22"/>
                <w:lang w:eastAsia="ko-KR"/>
              </w:rPr>
              <w:t>35%</w:t>
            </w:r>
          </w:p>
        </w:tc>
        <w:tc>
          <w:tcPr>
            <w:tcW w:w="889" w:type="pct"/>
            <w:shd w:val="clear" w:color="000000" w:fill="FFFFFF"/>
            <w:noWrap/>
            <w:vAlign w:val="center"/>
            <w:hideMark/>
          </w:tcPr>
          <w:p w14:paraId="3DECC0E9"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5.0</w:t>
            </w:r>
          </w:p>
        </w:tc>
        <w:tc>
          <w:tcPr>
            <w:tcW w:w="681" w:type="pct"/>
            <w:shd w:val="clear" w:color="000000" w:fill="FFFFFF"/>
            <w:noWrap/>
            <w:vAlign w:val="center"/>
            <w:hideMark/>
          </w:tcPr>
          <w:p w14:paraId="3EB178CC"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5.0</w:t>
            </w:r>
          </w:p>
        </w:tc>
        <w:tc>
          <w:tcPr>
            <w:tcW w:w="1007" w:type="pct"/>
            <w:shd w:val="clear" w:color="auto" w:fill="E9FBEC"/>
            <w:noWrap/>
            <w:vAlign w:val="center"/>
            <w:hideMark/>
          </w:tcPr>
          <w:p w14:paraId="3973EEE5" w14:textId="77777777" w:rsidR="00826042" w:rsidRPr="006C3CAF" w:rsidRDefault="00826042">
            <w:pPr>
              <w:jc w:val="center"/>
              <w:rPr>
                <w:rFonts w:ascii="Calibri" w:hAnsi="Calibri" w:cs="Calibri"/>
                <w:color w:val="000000"/>
                <w:sz w:val="22"/>
                <w:szCs w:val="22"/>
                <w:lang w:eastAsia="ko-KR"/>
              </w:rPr>
            </w:pPr>
            <w:r>
              <w:rPr>
                <w:rFonts w:ascii="Calibri" w:hAnsi="Calibri" w:cs="Calibri"/>
                <w:color w:val="000000"/>
                <w:sz w:val="22"/>
                <w:szCs w:val="22"/>
              </w:rPr>
              <w:t>9</w:t>
            </w:r>
          </w:p>
        </w:tc>
      </w:tr>
      <w:tr w:rsidR="0040201A" w:rsidRPr="002F3BB5" w14:paraId="01D90B10" w14:textId="77777777" w:rsidTr="0040201A">
        <w:trPr>
          <w:trHeight w:val="1737"/>
          <w:jc w:val="center"/>
        </w:trPr>
        <w:tc>
          <w:tcPr>
            <w:tcW w:w="1755" w:type="pct"/>
            <w:shd w:val="clear" w:color="000000" w:fill="FFFFFF"/>
            <w:vAlign w:val="center"/>
            <w:hideMark/>
          </w:tcPr>
          <w:p w14:paraId="3ED8D264" w14:textId="77777777" w:rsidR="00826042" w:rsidRPr="002F3BB5" w:rsidRDefault="00826042">
            <w:pPr>
              <w:jc w:val="center"/>
              <w:rPr>
                <w:rFonts w:ascii="Arial" w:hAnsi="Arial" w:cs="Arial"/>
                <w:b/>
                <w:bCs/>
                <w:color w:val="000000"/>
                <w:lang w:eastAsia="ko-KR"/>
              </w:rPr>
            </w:pPr>
            <w:r w:rsidRPr="002F3BB5">
              <w:rPr>
                <w:rFonts w:ascii="Arial" w:hAnsi="Arial" w:cs="Arial"/>
                <w:b/>
                <w:bCs/>
                <w:color w:val="000000"/>
                <w:lang w:eastAsia="ko-KR"/>
              </w:rPr>
              <w:t>Criterion 2 – Equity</w:t>
            </w:r>
          </w:p>
          <w:p w14:paraId="1F0C1E5F" w14:textId="6966E1D5" w:rsidR="00826042" w:rsidRPr="002F3BB5" w:rsidRDefault="00826042">
            <w:pPr>
              <w:jc w:val="center"/>
              <w:rPr>
                <w:rFonts w:ascii="Arial" w:hAnsi="Arial" w:cs="Arial"/>
                <w:color w:val="000000"/>
                <w:lang w:eastAsia="ko-KR"/>
              </w:rPr>
            </w:pPr>
            <w:r w:rsidRPr="002F3BB5">
              <w:rPr>
                <w:rFonts w:ascii="Arial" w:hAnsi="Arial" w:cs="Arial"/>
                <w:color w:val="000000"/>
                <w:lang w:eastAsia="ko-KR"/>
              </w:rPr>
              <w:t xml:space="preserve">Fees should reflect the capacity of different tribunal users to pay court fees. </w:t>
            </w:r>
            <w:r>
              <w:rPr>
                <w:rFonts w:ascii="Arial" w:hAnsi="Arial" w:cs="Arial"/>
                <w:color w:val="000000"/>
                <w:lang w:eastAsia="ko-KR"/>
              </w:rPr>
              <w:t>VCAT</w:t>
            </w:r>
            <w:r w:rsidRPr="002F3BB5">
              <w:rPr>
                <w:rFonts w:ascii="Arial" w:hAnsi="Arial" w:cs="Arial"/>
                <w:color w:val="000000"/>
                <w:lang w:eastAsia="ko-KR"/>
              </w:rPr>
              <w:t xml:space="preserve"> fees should provide access to justice for those with limited ability to pay fees.</w:t>
            </w:r>
          </w:p>
        </w:tc>
        <w:tc>
          <w:tcPr>
            <w:tcW w:w="669" w:type="pct"/>
            <w:shd w:val="clear" w:color="000000" w:fill="FFFFFF"/>
            <w:noWrap/>
            <w:vAlign w:val="center"/>
            <w:hideMark/>
          </w:tcPr>
          <w:p w14:paraId="2EF5E666" w14:textId="5F2A9014" w:rsidR="00826042" w:rsidRPr="002F3BB5" w:rsidRDefault="00196170">
            <w:pPr>
              <w:jc w:val="center"/>
              <w:rPr>
                <w:rFonts w:ascii="Calibri" w:hAnsi="Calibri" w:cs="Calibri"/>
                <w:color w:val="000000"/>
                <w:sz w:val="22"/>
                <w:szCs w:val="22"/>
                <w:lang w:eastAsia="ko-KR"/>
              </w:rPr>
            </w:pPr>
            <w:r>
              <w:rPr>
                <w:rFonts w:ascii="Calibri" w:hAnsi="Calibri" w:cs="Calibri"/>
                <w:color w:val="000000"/>
                <w:sz w:val="22"/>
                <w:szCs w:val="22"/>
                <w:lang w:eastAsia="ko-KR"/>
              </w:rPr>
              <w:t>40%</w:t>
            </w:r>
          </w:p>
        </w:tc>
        <w:tc>
          <w:tcPr>
            <w:tcW w:w="889" w:type="pct"/>
            <w:shd w:val="clear" w:color="000000" w:fill="FFFFFF"/>
            <w:noWrap/>
            <w:vAlign w:val="center"/>
            <w:hideMark/>
          </w:tcPr>
          <w:p w14:paraId="2A94A043"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2.3</w:t>
            </w:r>
          </w:p>
        </w:tc>
        <w:tc>
          <w:tcPr>
            <w:tcW w:w="681" w:type="pct"/>
            <w:shd w:val="clear" w:color="000000" w:fill="FFFFFF"/>
            <w:noWrap/>
            <w:vAlign w:val="center"/>
            <w:hideMark/>
          </w:tcPr>
          <w:p w14:paraId="22D4EF93"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6.2</w:t>
            </w:r>
          </w:p>
        </w:tc>
        <w:tc>
          <w:tcPr>
            <w:tcW w:w="1007" w:type="pct"/>
            <w:shd w:val="clear" w:color="auto" w:fill="E9FBEC"/>
            <w:noWrap/>
            <w:vAlign w:val="center"/>
            <w:hideMark/>
          </w:tcPr>
          <w:p w14:paraId="5DF7ADF2"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6.2</w:t>
            </w:r>
          </w:p>
        </w:tc>
      </w:tr>
      <w:tr w:rsidR="0040201A" w:rsidRPr="002F3BB5" w14:paraId="2D7D260D" w14:textId="77777777" w:rsidTr="0040201A">
        <w:trPr>
          <w:trHeight w:val="1048"/>
          <w:jc w:val="center"/>
        </w:trPr>
        <w:tc>
          <w:tcPr>
            <w:tcW w:w="1755" w:type="pct"/>
            <w:shd w:val="clear" w:color="000000" w:fill="FFFFFF"/>
            <w:vAlign w:val="center"/>
            <w:hideMark/>
          </w:tcPr>
          <w:p w14:paraId="7E8A18BC" w14:textId="77777777" w:rsidR="00826042" w:rsidRPr="002F3BB5" w:rsidRDefault="00826042">
            <w:pPr>
              <w:jc w:val="center"/>
              <w:rPr>
                <w:rFonts w:ascii="Arial" w:hAnsi="Arial" w:cs="Arial"/>
                <w:b/>
                <w:bCs/>
                <w:color w:val="000000"/>
                <w:lang w:eastAsia="ko-KR"/>
              </w:rPr>
            </w:pPr>
            <w:r w:rsidRPr="002F3BB5">
              <w:rPr>
                <w:rFonts w:ascii="Arial" w:hAnsi="Arial" w:cs="Arial"/>
                <w:b/>
                <w:bCs/>
                <w:color w:val="000000"/>
                <w:lang w:eastAsia="ko-KR"/>
              </w:rPr>
              <w:t>Criterion 3 – Efficiency</w:t>
            </w:r>
          </w:p>
          <w:p w14:paraId="12E3DFC9" w14:textId="77777777" w:rsidR="00826042" w:rsidRPr="002F3BB5" w:rsidRDefault="00826042">
            <w:pPr>
              <w:jc w:val="center"/>
              <w:rPr>
                <w:rFonts w:ascii="Arial" w:hAnsi="Arial" w:cs="Arial"/>
                <w:color w:val="000000"/>
                <w:lang w:eastAsia="ko-KR"/>
              </w:rPr>
            </w:pPr>
            <w:r w:rsidRPr="002F3BB5">
              <w:rPr>
                <w:rFonts w:ascii="Arial" w:hAnsi="Arial" w:cs="Arial"/>
                <w:color w:val="000000"/>
                <w:lang w:eastAsia="ko-KR"/>
              </w:rPr>
              <w:t>Fees should reflect the cost of the underlying VCAT services.</w:t>
            </w:r>
          </w:p>
        </w:tc>
        <w:tc>
          <w:tcPr>
            <w:tcW w:w="669" w:type="pct"/>
            <w:shd w:val="clear" w:color="000000" w:fill="FFFFFF"/>
            <w:noWrap/>
            <w:vAlign w:val="center"/>
            <w:hideMark/>
          </w:tcPr>
          <w:p w14:paraId="4B0CD366" w14:textId="7EE63E15" w:rsidR="00826042" w:rsidRPr="002F3BB5" w:rsidRDefault="00196170">
            <w:pPr>
              <w:jc w:val="center"/>
              <w:rPr>
                <w:rFonts w:ascii="Calibri" w:hAnsi="Calibri" w:cs="Calibri"/>
                <w:color w:val="000000"/>
                <w:sz w:val="22"/>
                <w:szCs w:val="22"/>
                <w:lang w:eastAsia="ko-KR"/>
              </w:rPr>
            </w:pPr>
            <w:r>
              <w:rPr>
                <w:rFonts w:ascii="Calibri" w:hAnsi="Calibri" w:cs="Calibri"/>
                <w:color w:val="000000"/>
                <w:sz w:val="22"/>
                <w:szCs w:val="22"/>
                <w:lang w:eastAsia="ko-KR"/>
              </w:rPr>
              <w:t>15%</w:t>
            </w:r>
          </w:p>
        </w:tc>
        <w:tc>
          <w:tcPr>
            <w:tcW w:w="889" w:type="pct"/>
            <w:shd w:val="clear" w:color="000000" w:fill="FFFFFF"/>
            <w:noWrap/>
            <w:vAlign w:val="center"/>
            <w:hideMark/>
          </w:tcPr>
          <w:p w14:paraId="4616BE6E"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5.0</w:t>
            </w:r>
          </w:p>
        </w:tc>
        <w:tc>
          <w:tcPr>
            <w:tcW w:w="681" w:type="pct"/>
            <w:shd w:val="clear" w:color="000000" w:fill="FFFFFF"/>
            <w:noWrap/>
            <w:vAlign w:val="center"/>
            <w:hideMark/>
          </w:tcPr>
          <w:p w14:paraId="71945BA6"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4.5</w:t>
            </w:r>
          </w:p>
        </w:tc>
        <w:tc>
          <w:tcPr>
            <w:tcW w:w="1007" w:type="pct"/>
            <w:shd w:val="clear" w:color="auto" w:fill="E9FBEC"/>
            <w:noWrap/>
            <w:vAlign w:val="center"/>
            <w:hideMark/>
          </w:tcPr>
          <w:p w14:paraId="638CD967" w14:textId="70144AA5" w:rsidR="00826042" w:rsidRPr="006C3CAF" w:rsidRDefault="00860002">
            <w:pPr>
              <w:jc w:val="center"/>
              <w:rPr>
                <w:rFonts w:ascii="Calibri" w:hAnsi="Calibri" w:cs="Calibri"/>
                <w:color w:val="000000"/>
                <w:sz w:val="22"/>
                <w:szCs w:val="22"/>
                <w:lang w:eastAsia="ko-KR"/>
              </w:rPr>
            </w:pPr>
            <w:r>
              <w:rPr>
                <w:rFonts w:ascii="Calibri" w:hAnsi="Calibri" w:cs="Calibri"/>
                <w:sz w:val="22"/>
                <w:szCs w:val="22"/>
              </w:rPr>
              <w:t>3</w:t>
            </w:r>
            <w:r w:rsidR="00826042" w:rsidRPr="006C3CAF">
              <w:rPr>
                <w:rFonts w:ascii="Calibri" w:hAnsi="Calibri" w:cs="Calibri"/>
                <w:sz w:val="22"/>
                <w:szCs w:val="22"/>
              </w:rPr>
              <w:t>.</w:t>
            </w:r>
            <w:r>
              <w:rPr>
                <w:rFonts w:ascii="Calibri" w:hAnsi="Calibri" w:cs="Calibri"/>
                <w:sz w:val="22"/>
                <w:szCs w:val="22"/>
              </w:rPr>
              <w:t>5</w:t>
            </w:r>
          </w:p>
        </w:tc>
      </w:tr>
      <w:tr w:rsidR="0040201A" w:rsidRPr="002F3BB5" w14:paraId="62E846D2" w14:textId="77777777" w:rsidTr="0040201A">
        <w:trPr>
          <w:trHeight w:val="1625"/>
          <w:jc w:val="center"/>
        </w:trPr>
        <w:tc>
          <w:tcPr>
            <w:tcW w:w="1755" w:type="pct"/>
            <w:shd w:val="clear" w:color="000000" w:fill="FFFFFF"/>
            <w:vAlign w:val="center"/>
            <w:hideMark/>
          </w:tcPr>
          <w:p w14:paraId="35298E33" w14:textId="77777777" w:rsidR="00826042" w:rsidRPr="002F3BB5" w:rsidRDefault="00826042">
            <w:pPr>
              <w:jc w:val="center"/>
              <w:rPr>
                <w:rFonts w:ascii="Arial" w:hAnsi="Arial" w:cs="Arial"/>
                <w:b/>
                <w:bCs/>
                <w:color w:val="000000"/>
                <w:lang w:eastAsia="ko-KR"/>
              </w:rPr>
            </w:pPr>
            <w:r w:rsidRPr="002F3BB5">
              <w:rPr>
                <w:rFonts w:ascii="Arial" w:hAnsi="Arial" w:cs="Arial"/>
                <w:b/>
                <w:bCs/>
                <w:color w:val="000000"/>
                <w:lang w:eastAsia="ko-KR"/>
              </w:rPr>
              <w:t>Criterion 4 – Simplicity</w:t>
            </w:r>
          </w:p>
          <w:p w14:paraId="16410D53" w14:textId="77777777" w:rsidR="00826042" w:rsidRPr="002F3BB5" w:rsidRDefault="00826042">
            <w:pPr>
              <w:jc w:val="center"/>
              <w:rPr>
                <w:rFonts w:ascii="Arial" w:hAnsi="Arial" w:cs="Arial"/>
                <w:color w:val="000000"/>
                <w:lang w:eastAsia="ko-KR"/>
              </w:rPr>
            </w:pPr>
            <w:r w:rsidRPr="002F3BB5">
              <w:rPr>
                <w:rFonts w:ascii="Arial" w:hAnsi="Arial" w:cs="Arial"/>
                <w:color w:val="000000"/>
                <w:lang w:eastAsia="ko-KR"/>
              </w:rPr>
              <w:t>Fee structures should be simple to administer for VCAT and easy to navigate for VCAT users.</w:t>
            </w:r>
          </w:p>
        </w:tc>
        <w:tc>
          <w:tcPr>
            <w:tcW w:w="669" w:type="pct"/>
            <w:shd w:val="clear" w:color="000000" w:fill="FFFFFF"/>
            <w:noWrap/>
            <w:vAlign w:val="center"/>
            <w:hideMark/>
          </w:tcPr>
          <w:p w14:paraId="58A8F7FA" w14:textId="61E89E44" w:rsidR="00826042" w:rsidRPr="002F3BB5" w:rsidRDefault="00196170">
            <w:pPr>
              <w:jc w:val="center"/>
              <w:rPr>
                <w:rFonts w:ascii="Calibri" w:hAnsi="Calibri" w:cs="Calibri"/>
                <w:color w:val="000000"/>
                <w:sz w:val="22"/>
                <w:szCs w:val="22"/>
                <w:lang w:eastAsia="ko-KR"/>
              </w:rPr>
            </w:pPr>
            <w:r>
              <w:rPr>
                <w:rFonts w:ascii="Calibri" w:hAnsi="Calibri" w:cs="Calibri"/>
                <w:color w:val="000000"/>
                <w:sz w:val="22"/>
                <w:szCs w:val="22"/>
                <w:lang w:eastAsia="ko-KR"/>
              </w:rPr>
              <w:t>10%</w:t>
            </w:r>
          </w:p>
        </w:tc>
        <w:tc>
          <w:tcPr>
            <w:tcW w:w="889" w:type="pct"/>
            <w:shd w:val="clear" w:color="000000" w:fill="FFFFFF"/>
            <w:noWrap/>
            <w:vAlign w:val="center"/>
            <w:hideMark/>
          </w:tcPr>
          <w:p w14:paraId="653E0EF4" w14:textId="2F69987B"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-4.0</w:t>
            </w:r>
          </w:p>
        </w:tc>
        <w:tc>
          <w:tcPr>
            <w:tcW w:w="681" w:type="pct"/>
            <w:shd w:val="clear" w:color="000000" w:fill="FFFFFF"/>
            <w:noWrap/>
            <w:vAlign w:val="center"/>
            <w:hideMark/>
          </w:tcPr>
          <w:p w14:paraId="18D09E61"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-6.0</w:t>
            </w:r>
          </w:p>
        </w:tc>
        <w:tc>
          <w:tcPr>
            <w:tcW w:w="1007" w:type="pct"/>
            <w:shd w:val="clear" w:color="auto" w:fill="E9FBEC"/>
            <w:noWrap/>
            <w:vAlign w:val="center"/>
            <w:hideMark/>
          </w:tcPr>
          <w:p w14:paraId="1658ACC2" w14:textId="77777777" w:rsidR="00826042" w:rsidRPr="006C3CAF" w:rsidRDefault="00826042">
            <w:pPr>
              <w:jc w:val="center"/>
              <w:rPr>
                <w:rFonts w:ascii="Calibri" w:hAnsi="Calibri" w:cs="Calibri"/>
                <w:color w:val="000000"/>
                <w:sz w:val="22"/>
                <w:szCs w:val="22"/>
                <w:lang w:eastAsia="ko-KR"/>
              </w:rPr>
            </w:pPr>
            <w:r w:rsidRPr="006C3CAF">
              <w:rPr>
                <w:rFonts w:ascii="Calibri" w:hAnsi="Calibri" w:cs="Calibri"/>
                <w:sz w:val="22"/>
                <w:szCs w:val="22"/>
              </w:rPr>
              <w:t>-6.0</w:t>
            </w:r>
          </w:p>
        </w:tc>
      </w:tr>
      <w:tr w:rsidR="0040201A" w:rsidRPr="002F3BB5" w14:paraId="6C66ED00" w14:textId="77777777" w:rsidTr="0040201A">
        <w:trPr>
          <w:trHeight w:val="723"/>
          <w:jc w:val="center"/>
        </w:trPr>
        <w:tc>
          <w:tcPr>
            <w:tcW w:w="1755" w:type="pct"/>
            <w:shd w:val="clear" w:color="auto" w:fill="F2F2F2" w:themeFill="background1" w:themeFillShade="F2"/>
            <w:noWrap/>
            <w:vAlign w:val="center"/>
            <w:hideMark/>
          </w:tcPr>
          <w:p w14:paraId="03F1D6E9" w14:textId="77777777" w:rsidR="00826042" w:rsidRPr="002F3BB5" w:rsidRDefault="00826042">
            <w:pPr>
              <w:jc w:val="center"/>
              <w:rPr>
                <w:rFonts w:ascii="Arial" w:hAnsi="Arial" w:cs="Arial"/>
                <w:b/>
                <w:bCs/>
                <w:color w:val="000000"/>
                <w:lang w:eastAsia="ko-KR"/>
              </w:rPr>
            </w:pPr>
            <w:r w:rsidRPr="002F3BB5">
              <w:rPr>
                <w:rFonts w:ascii="Arial" w:hAnsi="Arial" w:cs="Arial"/>
                <w:b/>
                <w:bCs/>
                <w:color w:val="000000"/>
                <w:lang w:eastAsia="ko-KR"/>
              </w:rPr>
              <w:t>Weighted Score</w:t>
            </w:r>
          </w:p>
        </w:tc>
        <w:tc>
          <w:tcPr>
            <w:tcW w:w="669" w:type="pct"/>
            <w:shd w:val="clear" w:color="auto" w:fill="F2F2F2" w:themeFill="background1" w:themeFillShade="F2"/>
            <w:noWrap/>
            <w:vAlign w:val="center"/>
            <w:hideMark/>
          </w:tcPr>
          <w:p w14:paraId="6FCE5C58" w14:textId="77777777" w:rsidR="00826042" w:rsidRPr="00CB74E6" w:rsidRDefault="00826042">
            <w:pPr>
              <w:jc w:val="center"/>
              <w:rPr>
                <w:rFonts w:ascii="Aptos Narrow" w:hAnsi="Aptos Narrow"/>
                <w:b/>
                <w:color w:val="000000"/>
                <w:sz w:val="22"/>
                <w:szCs w:val="22"/>
                <w:lang w:eastAsia="ko-KR"/>
              </w:rPr>
            </w:pPr>
            <w:r w:rsidRPr="00CB74E6">
              <w:rPr>
                <w:rFonts w:ascii="Aptos Narrow" w:hAnsi="Aptos Narrow"/>
                <w:b/>
                <w:color w:val="000000"/>
                <w:sz w:val="22"/>
                <w:szCs w:val="22"/>
                <w:lang w:eastAsia="ko-KR"/>
              </w:rPr>
              <w:t> </w:t>
            </w:r>
          </w:p>
        </w:tc>
        <w:tc>
          <w:tcPr>
            <w:tcW w:w="889" w:type="pct"/>
            <w:shd w:val="clear" w:color="auto" w:fill="F2F2F2" w:themeFill="background1" w:themeFillShade="F2"/>
            <w:noWrap/>
            <w:vAlign w:val="center"/>
            <w:hideMark/>
          </w:tcPr>
          <w:p w14:paraId="5AB9828B" w14:textId="77777777" w:rsidR="00826042" w:rsidRPr="00CB74E6" w:rsidRDefault="00826042">
            <w:pPr>
              <w:jc w:val="center"/>
              <w:rPr>
                <w:rFonts w:ascii="Calibri" w:hAnsi="Calibri" w:cs="Calibri"/>
                <w:b/>
                <w:color w:val="000000"/>
                <w:sz w:val="22"/>
                <w:szCs w:val="22"/>
                <w:lang w:eastAsia="ko-KR"/>
              </w:rPr>
            </w:pPr>
            <w:r w:rsidRPr="00CB74E6">
              <w:rPr>
                <w:rFonts w:ascii="Calibri" w:hAnsi="Calibri" w:cs="Calibri"/>
                <w:b/>
                <w:sz w:val="22"/>
                <w:szCs w:val="22"/>
              </w:rPr>
              <w:t>2.8</w:t>
            </w:r>
          </w:p>
        </w:tc>
        <w:tc>
          <w:tcPr>
            <w:tcW w:w="681" w:type="pct"/>
            <w:shd w:val="clear" w:color="auto" w:fill="F2F2F2" w:themeFill="background1" w:themeFillShade="F2"/>
            <w:noWrap/>
            <w:vAlign w:val="center"/>
            <w:hideMark/>
          </w:tcPr>
          <w:p w14:paraId="19D201F7" w14:textId="77777777" w:rsidR="00826042" w:rsidRPr="00CB74E6" w:rsidRDefault="00826042">
            <w:pPr>
              <w:jc w:val="center"/>
              <w:rPr>
                <w:rFonts w:ascii="Calibri" w:hAnsi="Calibri" w:cs="Calibri"/>
                <w:b/>
                <w:color w:val="000000"/>
                <w:sz w:val="22"/>
                <w:szCs w:val="22"/>
                <w:lang w:eastAsia="ko-KR"/>
              </w:rPr>
            </w:pPr>
            <w:r w:rsidRPr="00CB74E6">
              <w:rPr>
                <w:rFonts w:ascii="Calibri" w:hAnsi="Calibri" w:cs="Calibri"/>
                <w:b/>
                <w:sz w:val="22"/>
                <w:szCs w:val="22"/>
              </w:rPr>
              <w:t>4.0</w:t>
            </w:r>
          </w:p>
        </w:tc>
        <w:tc>
          <w:tcPr>
            <w:tcW w:w="1007" w:type="pct"/>
            <w:shd w:val="clear" w:color="auto" w:fill="E9FBEC"/>
            <w:noWrap/>
            <w:vAlign w:val="center"/>
            <w:hideMark/>
          </w:tcPr>
          <w:p w14:paraId="28A210B0" w14:textId="0AFC361F" w:rsidR="00826042" w:rsidRPr="00CB74E6" w:rsidRDefault="00826042">
            <w:pPr>
              <w:jc w:val="center"/>
              <w:rPr>
                <w:rFonts w:ascii="Calibri" w:hAnsi="Calibri" w:cs="Calibri"/>
                <w:b/>
                <w:color w:val="000000"/>
                <w:sz w:val="22"/>
                <w:szCs w:val="22"/>
                <w:lang w:eastAsia="ko-KR"/>
              </w:rPr>
            </w:pPr>
            <w:r>
              <w:rPr>
                <w:rFonts w:ascii="Calibri" w:hAnsi="Calibri" w:cs="Calibri"/>
                <w:b/>
                <w:sz w:val="22"/>
                <w:szCs w:val="22"/>
              </w:rPr>
              <w:t>5</w:t>
            </w:r>
            <w:r w:rsidRPr="00CB74E6">
              <w:rPr>
                <w:rFonts w:ascii="Calibri" w:hAnsi="Calibri" w:cs="Calibri"/>
                <w:b/>
                <w:sz w:val="22"/>
                <w:szCs w:val="22"/>
              </w:rPr>
              <w:t>.</w:t>
            </w:r>
            <w:r w:rsidR="00EE5175">
              <w:rPr>
                <w:rFonts w:ascii="Calibri" w:hAnsi="Calibri" w:cs="Calibri"/>
                <w:b/>
                <w:sz w:val="22"/>
                <w:szCs w:val="22"/>
              </w:rPr>
              <w:t>2</w:t>
            </w:r>
          </w:p>
        </w:tc>
      </w:tr>
    </w:tbl>
    <w:p w14:paraId="4C8677C8" w14:textId="77777777" w:rsidR="001F45C5" w:rsidRDefault="001F45C5" w:rsidP="00634084">
      <w:pPr>
        <w:pStyle w:val="DJCSbodyafterbullets"/>
        <w:ind w:left="680"/>
      </w:pPr>
    </w:p>
    <w:p w14:paraId="79C42D3F" w14:textId="77777777" w:rsidR="001F45C5" w:rsidRDefault="001F45C5" w:rsidP="00634084">
      <w:pPr>
        <w:pStyle w:val="DJCSbodyafterbullets"/>
        <w:ind w:left="680"/>
      </w:pPr>
    </w:p>
    <w:p w14:paraId="06F99873" w14:textId="77777777" w:rsidR="001F45C5" w:rsidRDefault="001F45C5" w:rsidP="00634084">
      <w:pPr>
        <w:pStyle w:val="DJCSbodyafterbullets"/>
        <w:ind w:left="680"/>
      </w:pPr>
    </w:p>
    <w:p w14:paraId="6DCBA44A" w14:textId="77777777" w:rsidR="001F45C5" w:rsidRDefault="001F45C5" w:rsidP="00634084">
      <w:pPr>
        <w:pStyle w:val="DJCSbodyafterbullets"/>
        <w:ind w:left="680"/>
      </w:pPr>
    </w:p>
    <w:p w14:paraId="681EC13E" w14:textId="38A2B3C4" w:rsidR="00607D47" w:rsidRDefault="0094697A" w:rsidP="00634084">
      <w:pPr>
        <w:pStyle w:val="DJCSbodyafterbullets"/>
        <w:ind w:left="680"/>
      </w:pPr>
      <w:r>
        <w:lastRenderedPageBreak/>
        <w:t>Under the preferred option</w:t>
      </w:r>
      <w:r w:rsidR="00707500">
        <w:t>,</w:t>
      </w:r>
      <w:r>
        <w:t xml:space="preserve"> the changes to </w:t>
      </w:r>
      <w:r w:rsidR="00B26141">
        <w:t xml:space="preserve">the VCAT </w:t>
      </w:r>
      <w:r w:rsidR="00707500">
        <w:t xml:space="preserve">fee </w:t>
      </w:r>
      <w:r w:rsidR="009D5246">
        <w:t>structure and levels are as follows:</w:t>
      </w:r>
    </w:p>
    <w:p w14:paraId="05EC10B3" w14:textId="4BCE9466" w:rsidR="006A2FB8" w:rsidRPr="00E662A2" w:rsidRDefault="007665CD" w:rsidP="003C4FE7">
      <w:pPr>
        <w:pStyle w:val="DJCSbodyafterbullets"/>
        <w:numPr>
          <w:ilvl w:val="0"/>
          <w:numId w:val="33"/>
        </w:numPr>
      </w:pPr>
      <w:r w:rsidRPr="00C94DAD">
        <w:t>Increase</w:t>
      </w:r>
      <w:r w:rsidR="005710A0">
        <w:t>d</w:t>
      </w:r>
      <w:r w:rsidRPr="00C94DAD">
        <w:t xml:space="preserve"> the overall fee levels</w:t>
      </w:r>
      <w:r w:rsidR="00FE6746" w:rsidRPr="00C94DAD">
        <w:t xml:space="preserve"> to increase the level of fee cost recovery to </w:t>
      </w:r>
      <w:r w:rsidR="00C94DAD" w:rsidRPr="00703834">
        <w:t>1</w:t>
      </w:r>
      <w:r w:rsidR="00391CB2">
        <w:t>1</w:t>
      </w:r>
      <w:r w:rsidR="00165F08">
        <w:t>%</w:t>
      </w:r>
      <w:r w:rsidR="00FE6746" w:rsidRPr="00C94DAD">
        <w:t>.</w:t>
      </w:r>
    </w:p>
    <w:p w14:paraId="5512467B" w14:textId="2AF29B2C" w:rsidR="00CE5A2E" w:rsidRDefault="00461726" w:rsidP="003C4FE7">
      <w:pPr>
        <w:pStyle w:val="DJCSbodyafterbullets"/>
        <w:numPr>
          <w:ilvl w:val="0"/>
          <w:numId w:val="33"/>
        </w:numPr>
      </w:pPr>
      <w:r>
        <w:t xml:space="preserve">Introduce changes to the </w:t>
      </w:r>
      <w:r w:rsidR="000718C7">
        <w:t xml:space="preserve">VCAT </w:t>
      </w:r>
      <w:r>
        <w:t>fee structure including:</w:t>
      </w:r>
    </w:p>
    <w:p w14:paraId="6F329101" w14:textId="266DF8E8" w:rsidR="00461726" w:rsidRDefault="00461726" w:rsidP="003C4FE7">
      <w:pPr>
        <w:pStyle w:val="DJCSbodyafterbullets"/>
        <w:numPr>
          <w:ilvl w:val="0"/>
          <w:numId w:val="34"/>
        </w:numPr>
      </w:pPr>
      <w:r>
        <w:t>Expand</w:t>
      </w:r>
      <w:r w:rsidR="005710A0">
        <w:t>ed</w:t>
      </w:r>
      <w:r>
        <w:t xml:space="preserve"> waivers to include review of </w:t>
      </w:r>
      <w:r w:rsidR="00F44AD9">
        <w:t xml:space="preserve">FAS </w:t>
      </w:r>
      <w:r>
        <w:t>applications by victims of crime.</w:t>
      </w:r>
    </w:p>
    <w:p w14:paraId="01F1B7B2" w14:textId="3837A4F3" w:rsidR="00461726" w:rsidRDefault="00461726" w:rsidP="003C4FE7">
      <w:pPr>
        <w:pStyle w:val="DJCSbodyafterbullets"/>
        <w:numPr>
          <w:ilvl w:val="0"/>
          <w:numId w:val="34"/>
        </w:numPr>
      </w:pPr>
      <w:r>
        <w:t>Expand</w:t>
      </w:r>
      <w:r w:rsidR="005710A0">
        <w:t>ed</w:t>
      </w:r>
      <w:r>
        <w:t xml:space="preserve"> concession fee payer category to include pensioner concession card holders and some veteran gold card holders.</w:t>
      </w:r>
    </w:p>
    <w:p w14:paraId="3120E388" w14:textId="497F08A9" w:rsidR="00461726" w:rsidRDefault="00461726" w:rsidP="003C4FE7">
      <w:pPr>
        <w:pStyle w:val="DJCSbodyafterbullets"/>
        <w:numPr>
          <w:ilvl w:val="0"/>
          <w:numId w:val="34"/>
        </w:numPr>
      </w:pPr>
      <w:r>
        <w:t>Increa</w:t>
      </w:r>
      <w:r w:rsidR="005710A0">
        <w:t>sed</w:t>
      </w:r>
      <w:r>
        <w:t xml:space="preserve"> annual turnover threshold for businesses in the standard fee payer category from less than $200,000 </w:t>
      </w:r>
      <w:r w:rsidR="00FD1442">
        <w:t>excl. GST</w:t>
      </w:r>
      <w:r>
        <w:t xml:space="preserve"> to less than $300,000</w:t>
      </w:r>
      <w:r w:rsidR="00FD1442">
        <w:t xml:space="preserve"> excl.</w:t>
      </w:r>
      <w:r w:rsidR="001D7138">
        <w:t xml:space="preserve"> </w:t>
      </w:r>
      <w:r w:rsidR="00FD1442">
        <w:t>GST</w:t>
      </w:r>
      <w:r>
        <w:t>.</w:t>
      </w:r>
    </w:p>
    <w:p w14:paraId="55C5B744" w14:textId="36D86DD2" w:rsidR="00461726" w:rsidRDefault="00461726" w:rsidP="003C4FE7">
      <w:pPr>
        <w:pStyle w:val="DJCSbodyafterbullets"/>
        <w:numPr>
          <w:ilvl w:val="0"/>
          <w:numId w:val="34"/>
        </w:numPr>
      </w:pPr>
      <w:r>
        <w:t>Chang</w:t>
      </w:r>
      <w:r w:rsidR="005710A0">
        <w:t>ed</w:t>
      </w:r>
      <w:r>
        <w:t xml:space="preserve"> fee relativities between concession, standard and corporate fee payers from 35,</w:t>
      </w:r>
      <w:r w:rsidR="00F44AD9">
        <w:t xml:space="preserve"> </w:t>
      </w:r>
      <w:r>
        <w:t>70</w:t>
      </w:r>
      <w:r w:rsidR="00F44AD9">
        <w:t xml:space="preserve"> and </w:t>
      </w:r>
      <w:r>
        <w:t xml:space="preserve">100 to </w:t>
      </w:r>
      <w:r w:rsidR="00F476D7">
        <w:t>11</w:t>
      </w:r>
      <w:r>
        <w:t>,</w:t>
      </w:r>
      <w:r w:rsidR="00F44AD9">
        <w:t xml:space="preserve"> </w:t>
      </w:r>
      <w:r w:rsidR="00F476D7">
        <w:t>33</w:t>
      </w:r>
      <w:r>
        <w:t xml:space="preserve"> and </w:t>
      </w:r>
      <w:r w:rsidR="00F476D7">
        <w:t>1</w:t>
      </w:r>
      <w:r>
        <w:t>00.</w:t>
      </w:r>
    </w:p>
    <w:p w14:paraId="1D149AE6" w14:textId="04ED4C4C" w:rsidR="00461726" w:rsidRDefault="007E6D04" w:rsidP="003C4FE7">
      <w:pPr>
        <w:pStyle w:val="DJCSbodyafterbullets"/>
        <w:numPr>
          <w:ilvl w:val="0"/>
          <w:numId w:val="34"/>
        </w:numPr>
      </w:pPr>
      <w:r>
        <w:t>Introduced</w:t>
      </w:r>
      <w:r w:rsidR="00461726">
        <w:t xml:space="preserve"> separate fee</w:t>
      </w:r>
      <w:r w:rsidR="00B45CEA">
        <w:t>s</w:t>
      </w:r>
      <w:r w:rsidR="00461726">
        <w:t xml:space="preserve"> for compulsory conferencing </w:t>
      </w:r>
      <w:r w:rsidR="00B45CEA">
        <w:t>and mediation</w:t>
      </w:r>
      <w:r w:rsidR="00461726">
        <w:t xml:space="preserve"> instead of block funding as part of the application fee.</w:t>
      </w:r>
    </w:p>
    <w:p w14:paraId="2DEA4F31" w14:textId="2B7E0EE8" w:rsidR="00F17CF4" w:rsidRDefault="00F17CF4" w:rsidP="003C4FE7">
      <w:pPr>
        <w:pStyle w:val="DJCSbodyafterbullets"/>
        <w:numPr>
          <w:ilvl w:val="0"/>
          <w:numId w:val="34"/>
        </w:numPr>
      </w:pPr>
      <w:r>
        <w:t>Amend</w:t>
      </w:r>
      <w:r w:rsidR="005710A0">
        <w:t>ed</w:t>
      </w:r>
      <w:r>
        <w:t xml:space="preserve"> fee for injunctions to include non-urgent injunctions and stays.</w:t>
      </w:r>
    </w:p>
    <w:p w14:paraId="0244EC81" w14:textId="316F257C" w:rsidR="00F17CF4" w:rsidRDefault="00F17CF4" w:rsidP="003C4FE7">
      <w:pPr>
        <w:pStyle w:val="DJCSbodyafterbullets"/>
        <w:numPr>
          <w:ilvl w:val="0"/>
          <w:numId w:val="34"/>
        </w:numPr>
      </w:pPr>
      <w:r>
        <w:t>Amend</w:t>
      </w:r>
      <w:r w:rsidR="005710A0">
        <w:t>ed</w:t>
      </w:r>
      <w:r w:rsidR="00E32432">
        <w:t xml:space="preserve"> </w:t>
      </w:r>
      <w:r>
        <w:t>hearing fee</w:t>
      </w:r>
      <w:r w:rsidR="00E32432">
        <w:t>s</w:t>
      </w:r>
      <w:r>
        <w:t xml:space="preserve"> so that fees can be collected for directions hearings and practice day hearings.</w:t>
      </w:r>
    </w:p>
    <w:p w14:paraId="3A873250" w14:textId="1E94AAB2" w:rsidR="00461726" w:rsidRDefault="00461726" w:rsidP="003C4FE7">
      <w:pPr>
        <w:pStyle w:val="DJCSbodyafterbullets"/>
        <w:numPr>
          <w:ilvl w:val="0"/>
          <w:numId w:val="34"/>
        </w:numPr>
      </w:pPr>
      <w:r>
        <w:t>Reorganis</w:t>
      </w:r>
      <w:r w:rsidR="00E32432">
        <w:t>ed</w:t>
      </w:r>
      <w:r>
        <w:t xml:space="preserve"> fees so that those fees that are administrative in nature are organised in one separate part </w:t>
      </w:r>
      <w:r w:rsidR="001109B9">
        <w:t xml:space="preserve">of </w:t>
      </w:r>
      <w:r>
        <w:t>the fee schedule.</w:t>
      </w:r>
    </w:p>
    <w:p w14:paraId="6FA1E8D9" w14:textId="0B790C9C" w:rsidR="00461726" w:rsidRDefault="00461726" w:rsidP="003C4FE7">
      <w:pPr>
        <w:pStyle w:val="DJCSbodyafterbullets"/>
        <w:numPr>
          <w:ilvl w:val="0"/>
          <w:numId w:val="34"/>
        </w:numPr>
      </w:pPr>
      <w:r>
        <w:t>Remov</w:t>
      </w:r>
      <w:r w:rsidR="00E32432">
        <w:t>ed</w:t>
      </w:r>
      <w:r>
        <w:t xml:space="preserve"> transfer fee for transferring applications from other jurisdictions.</w:t>
      </w:r>
    </w:p>
    <w:p w14:paraId="346D2062" w14:textId="6A15493F" w:rsidR="009D5246" w:rsidRDefault="00E32432" w:rsidP="003C4FE7">
      <w:pPr>
        <w:pStyle w:val="DJCSbodyafterbullets"/>
        <w:numPr>
          <w:ilvl w:val="0"/>
          <w:numId w:val="34"/>
        </w:numPr>
      </w:pPr>
      <w:r>
        <w:t>O</w:t>
      </w:r>
      <w:r w:rsidR="00461726">
        <w:t>ther amendments to the regulations to ensure consistency with legislative and other operational changes.</w:t>
      </w:r>
    </w:p>
    <w:p w14:paraId="65DACDB6" w14:textId="48653326" w:rsidR="0070153A" w:rsidRDefault="0070153A" w:rsidP="00FA0CF5">
      <w:pPr>
        <w:pStyle w:val="DJCSbodyafterbullets"/>
        <w:ind w:left="680"/>
      </w:pPr>
      <w:r>
        <w:t xml:space="preserve">The proposed fees and charges (including a comparison of existing and proposed fees) </w:t>
      </w:r>
      <w:r w:rsidR="00C266C8">
        <w:t xml:space="preserve">are </w:t>
      </w:r>
      <w:r>
        <w:t xml:space="preserve">included in </w:t>
      </w:r>
      <w:hyperlink w:anchor="_Appendix_C" w:history="1">
        <w:r w:rsidRPr="00531A2E">
          <w:rPr>
            <w:rStyle w:val="Hyperlink"/>
          </w:rPr>
          <w:t xml:space="preserve">Appendix </w:t>
        </w:r>
        <w:r w:rsidR="00531A2E" w:rsidRPr="001761B8">
          <w:rPr>
            <w:rStyle w:val="Hyperlink"/>
          </w:rPr>
          <w:t>C</w:t>
        </w:r>
        <w:r w:rsidRPr="00531A2E">
          <w:rPr>
            <w:rStyle w:val="Hyperlink"/>
          </w:rPr>
          <w:t>.</w:t>
        </w:r>
      </w:hyperlink>
    </w:p>
    <w:p w14:paraId="12EC8299" w14:textId="4CBCD452" w:rsidR="00E12408" w:rsidRDefault="00E12408" w:rsidP="00E12408">
      <w:pPr>
        <w:pStyle w:val="Heading2"/>
      </w:pPr>
      <w:bookmarkStart w:id="117" w:name="_Toc216179723"/>
      <w:r>
        <w:t xml:space="preserve">Impacts of the </w:t>
      </w:r>
      <w:r w:rsidR="00160AE4">
        <w:t>p</w:t>
      </w:r>
      <w:r>
        <w:t xml:space="preserve">referred </w:t>
      </w:r>
      <w:r w:rsidR="00160AE4">
        <w:t>o</w:t>
      </w:r>
      <w:r>
        <w:t>ption</w:t>
      </w:r>
      <w:bookmarkEnd w:id="117"/>
    </w:p>
    <w:p w14:paraId="157367F0" w14:textId="229EEBC1" w:rsidR="002B67B1" w:rsidRDefault="00416BC4" w:rsidP="002B67B1">
      <w:pPr>
        <w:pStyle w:val="DJCSbodyafterbullets"/>
        <w:ind w:left="680"/>
      </w:pPr>
      <w:r>
        <w:t>The changes to the fee structure</w:t>
      </w:r>
      <w:r w:rsidR="009A00E9">
        <w:t xml:space="preserve"> and the fee level</w:t>
      </w:r>
      <w:r w:rsidR="00186470">
        <w:t xml:space="preserve"> in Option 3 </w:t>
      </w:r>
      <w:r w:rsidR="002B67B1">
        <w:t xml:space="preserve">results in </w:t>
      </w:r>
      <w:r w:rsidR="00323D15">
        <w:t>several</w:t>
      </w:r>
      <w:r w:rsidR="002B67B1">
        <w:t xml:space="preserve"> impacts for VCAT and VCAT users</w:t>
      </w:r>
      <w:r w:rsidR="0000634F">
        <w:t>:</w:t>
      </w:r>
    </w:p>
    <w:p w14:paraId="225CC3E0" w14:textId="4EF7191A" w:rsidR="002B67B1" w:rsidRDefault="00383E86" w:rsidP="003C4FE7">
      <w:pPr>
        <w:pStyle w:val="DJCSbodyafterbullets"/>
        <w:numPr>
          <w:ilvl w:val="0"/>
          <w:numId w:val="32"/>
        </w:numPr>
      </w:pPr>
      <w:r>
        <w:t xml:space="preserve">Increased fee levels and </w:t>
      </w:r>
      <w:r w:rsidR="005420D1">
        <w:t xml:space="preserve">an increase in overall cost recovery will help </w:t>
      </w:r>
      <w:r w:rsidR="00F1657C">
        <w:t xml:space="preserve">VCAT meet underlying demand for services and reduce </w:t>
      </w:r>
      <w:r w:rsidR="009F4C3A">
        <w:t xml:space="preserve">backlogs or delays associated with </w:t>
      </w:r>
      <w:r w:rsidR="005C4859">
        <w:t>underfunded service</w:t>
      </w:r>
      <w:r w:rsidR="00BC6D62">
        <w:t>s</w:t>
      </w:r>
      <w:r w:rsidR="005C4859">
        <w:t xml:space="preserve">. </w:t>
      </w:r>
      <w:r w:rsidR="00EC6CDD">
        <w:t xml:space="preserve">It also </w:t>
      </w:r>
      <w:r w:rsidR="00C266C8">
        <w:t>reduces</w:t>
      </w:r>
      <w:r w:rsidR="00EC6CDD">
        <w:t xml:space="preserve"> VCAT</w:t>
      </w:r>
      <w:r w:rsidR="00C266C8">
        <w:t>’s</w:t>
      </w:r>
      <w:r w:rsidR="00EC6CDD">
        <w:t xml:space="preserve"> </w:t>
      </w:r>
      <w:r w:rsidR="00C266C8">
        <w:t xml:space="preserve">reliance </w:t>
      </w:r>
      <w:r w:rsidR="00EC6CDD">
        <w:t>on funding from other services.</w:t>
      </w:r>
    </w:p>
    <w:p w14:paraId="4A72D2D6" w14:textId="03549CA7" w:rsidR="00186470" w:rsidRDefault="00186470" w:rsidP="003C4FE7">
      <w:pPr>
        <w:pStyle w:val="DJCSbodyafterbullets"/>
        <w:numPr>
          <w:ilvl w:val="0"/>
          <w:numId w:val="32"/>
        </w:numPr>
      </w:pPr>
      <w:r>
        <w:t xml:space="preserve">For corporate fee payers </w:t>
      </w:r>
      <w:r w:rsidR="00584167">
        <w:t xml:space="preserve">with a turnover of $300,000 </w:t>
      </w:r>
      <w:r w:rsidR="00FD1442">
        <w:t>excl. GST</w:t>
      </w:r>
      <w:r w:rsidR="00584167">
        <w:t xml:space="preserve"> or more</w:t>
      </w:r>
      <w:r w:rsidR="00815525">
        <w:t>, rates will increase the most compared to standard and concession fee payers. Th</w:t>
      </w:r>
      <w:r w:rsidR="00E11177">
        <w:t xml:space="preserve">is provides </w:t>
      </w:r>
      <w:r w:rsidR="006C4708">
        <w:t xml:space="preserve">corporate fee payers </w:t>
      </w:r>
      <w:r w:rsidR="00E11177">
        <w:t>with a disincentive to</w:t>
      </w:r>
      <w:r w:rsidR="006B1F01">
        <w:t xml:space="preserve"> utilise VCAT services compared to the Base Case</w:t>
      </w:r>
      <w:r w:rsidR="00D532F1">
        <w:t xml:space="preserve">. </w:t>
      </w:r>
      <w:r w:rsidR="00BC6D62">
        <w:t>This</w:t>
      </w:r>
      <w:r w:rsidR="00D532F1">
        <w:t xml:space="preserve"> will encourage </w:t>
      </w:r>
      <w:r w:rsidR="00B94AE5">
        <w:t>corporate fee payers to pursue dispute resolution earlier to reduce their fee costs.</w:t>
      </w:r>
    </w:p>
    <w:p w14:paraId="0DF13DFE" w14:textId="6B7E83D2" w:rsidR="00B94AE5" w:rsidRDefault="00607735" w:rsidP="003C4FE7">
      <w:pPr>
        <w:pStyle w:val="DJCSbodyafterbullets"/>
        <w:numPr>
          <w:ilvl w:val="0"/>
          <w:numId w:val="31"/>
        </w:numPr>
      </w:pPr>
      <w:r>
        <w:t>P</w:t>
      </w:r>
      <w:r w:rsidR="00182897">
        <w:t>ensioners a</w:t>
      </w:r>
      <w:r w:rsidR="000C3885">
        <w:t xml:space="preserve">nd veteran gold card holders will have access to the concession fee tier </w:t>
      </w:r>
      <w:r w:rsidR="00263A33">
        <w:t xml:space="preserve">and will </w:t>
      </w:r>
      <w:r w:rsidR="00EB3E2A">
        <w:t xml:space="preserve">therefore </w:t>
      </w:r>
      <w:r w:rsidR="007E77D7">
        <w:t>pay</w:t>
      </w:r>
      <w:r w:rsidR="00263A33">
        <w:t xml:space="preserve"> lower fees than under the Base Case. This may increase demand for VCAT services </w:t>
      </w:r>
      <w:r w:rsidR="007E77D7">
        <w:t xml:space="preserve">by </w:t>
      </w:r>
      <w:r w:rsidR="00263A33">
        <w:t>these groups as it lowers the</w:t>
      </w:r>
      <w:r w:rsidR="00535C8C">
        <w:t xml:space="preserve"> barriers to accessing services. This will result </w:t>
      </w:r>
      <w:r w:rsidR="00323D15">
        <w:t xml:space="preserve">in </w:t>
      </w:r>
      <w:r w:rsidR="00CA7C6F">
        <w:t xml:space="preserve">additional private benefits </w:t>
      </w:r>
      <w:r w:rsidR="00723164">
        <w:t xml:space="preserve">to those users </w:t>
      </w:r>
      <w:r w:rsidR="007B4428">
        <w:t>as well as public benefits to the broader community</w:t>
      </w:r>
      <w:r w:rsidR="00EB3E2A">
        <w:t>.</w:t>
      </w:r>
      <w:r w:rsidR="00D87EE7">
        <w:t xml:space="preserve"> </w:t>
      </w:r>
      <w:r w:rsidR="00EB3E2A">
        <w:t>However, this</w:t>
      </w:r>
      <w:r w:rsidR="00D87EE7">
        <w:t xml:space="preserve"> may also place additional administrative demands on VCAT in managing parties who are unfamiliar with VCAT processes</w:t>
      </w:r>
      <w:r w:rsidR="005A5444">
        <w:t xml:space="preserve"> and are not legally represented</w:t>
      </w:r>
      <w:r w:rsidR="007B4428">
        <w:t>.</w:t>
      </w:r>
    </w:p>
    <w:p w14:paraId="3FD9FB2E" w14:textId="0D0A7F33" w:rsidR="000C6313" w:rsidRDefault="0068028C" w:rsidP="003C4FE7">
      <w:pPr>
        <w:pStyle w:val="DJCSbodyafterbullets"/>
        <w:numPr>
          <w:ilvl w:val="0"/>
          <w:numId w:val="31"/>
        </w:numPr>
      </w:pPr>
      <w:r>
        <w:t xml:space="preserve">The </w:t>
      </w:r>
      <w:r w:rsidR="009B29BC">
        <w:t>administrative burden</w:t>
      </w:r>
      <w:r>
        <w:t xml:space="preserve"> of </w:t>
      </w:r>
      <w:r w:rsidR="005A5444">
        <w:t xml:space="preserve">complying with </w:t>
      </w:r>
      <w:r>
        <w:t xml:space="preserve">the </w:t>
      </w:r>
      <w:r w:rsidR="005A5444">
        <w:t xml:space="preserve">proposed </w:t>
      </w:r>
      <w:r w:rsidR="00323D15">
        <w:t>R</w:t>
      </w:r>
      <w:r>
        <w:t xml:space="preserve">egulations will increase for VCAT and be marginally more difficult for </w:t>
      </w:r>
      <w:r w:rsidR="00C52AC6">
        <w:t xml:space="preserve">VCAT users. </w:t>
      </w:r>
      <w:r w:rsidR="000C6313">
        <w:t>This results from adding additional fees that need to be administered and paid including the compulsory conferencing fees.</w:t>
      </w:r>
    </w:p>
    <w:p w14:paraId="23C941F4" w14:textId="48D8968B" w:rsidR="00F811CA" w:rsidRDefault="00D76961" w:rsidP="00703834">
      <w:pPr>
        <w:pStyle w:val="DJCSbodyafterbullets"/>
        <w:ind w:left="709"/>
      </w:pPr>
      <w:r>
        <w:lastRenderedPageBreak/>
        <w:t>C</w:t>
      </w:r>
      <w:r w:rsidR="00F811CA">
        <w:t>hange</w:t>
      </w:r>
      <w:r>
        <w:t>s</w:t>
      </w:r>
      <w:r w:rsidR="00F811CA">
        <w:t xml:space="preserve"> </w:t>
      </w:r>
      <w:r>
        <w:t>to</w:t>
      </w:r>
      <w:r w:rsidR="006F39D1">
        <w:t xml:space="preserve"> individual fee levels from </w:t>
      </w:r>
      <w:r w:rsidR="00532649">
        <w:t xml:space="preserve">the </w:t>
      </w:r>
      <w:r w:rsidR="008E5EF7">
        <w:t>R</w:t>
      </w:r>
      <w:r w:rsidR="00532649">
        <w:t xml:space="preserve">egulations to the proposed </w:t>
      </w:r>
      <w:r w:rsidR="005A5444">
        <w:t xml:space="preserve">Regulations </w:t>
      </w:r>
      <w:r w:rsidR="0054529D">
        <w:t xml:space="preserve">are outlined in </w:t>
      </w:r>
      <w:hyperlink w:anchor="_Appendix_F_–" w:history="1">
        <w:r w:rsidR="00532649" w:rsidRPr="00CB3DE4">
          <w:rPr>
            <w:rStyle w:val="Hyperlink"/>
          </w:rPr>
          <w:t xml:space="preserve">Appendix </w:t>
        </w:r>
        <w:r w:rsidR="00AF5732" w:rsidRPr="00CB3DE4">
          <w:rPr>
            <w:rStyle w:val="Hyperlink"/>
          </w:rPr>
          <w:t>F</w:t>
        </w:r>
      </w:hyperlink>
      <w:r w:rsidR="00532649">
        <w:t>.</w:t>
      </w:r>
      <w:r w:rsidR="00CB3DE4">
        <w:t xml:space="preserve"> </w:t>
      </w:r>
      <w:r>
        <w:t>The</w:t>
      </w:r>
      <w:r w:rsidR="0083654F">
        <w:t xml:space="preserve"> impact on fee </w:t>
      </w:r>
      <w:r w:rsidR="00E91602">
        <w:t xml:space="preserve">revenue by fee payer category </w:t>
      </w:r>
      <w:r w:rsidR="0083654F">
        <w:t>is</w:t>
      </w:r>
      <w:r w:rsidR="00E91602">
        <w:t xml:space="preserve"> outlined below:</w:t>
      </w:r>
    </w:p>
    <w:p w14:paraId="34B015E7" w14:textId="24362009" w:rsidR="00830BA9" w:rsidRPr="00DE66C2" w:rsidRDefault="00830BA9" w:rsidP="00830BA9">
      <w:pPr>
        <w:pStyle w:val="DJCStablecaption"/>
        <w:ind w:left="709"/>
      </w:pPr>
      <w:r w:rsidRPr="00DE66C2">
        <w:t xml:space="preserve">Table 21: </w:t>
      </w:r>
      <w:r w:rsidR="00DB0E96" w:rsidRPr="00DE66C2">
        <w:t xml:space="preserve">Impact on </w:t>
      </w:r>
      <w:r w:rsidR="00794596" w:rsidRPr="00DE66C2">
        <w:t xml:space="preserve">Proportion of </w:t>
      </w:r>
      <w:r w:rsidR="00DB0E96" w:rsidRPr="00DE66C2">
        <w:t>Fee Revenue Collected by Fee Payer Category</w:t>
      </w:r>
    </w:p>
    <w:tbl>
      <w:tblPr>
        <w:tblW w:w="8490" w:type="dxa"/>
        <w:jc w:val="center"/>
        <w:tblLook w:val="04A0" w:firstRow="1" w:lastRow="0" w:firstColumn="1" w:lastColumn="0" w:noHBand="0" w:noVBand="1"/>
      </w:tblPr>
      <w:tblGrid>
        <w:gridCol w:w="2689"/>
        <w:gridCol w:w="2976"/>
        <w:gridCol w:w="2825"/>
      </w:tblGrid>
      <w:tr w:rsidR="00E265CF" w:rsidRPr="00FB618A" w14:paraId="0C7B81C9" w14:textId="77777777" w:rsidTr="00607653">
        <w:trPr>
          <w:trHeight w:val="859"/>
          <w:jc w:val="center"/>
        </w:trPr>
        <w:tc>
          <w:tcPr>
            <w:tcW w:w="2689" w:type="dxa"/>
            <w:tcBorders>
              <w:top w:val="single" w:sz="4" w:space="0" w:color="auto"/>
              <w:left w:val="single" w:sz="4" w:space="0" w:color="auto"/>
              <w:bottom w:val="nil"/>
              <w:right w:val="single" w:sz="4" w:space="0" w:color="auto"/>
            </w:tcBorders>
            <w:shd w:val="clear" w:color="000000" w:fill="002060"/>
            <w:vAlign w:val="center"/>
            <w:hideMark/>
          </w:tcPr>
          <w:p w14:paraId="6FDFD3BB" w14:textId="77777777" w:rsidR="00794596" w:rsidRPr="00DE66C2" w:rsidRDefault="00794596" w:rsidP="00E91602">
            <w:pPr>
              <w:jc w:val="center"/>
              <w:rPr>
                <w:rFonts w:ascii="Aptos Narrow" w:hAnsi="Aptos Narrow"/>
                <w:b/>
                <w:color w:val="FFFFFF"/>
                <w:sz w:val="24"/>
                <w:szCs w:val="24"/>
                <w:lang w:eastAsia="ko-KR"/>
              </w:rPr>
            </w:pPr>
            <w:r w:rsidRPr="00DE66C2">
              <w:rPr>
                <w:rFonts w:ascii="Aptos Narrow" w:hAnsi="Aptos Narrow"/>
                <w:b/>
                <w:color w:val="FFFFFF"/>
                <w:sz w:val="24"/>
                <w:szCs w:val="24"/>
                <w:lang w:eastAsia="ko-KR"/>
              </w:rPr>
              <w:t>Fee Payer Type</w:t>
            </w:r>
          </w:p>
        </w:tc>
        <w:tc>
          <w:tcPr>
            <w:tcW w:w="2976" w:type="dxa"/>
            <w:tcBorders>
              <w:top w:val="single" w:sz="4" w:space="0" w:color="auto"/>
              <w:left w:val="nil"/>
              <w:bottom w:val="nil"/>
              <w:right w:val="single" w:sz="4" w:space="0" w:color="auto"/>
            </w:tcBorders>
            <w:shd w:val="clear" w:color="000000" w:fill="002060"/>
            <w:vAlign w:val="center"/>
            <w:hideMark/>
          </w:tcPr>
          <w:p w14:paraId="37010354" w14:textId="77777777" w:rsidR="00794596" w:rsidRPr="00DE66C2" w:rsidRDefault="00794596" w:rsidP="00E91602">
            <w:pPr>
              <w:jc w:val="center"/>
              <w:rPr>
                <w:rFonts w:ascii="Aptos Narrow" w:hAnsi="Aptos Narrow"/>
                <w:b/>
                <w:color w:val="FFFFFF"/>
                <w:sz w:val="24"/>
                <w:szCs w:val="24"/>
                <w:lang w:eastAsia="ko-KR"/>
              </w:rPr>
            </w:pPr>
            <w:r w:rsidRPr="00DE66C2">
              <w:rPr>
                <w:rFonts w:ascii="Aptos Narrow" w:hAnsi="Aptos Narrow"/>
                <w:b/>
                <w:color w:val="FFFFFF"/>
                <w:sz w:val="24"/>
                <w:szCs w:val="24"/>
                <w:lang w:eastAsia="ko-KR"/>
              </w:rPr>
              <w:t>% Total Revenue</w:t>
            </w:r>
          </w:p>
          <w:p w14:paraId="1058A0F3" w14:textId="18559B73" w:rsidR="00794596" w:rsidRPr="00DE66C2" w:rsidRDefault="008E0357" w:rsidP="00E91602">
            <w:pPr>
              <w:jc w:val="center"/>
              <w:rPr>
                <w:rFonts w:ascii="Aptos Narrow" w:hAnsi="Aptos Narrow"/>
                <w:b/>
                <w:color w:val="FFFFFF"/>
                <w:sz w:val="24"/>
                <w:szCs w:val="24"/>
                <w:lang w:eastAsia="ko-KR"/>
              </w:rPr>
            </w:pPr>
            <w:r w:rsidRPr="00DE66C2">
              <w:rPr>
                <w:rFonts w:ascii="Aptos Narrow" w:hAnsi="Aptos Narrow"/>
                <w:b/>
                <w:color w:val="FFFFFF"/>
                <w:sz w:val="24"/>
                <w:szCs w:val="24"/>
                <w:lang w:eastAsia="ko-KR"/>
              </w:rPr>
              <w:t>2016 Regulations</w:t>
            </w:r>
          </w:p>
        </w:tc>
        <w:tc>
          <w:tcPr>
            <w:tcW w:w="2825" w:type="dxa"/>
            <w:tcBorders>
              <w:top w:val="single" w:sz="4" w:space="0" w:color="auto"/>
              <w:left w:val="nil"/>
              <w:bottom w:val="nil"/>
              <w:right w:val="single" w:sz="4" w:space="0" w:color="auto"/>
            </w:tcBorders>
            <w:shd w:val="clear" w:color="000000" w:fill="002060"/>
            <w:vAlign w:val="center"/>
            <w:hideMark/>
          </w:tcPr>
          <w:p w14:paraId="5AEACBB7" w14:textId="77777777" w:rsidR="00794596" w:rsidRPr="00DE66C2" w:rsidRDefault="00794596" w:rsidP="00E91602">
            <w:pPr>
              <w:jc w:val="center"/>
              <w:rPr>
                <w:rFonts w:ascii="Aptos Narrow" w:hAnsi="Aptos Narrow"/>
                <w:b/>
                <w:color w:val="FFFFFF"/>
                <w:sz w:val="24"/>
                <w:szCs w:val="24"/>
                <w:lang w:eastAsia="ko-KR"/>
              </w:rPr>
            </w:pPr>
            <w:r w:rsidRPr="00DE66C2">
              <w:rPr>
                <w:rFonts w:ascii="Aptos Narrow" w:hAnsi="Aptos Narrow"/>
                <w:b/>
                <w:color w:val="FFFFFF"/>
                <w:sz w:val="24"/>
                <w:szCs w:val="24"/>
                <w:lang w:eastAsia="ko-KR"/>
              </w:rPr>
              <w:t>% Total Revenue</w:t>
            </w:r>
          </w:p>
          <w:p w14:paraId="68D9F43C" w14:textId="7E89336B" w:rsidR="00794596" w:rsidRPr="00DE66C2" w:rsidRDefault="00607653" w:rsidP="00E91602">
            <w:pPr>
              <w:jc w:val="center"/>
              <w:rPr>
                <w:rFonts w:ascii="Aptos Narrow" w:hAnsi="Aptos Narrow"/>
                <w:b/>
                <w:color w:val="FFFFFF"/>
                <w:sz w:val="24"/>
                <w:szCs w:val="24"/>
                <w:lang w:eastAsia="ko-KR"/>
              </w:rPr>
            </w:pPr>
            <w:r w:rsidRPr="00DE66C2">
              <w:rPr>
                <w:rFonts w:ascii="Aptos Narrow" w:hAnsi="Aptos Narrow"/>
                <w:b/>
                <w:color w:val="FFFFFF"/>
                <w:sz w:val="24"/>
                <w:szCs w:val="24"/>
                <w:lang w:eastAsia="ko-KR"/>
              </w:rPr>
              <w:t>Proposed Regulations</w:t>
            </w:r>
          </w:p>
        </w:tc>
      </w:tr>
      <w:tr w:rsidR="005A6D63" w:rsidRPr="00FB618A" w14:paraId="47F76808" w14:textId="77777777" w:rsidTr="00607653">
        <w:trPr>
          <w:trHeight w:val="324"/>
          <w:jc w:val="center"/>
        </w:trPr>
        <w:tc>
          <w:tcPr>
            <w:tcW w:w="2689" w:type="dxa"/>
            <w:tcBorders>
              <w:top w:val="nil"/>
              <w:left w:val="single" w:sz="4" w:space="0" w:color="auto"/>
              <w:bottom w:val="nil"/>
              <w:right w:val="single" w:sz="4" w:space="0" w:color="auto"/>
            </w:tcBorders>
            <w:noWrap/>
            <w:vAlign w:val="bottom"/>
            <w:hideMark/>
          </w:tcPr>
          <w:p w14:paraId="792EA347"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Concession</w:t>
            </w:r>
          </w:p>
        </w:tc>
        <w:tc>
          <w:tcPr>
            <w:tcW w:w="2976" w:type="dxa"/>
            <w:tcBorders>
              <w:top w:val="nil"/>
              <w:left w:val="nil"/>
              <w:bottom w:val="nil"/>
              <w:right w:val="single" w:sz="4" w:space="0" w:color="auto"/>
            </w:tcBorders>
            <w:noWrap/>
            <w:vAlign w:val="bottom"/>
            <w:hideMark/>
          </w:tcPr>
          <w:p w14:paraId="26F8AE7D"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0.7%</w:t>
            </w:r>
          </w:p>
        </w:tc>
        <w:tc>
          <w:tcPr>
            <w:tcW w:w="2825" w:type="dxa"/>
            <w:tcBorders>
              <w:top w:val="nil"/>
              <w:left w:val="nil"/>
              <w:bottom w:val="nil"/>
              <w:right w:val="single" w:sz="4" w:space="0" w:color="auto"/>
            </w:tcBorders>
            <w:noWrap/>
            <w:vAlign w:val="bottom"/>
            <w:hideMark/>
          </w:tcPr>
          <w:p w14:paraId="254AF721"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1.4%</w:t>
            </w:r>
          </w:p>
        </w:tc>
      </w:tr>
      <w:tr w:rsidR="00E265CF" w:rsidRPr="00FB618A" w14:paraId="38F793F3" w14:textId="77777777" w:rsidTr="00607653">
        <w:trPr>
          <w:trHeight w:val="324"/>
          <w:jc w:val="center"/>
        </w:trPr>
        <w:tc>
          <w:tcPr>
            <w:tcW w:w="2689" w:type="dxa"/>
            <w:tcBorders>
              <w:top w:val="nil"/>
              <w:left w:val="single" w:sz="4" w:space="0" w:color="auto"/>
              <w:bottom w:val="nil"/>
              <w:right w:val="single" w:sz="4" w:space="0" w:color="auto"/>
            </w:tcBorders>
            <w:shd w:val="clear" w:color="000000" w:fill="F2F2F2"/>
            <w:noWrap/>
            <w:vAlign w:val="bottom"/>
            <w:hideMark/>
          </w:tcPr>
          <w:p w14:paraId="795ED9D6"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Standard</w:t>
            </w:r>
          </w:p>
        </w:tc>
        <w:tc>
          <w:tcPr>
            <w:tcW w:w="2976" w:type="dxa"/>
            <w:tcBorders>
              <w:top w:val="nil"/>
              <w:left w:val="nil"/>
              <w:bottom w:val="nil"/>
              <w:right w:val="single" w:sz="4" w:space="0" w:color="auto"/>
            </w:tcBorders>
            <w:shd w:val="clear" w:color="000000" w:fill="F2F2F2"/>
            <w:noWrap/>
            <w:vAlign w:val="bottom"/>
            <w:hideMark/>
          </w:tcPr>
          <w:p w14:paraId="648FBA8D"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56.4%</w:t>
            </w:r>
          </w:p>
        </w:tc>
        <w:tc>
          <w:tcPr>
            <w:tcW w:w="2825" w:type="dxa"/>
            <w:tcBorders>
              <w:top w:val="nil"/>
              <w:left w:val="nil"/>
              <w:bottom w:val="nil"/>
              <w:right w:val="single" w:sz="4" w:space="0" w:color="auto"/>
            </w:tcBorders>
            <w:shd w:val="clear" w:color="000000" w:fill="F2F2F2"/>
            <w:noWrap/>
            <w:vAlign w:val="bottom"/>
            <w:hideMark/>
          </w:tcPr>
          <w:p w14:paraId="5CFEE081"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48.1%</w:t>
            </w:r>
          </w:p>
        </w:tc>
      </w:tr>
      <w:tr w:rsidR="005A6D63" w:rsidRPr="00FB618A" w14:paraId="77AF966A" w14:textId="77777777" w:rsidTr="00607653">
        <w:trPr>
          <w:trHeight w:val="324"/>
          <w:jc w:val="center"/>
        </w:trPr>
        <w:tc>
          <w:tcPr>
            <w:tcW w:w="2689" w:type="dxa"/>
            <w:tcBorders>
              <w:top w:val="nil"/>
              <w:left w:val="single" w:sz="4" w:space="0" w:color="auto"/>
              <w:bottom w:val="nil"/>
              <w:right w:val="single" w:sz="4" w:space="0" w:color="auto"/>
            </w:tcBorders>
            <w:noWrap/>
            <w:vAlign w:val="bottom"/>
            <w:hideMark/>
          </w:tcPr>
          <w:p w14:paraId="0CF39803"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Corporate</w:t>
            </w:r>
          </w:p>
        </w:tc>
        <w:tc>
          <w:tcPr>
            <w:tcW w:w="2976" w:type="dxa"/>
            <w:tcBorders>
              <w:top w:val="nil"/>
              <w:left w:val="nil"/>
              <w:bottom w:val="nil"/>
              <w:right w:val="single" w:sz="4" w:space="0" w:color="auto"/>
            </w:tcBorders>
            <w:noWrap/>
            <w:vAlign w:val="bottom"/>
            <w:hideMark/>
          </w:tcPr>
          <w:p w14:paraId="4FB9934F"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43.0%</w:t>
            </w:r>
          </w:p>
        </w:tc>
        <w:tc>
          <w:tcPr>
            <w:tcW w:w="2825" w:type="dxa"/>
            <w:tcBorders>
              <w:top w:val="nil"/>
              <w:left w:val="nil"/>
              <w:bottom w:val="nil"/>
              <w:right w:val="single" w:sz="4" w:space="0" w:color="auto"/>
            </w:tcBorders>
            <w:noWrap/>
            <w:vAlign w:val="bottom"/>
            <w:hideMark/>
          </w:tcPr>
          <w:p w14:paraId="65AB4CD6" w14:textId="77777777" w:rsidR="00794596" w:rsidRPr="00DE66C2" w:rsidRDefault="00794596" w:rsidP="00E91602">
            <w:pPr>
              <w:jc w:val="center"/>
              <w:rPr>
                <w:rFonts w:ascii="Aptos Narrow" w:hAnsi="Aptos Narrow"/>
                <w:color w:val="000000"/>
                <w:sz w:val="22"/>
                <w:szCs w:val="22"/>
                <w:lang w:eastAsia="ko-KR"/>
              </w:rPr>
            </w:pPr>
            <w:r w:rsidRPr="00DE66C2">
              <w:rPr>
                <w:rFonts w:ascii="Aptos Narrow" w:hAnsi="Aptos Narrow"/>
                <w:color w:val="000000"/>
                <w:sz w:val="22"/>
                <w:szCs w:val="22"/>
                <w:lang w:eastAsia="ko-KR"/>
              </w:rPr>
              <w:t>50.5%</w:t>
            </w:r>
          </w:p>
        </w:tc>
      </w:tr>
      <w:tr w:rsidR="00E265CF" w:rsidRPr="00FB618A" w14:paraId="5895F461" w14:textId="77777777" w:rsidTr="00607653">
        <w:trPr>
          <w:trHeight w:val="324"/>
          <w:jc w:val="center"/>
        </w:trPr>
        <w:tc>
          <w:tcPr>
            <w:tcW w:w="2689" w:type="dxa"/>
            <w:tcBorders>
              <w:top w:val="nil"/>
              <w:left w:val="single" w:sz="4" w:space="0" w:color="auto"/>
              <w:bottom w:val="single" w:sz="4" w:space="0" w:color="auto"/>
              <w:right w:val="single" w:sz="4" w:space="0" w:color="auto"/>
            </w:tcBorders>
            <w:shd w:val="clear" w:color="000000" w:fill="F2F2F2"/>
            <w:noWrap/>
            <w:vAlign w:val="bottom"/>
            <w:hideMark/>
          </w:tcPr>
          <w:p w14:paraId="262A5732" w14:textId="77777777" w:rsidR="00794596" w:rsidRPr="00DE66C2" w:rsidRDefault="00794596" w:rsidP="00E91602">
            <w:pPr>
              <w:jc w:val="center"/>
              <w:rPr>
                <w:rFonts w:ascii="Aptos Narrow" w:hAnsi="Aptos Narrow"/>
                <w:b/>
                <w:color w:val="000000"/>
                <w:sz w:val="22"/>
                <w:szCs w:val="22"/>
                <w:lang w:eastAsia="ko-KR"/>
              </w:rPr>
            </w:pPr>
            <w:r w:rsidRPr="00DE66C2">
              <w:rPr>
                <w:rFonts w:ascii="Aptos Narrow" w:hAnsi="Aptos Narrow"/>
                <w:b/>
                <w:color w:val="000000"/>
                <w:sz w:val="22"/>
                <w:szCs w:val="22"/>
                <w:lang w:eastAsia="ko-KR"/>
              </w:rPr>
              <w:t>Total</w:t>
            </w:r>
          </w:p>
        </w:tc>
        <w:tc>
          <w:tcPr>
            <w:tcW w:w="2976" w:type="dxa"/>
            <w:tcBorders>
              <w:top w:val="nil"/>
              <w:left w:val="nil"/>
              <w:bottom w:val="single" w:sz="4" w:space="0" w:color="auto"/>
              <w:right w:val="single" w:sz="4" w:space="0" w:color="auto"/>
            </w:tcBorders>
            <w:shd w:val="clear" w:color="000000" w:fill="F2F2F2"/>
            <w:noWrap/>
            <w:vAlign w:val="bottom"/>
            <w:hideMark/>
          </w:tcPr>
          <w:p w14:paraId="175C51A9" w14:textId="77777777" w:rsidR="00794596" w:rsidRPr="00DE66C2" w:rsidRDefault="00794596" w:rsidP="00E91602">
            <w:pPr>
              <w:jc w:val="center"/>
              <w:rPr>
                <w:rFonts w:ascii="Aptos Narrow" w:hAnsi="Aptos Narrow"/>
                <w:b/>
                <w:color w:val="000000"/>
                <w:sz w:val="22"/>
                <w:szCs w:val="22"/>
                <w:lang w:eastAsia="ko-KR"/>
              </w:rPr>
            </w:pPr>
            <w:r w:rsidRPr="00DE66C2">
              <w:rPr>
                <w:rFonts w:ascii="Aptos Narrow" w:hAnsi="Aptos Narrow"/>
                <w:b/>
                <w:color w:val="000000"/>
                <w:sz w:val="22"/>
                <w:szCs w:val="22"/>
                <w:lang w:eastAsia="ko-KR"/>
              </w:rPr>
              <w:t>100.0%</w:t>
            </w:r>
          </w:p>
        </w:tc>
        <w:tc>
          <w:tcPr>
            <w:tcW w:w="2825" w:type="dxa"/>
            <w:tcBorders>
              <w:top w:val="nil"/>
              <w:left w:val="nil"/>
              <w:bottom w:val="single" w:sz="4" w:space="0" w:color="auto"/>
              <w:right w:val="single" w:sz="4" w:space="0" w:color="auto"/>
            </w:tcBorders>
            <w:shd w:val="clear" w:color="000000" w:fill="F2F2F2"/>
            <w:noWrap/>
            <w:vAlign w:val="bottom"/>
            <w:hideMark/>
          </w:tcPr>
          <w:p w14:paraId="0DCBA56D" w14:textId="77777777" w:rsidR="00794596" w:rsidRPr="00DE66C2" w:rsidRDefault="00794596" w:rsidP="00E91602">
            <w:pPr>
              <w:jc w:val="center"/>
              <w:rPr>
                <w:rFonts w:ascii="Aptos Narrow" w:hAnsi="Aptos Narrow"/>
                <w:b/>
                <w:color w:val="000000"/>
                <w:sz w:val="22"/>
                <w:szCs w:val="22"/>
                <w:lang w:eastAsia="ko-KR"/>
              </w:rPr>
            </w:pPr>
            <w:r w:rsidRPr="00DE66C2">
              <w:rPr>
                <w:rFonts w:ascii="Aptos Narrow" w:hAnsi="Aptos Narrow"/>
                <w:b/>
                <w:color w:val="000000"/>
                <w:sz w:val="22"/>
                <w:szCs w:val="22"/>
                <w:lang w:eastAsia="ko-KR"/>
              </w:rPr>
              <w:t>100.0%</w:t>
            </w:r>
          </w:p>
        </w:tc>
      </w:tr>
    </w:tbl>
    <w:p w14:paraId="42493884" w14:textId="44EEF863" w:rsidR="0054529D" w:rsidRPr="00DE66C2" w:rsidRDefault="009A3915" w:rsidP="00703834">
      <w:pPr>
        <w:pStyle w:val="DJCSbodyafterbullets"/>
        <w:ind w:left="709"/>
      </w:pPr>
      <w:r w:rsidRPr="00DE66C2">
        <w:t>Some key points a</w:t>
      </w:r>
      <w:r w:rsidR="00B5199F" w:rsidRPr="00DE66C2">
        <w:t>bout the change in percentage of fee revenue</w:t>
      </w:r>
      <w:r w:rsidR="001F67D4" w:rsidRPr="00DE66C2">
        <w:t>:</w:t>
      </w:r>
    </w:p>
    <w:p w14:paraId="7DF0E8B2" w14:textId="4BF0B4B2" w:rsidR="001F67D4" w:rsidRPr="00DE66C2" w:rsidRDefault="00E91602" w:rsidP="001F67D4">
      <w:pPr>
        <w:pStyle w:val="DJCSbodyafterbullets"/>
        <w:numPr>
          <w:ilvl w:val="0"/>
          <w:numId w:val="51"/>
        </w:numPr>
      </w:pPr>
      <w:r w:rsidRPr="00DE66C2">
        <w:t>The proportion of</w:t>
      </w:r>
      <w:r w:rsidR="00E736EF" w:rsidRPr="00DE66C2">
        <w:t xml:space="preserve"> total</w:t>
      </w:r>
      <w:r w:rsidRPr="00DE66C2">
        <w:t xml:space="preserve"> </w:t>
      </w:r>
      <w:r w:rsidR="00DE4896" w:rsidRPr="00DE66C2">
        <w:t>fee revenue</w:t>
      </w:r>
      <w:r w:rsidR="00AC2489" w:rsidRPr="00DE66C2">
        <w:t xml:space="preserve"> </w:t>
      </w:r>
      <w:r w:rsidR="00B5199F" w:rsidRPr="00DE66C2">
        <w:t xml:space="preserve">increases </w:t>
      </w:r>
      <w:r w:rsidR="0056157C" w:rsidRPr="00DE66C2">
        <w:t>for</w:t>
      </w:r>
      <w:r w:rsidR="00B5199F" w:rsidRPr="00DE66C2">
        <w:t xml:space="preserve"> both</w:t>
      </w:r>
      <w:r w:rsidR="0056157C" w:rsidRPr="00DE66C2">
        <w:t xml:space="preserve"> </w:t>
      </w:r>
      <w:r w:rsidR="00410996" w:rsidRPr="00DE66C2">
        <w:t>concession fee payers (</w:t>
      </w:r>
      <w:r w:rsidR="00607653" w:rsidRPr="00DE66C2">
        <w:t xml:space="preserve">minimally </w:t>
      </w:r>
      <w:r w:rsidR="00410996" w:rsidRPr="00DE66C2">
        <w:t>from 0.7</w:t>
      </w:r>
      <w:r w:rsidR="001F51DF" w:rsidRPr="00DE66C2">
        <w:t>% to 1.4%</w:t>
      </w:r>
      <w:r w:rsidR="00BB5E02" w:rsidRPr="00DE66C2">
        <w:t>)</w:t>
      </w:r>
      <w:r w:rsidR="00410996" w:rsidRPr="00DE66C2">
        <w:t xml:space="preserve"> and corporate fee payers</w:t>
      </w:r>
      <w:r w:rsidR="00BB5E02" w:rsidRPr="00DE66C2">
        <w:t xml:space="preserve"> (from 43% to 50</w:t>
      </w:r>
      <w:r w:rsidR="00453D2C" w:rsidRPr="00DE66C2">
        <w:t>%)</w:t>
      </w:r>
      <w:r w:rsidR="00F80D15" w:rsidRPr="00DE66C2">
        <w:t xml:space="preserve">. Standard fee payers </w:t>
      </w:r>
      <w:r w:rsidR="00081818" w:rsidRPr="00DE66C2">
        <w:t xml:space="preserve">represent a reduced proportion of </w:t>
      </w:r>
      <w:r w:rsidR="004A120B" w:rsidRPr="00DE66C2">
        <w:t xml:space="preserve">total </w:t>
      </w:r>
      <w:r w:rsidR="00F80D15" w:rsidRPr="00DE66C2">
        <w:t>revenue</w:t>
      </w:r>
      <w:r w:rsidR="00DC22C8" w:rsidRPr="00DE66C2">
        <w:t xml:space="preserve"> (from 56% to 48%).</w:t>
      </w:r>
    </w:p>
    <w:p w14:paraId="317139E7" w14:textId="741DFACB" w:rsidR="00DC22C8" w:rsidRPr="00DE66C2" w:rsidRDefault="00DC22C8" w:rsidP="00DC22C8">
      <w:pPr>
        <w:pStyle w:val="DJCSbodyafterbullets"/>
        <w:numPr>
          <w:ilvl w:val="0"/>
          <w:numId w:val="51"/>
        </w:numPr>
      </w:pPr>
      <w:r w:rsidRPr="00DE66C2">
        <w:t>One</w:t>
      </w:r>
      <w:r w:rsidR="000E6D03" w:rsidRPr="00DE66C2">
        <w:t xml:space="preserve"> of </w:t>
      </w:r>
      <w:r w:rsidR="00B06C8F" w:rsidRPr="00DE66C2">
        <w:t xml:space="preserve">the </w:t>
      </w:r>
      <w:r w:rsidRPr="00DE66C2">
        <w:t xml:space="preserve">primary reasons for the increase in </w:t>
      </w:r>
      <w:r w:rsidR="00B66CC4" w:rsidRPr="00DE66C2">
        <w:t xml:space="preserve">fee </w:t>
      </w:r>
      <w:r w:rsidRPr="00DE66C2">
        <w:t>revenue</w:t>
      </w:r>
      <w:r w:rsidR="00B66CC4" w:rsidRPr="00DE66C2">
        <w:t xml:space="preserve"> for concession fee payers</w:t>
      </w:r>
      <w:r w:rsidR="00997B0B" w:rsidRPr="00DE66C2">
        <w:t xml:space="preserve"> </w:t>
      </w:r>
      <w:r w:rsidRPr="00DE66C2">
        <w:t xml:space="preserve">is the </w:t>
      </w:r>
      <w:r w:rsidR="003D1AF8" w:rsidRPr="00DE66C2">
        <w:t xml:space="preserve">increase in </w:t>
      </w:r>
      <w:r w:rsidRPr="00DE66C2">
        <w:t>the number</w:t>
      </w:r>
      <w:r w:rsidR="003D1AF8" w:rsidRPr="00DE66C2">
        <w:t xml:space="preserve"> of </w:t>
      </w:r>
      <w:r w:rsidR="00BE07C7" w:rsidRPr="00DE66C2">
        <w:t>concession fee payers</w:t>
      </w:r>
      <w:r w:rsidR="001C4C2E" w:rsidRPr="00DE66C2">
        <w:t xml:space="preserve"> given the broadened eligibility. </w:t>
      </w:r>
      <w:r w:rsidR="007C25C2" w:rsidRPr="00DE66C2">
        <w:t xml:space="preserve">Including </w:t>
      </w:r>
      <w:r w:rsidR="00505EA1" w:rsidRPr="00DE66C2">
        <w:t>Pension Concession Card Holders and some Veterans Gold Car</w:t>
      </w:r>
      <w:r w:rsidR="007D2B9E" w:rsidRPr="00DE66C2">
        <w:t>d</w:t>
      </w:r>
      <w:r w:rsidR="00505EA1" w:rsidRPr="00DE66C2">
        <w:t xml:space="preserve"> holders will significantly increase the population of </w:t>
      </w:r>
      <w:r w:rsidR="00963D9C" w:rsidRPr="00DE66C2">
        <w:t>concession card holders who are eligible for the concession fee payer category</w:t>
      </w:r>
      <w:r w:rsidR="00505EA1" w:rsidRPr="00DE66C2">
        <w:t>.</w:t>
      </w:r>
    </w:p>
    <w:p w14:paraId="6FF4E4DF" w14:textId="2AEA23BE" w:rsidR="00AF5732" w:rsidRPr="00DE66C2" w:rsidRDefault="00E71A5F" w:rsidP="008B7946">
      <w:pPr>
        <w:pStyle w:val="DJCSbodyafterbullets"/>
        <w:numPr>
          <w:ilvl w:val="0"/>
          <w:numId w:val="51"/>
        </w:numPr>
      </w:pPr>
      <w:r w:rsidRPr="00DE66C2">
        <w:t xml:space="preserve">The </w:t>
      </w:r>
      <w:r w:rsidR="00505EA1" w:rsidRPr="00DE66C2">
        <w:t xml:space="preserve">other reason for the </w:t>
      </w:r>
      <w:r w:rsidRPr="00DE66C2">
        <w:t xml:space="preserve">increase </w:t>
      </w:r>
      <w:r w:rsidR="000E6D03" w:rsidRPr="00DE66C2">
        <w:t>in concession fee</w:t>
      </w:r>
      <w:r w:rsidR="00FD3252" w:rsidRPr="00DE66C2">
        <w:t xml:space="preserve"> revenue is the </w:t>
      </w:r>
      <w:r w:rsidR="00CA1855" w:rsidRPr="00DE66C2">
        <w:t>introduction of</w:t>
      </w:r>
      <w:r w:rsidR="00FD3252" w:rsidRPr="00DE66C2">
        <w:t xml:space="preserve"> </w:t>
      </w:r>
      <w:r w:rsidR="00957004" w:rsidRPr="00DE66C2">
        <w:t>6 new activities that may incur a</w:t>
      </w:r>
      <w:r w:rsidR="00FD3252" w:rsidRPr="00DE66C2">
        <w:t xml:space="preserve"> fee</w:t>
      </w:r>
      <w:r w:rsidR="0073724D" w:rsidRPr="00DE66C2">
        <w:t xml:space="preserve">, generating more revenue </w:t>
      </w:r>
      <w:r w:rsidR="00D81736" w:rsidRPr="00DE66C2">
        <w:t>incidences</w:t>
      </w:r>
      <w:r w:rsidR="00FB618A" w:rsidRPr="00DE66C2">
        <w:t>, although t</w:t>
      </w:r>
      <w:r w:rsidR="00D81736" w:rsidRPr="00DE66C2">
        <w:t>h</w:t>
      </w:r>
      <w:r w:rsidR="00957004" w:rsidRPr="00DE66C2">
        <w:t xml:space="preserve">ese </w:t>
      </w:r>
      <w:r w:rsidR="00900F3D" w:rsidRPr="00DE66C2">
        <w:t xml:space="preserve">new </w:t>
      </w:r>
      <w:r w:rsidR="001A6691" w:rsidRPr="00DE66C2">
        <w:t>activities</w:t>
      </w:r>
      <w:r w:rsidR="00900F3D" w:rsidRPr="00DE66C2">
        <w:t xml:space="preserve"> will be</w:t>
      </w:r>
      <w:r w:rsidR="001A6691" w:rsidRPr="00DE66C2">
        <w:t xml:space="preserve"> payable by all </w:t>
      </w:r>
      <w:r w:rsidR="0073724D" w:rsidRPr="00DE66C2">
        <w:t>payer categories</w:t>
      </w:r>
      <w:r w:rsidR="005A1573" w:rsidRPr="00DE66C2">
        <w:t>, with the opportunity to app</w:t>
      </w:r>
      <w:r w:rsidR="003C09C0" w:rsidRPr="00DE66C2">
        <w:t>ly for a fee waiver where applicable.</w:t>
      </w:r>
      <w:r w:rsidR="005A1573" w:rsidRPr="00DE66C2">
        <w:t xml:space="preserve"> </w:t>
      </w:r>
    </w:p>
    <w:p w14:paraId="02C1E553" w14:textId="77BAD159" w:rsidR="002255E6" w:rsidRPr="00DE66C2" w:rsidRDefault="00505EA1" w:rsidP="008B7946">
      <w:pPr>
        <w:pStyle w:val="DJCSbodyafterbullets"/>
        <w:numPr>
          <w:ilvl w:val="0"/>
          <w:numId w:val="51"/>
        </w:numPr>
      </w:pPr>
      <w:r w:rsidRPr="00DE66C2">
        <w:t xml:space="preserve">Corporate fees </w:t>
      </w:r>
      <w:r w:rsidR="00A91D1A" w:rsidRPr="00DE66C2">
        <w:t xml:space="preserve">have increased </w:t>
      </w:r>
      <w:r w:rsidR="001E0408" w:rsidRPr="00DE66C2">
        <w:t>by the largest amount given corporate fees are set to 100% cost recovery. This means that the increases</w:t>
      </w:r>
      <w:r w:rsidR="00114387" w:rsidRPr="00DE66C2">
        <w:t xml:space="preserve"> in costs of VCAT service delivery </w:t>
      </w:r>
      <w:r w:rsidR="00973536" w:rsidRPr="00DE66C2">
        <w:t>are</w:t>
      </w:r>
      <w:r w:rsidR="009C3718" w:rsidRPr="00DE66C2">
        <w:t xml:space="preserve"> reflected</w:t>
      </w:r>
      <w:r w:rsidR="00FB073F" w:rsidRPr="00DE66C2">
        <w:t xml:space="preserve"> in full for corporate fee payers. Given the lower relativities of standard and concession fee payers, the effect of the increase in fees </w:t>
      </w:r>
      <w:r w:rsidR="00A204EB" w:rsidRPr="00DE66C2">
        <w:t xml:space="preserve">is </w:t>
      </w:r>
      <w:r w:rsidR="00242B69" w:rsidRPr="00DE66C2">
        <w:t>relatively less</w:t>
      </w:r>
      <w:r w:rsidR="00622813" w:rsidRPr="00DE66C2">
        <w:t xml:space="preserve"> </w:t>
      </w:r>
      <w:r w:rsidR="00E260DC" w:rsidRPr="00DE66C2">
        <w:t>(</w:t>
      </w:r>
      <w:r w:rsidR="00622813" w:rsidRPr="00DE66C2">
        <w:t xml:space="preserve">33% of costs </w:t>
      </w:r>
      <w:r w:rsidR="009F7008" w:rsidRPr="00DE66C2">
        <w:t>for standard fee payers and 11% of costs for concession fee payers).</w:t>
      </w:r>
    </w:p>
    <w:p w14:paraId="3DB7BA46" w14:textId="51619E93" w:rsidR="00E12408" w:rsidRDefault="00E12408" w:rsidP="00FA0CF5">
      <w:pPr>
        <w:pStyle w:val="Heading3"/>
        <w:ind w:left="709" w:hanging="567"/>
      </w:pPr>
      <w:bookmarkStart w:id="118" w:name="_Toc216179724"/>
      <w:r w:rsidRPr="00E12408">
        <w:t>Impact of the preferred option on demand for the service</w:t>
      </w:r>
      <w:bookmarkEnd w:id="118"/>
    </w:p>
    <w:p w14:paraId="19E9282F" w14:textId="1C8818F1" w:rsidR="00D91DE2" w:rsidRDefault="000C6313" w:rsidP="008303F1">
      <w:pPr>
        <w:pStyle w:val="DJCSbody"/>
        <w:ind w:left="720"/>
      </w:pPr>
      <w:r>
        <w:t>The overall demand for VCAT services will depend on the balance be</w:t>
      </w:r>
      <w:r w:rsidR="00550996">
        <w:t>twe</w:t>
      </w:r>
      <w:r>
        <w:t xml:space="preserve">en the decrease in access </w:t>
      </w:r>
      <w:r w:rsidR="003B695D">
        <w:t xml:space="preserve">for </w:t>
      </w:r>
      <w:r>
        <w:t xml:space="preserve">corporate fee payers and the increase in access </w:t>
      </w:r>
      <w:r w:rsidR="003B695D">
        <w:t xml:space="preserve">for </w:t>
      </w:r>
      <w:r>
        <w:t>concession fee payers.</w:t>
      </w:r>
      <w:r w:rsidR="00DA2A94">
        <w:t xml:space="preserve"> Where there are more corporate fee payers </w:t>
      </w:r>
      <w:r w:rsidR="00351EEA">
        <w:t>in a particular list</w:t>
      </w:r>
      <w:r w:rsidR="003B695D">
        <w:t>,</w:t>
      </w:r>
      <w:r w:rsidR="00351EEA">
        <w:t xml:space="preserve"> it is expected that higher fees will reduce the demand for those services</w:t>
      </w:r>
      <w:r w:rsidR="002E7B26">
        <w:t xml:space="preserve"> and increase the demand for </w:t>
      </w:r>
      <w:r w:rsidR="0069279B">
        <w:t xml:space="preserve">dispute resolution options such as </w:t>
      </w:r>
      <w:r w:rsidR="002E7B26">
        <w:t xml:space="preserve">mediation </w:t>
      </w:r>
      <w:r w:rsidR="0069279B">
        <w:t xml:space="preserve">and compulsory conference </w:t>
      </w:r>
      <w:r w:rsidR="002E7B26">
        <w:t>services</w:t>
      </w:r>
      <w:r w:rsidR="007B7B19">
        <w:t xml:space="preserve">. </w:t>
      </w:r>
    </w:p>
    <w:p w14:paraId="5A3F5F79" w14:textId="7C9FC53B" w:rsidR="009F6FE8" w:rsidRDefault="007B7B19" w:rsidP="009F6FE8">
      <w:pPr>
        <w:pStyle w:val="DJCSbody"/>
        <w:ind w:left="720"/>
      </w:pPr>
      <w:r>
        <w:t xml:space="preserve">It </w:t>
      </w:r>
      <w:r w:rsidR="00AC736F">
        <w:t>expected that there will be an increase</w:t>
      </w:r>
      <w:r>
        <w:t xml:space="preserve"> </w:t>
      </w:r>
      <w:r w:rsidR="00AC736F">
        <w:t>in</w:t>
      </w:r>
      <w:r>
        <w:t xml:space="preserve"> compulsory conference</w:t>
      </w:r>
      <w:r w:rsidR="00AC736F">
        <w:t>s</w:t>
      </w:r>
      <w:r w:rsidR="00170CC6">
        <w:t xml:space="preserve"> </w:t>
      </w:r>
      <w:r w:rsidR="000171D3">
        <w:t>under</w:t>
      </w:r>
      <w:r w:rsidR="005D7C65">
        <w:t xml:space="preserve"> the preferred option</w:t>
      </w:r>
      <w:r w:rsidR="000B3245">
        <w:t>,</w:t>
      </w:r>
      <w:r w:rsidR="00D56D0D">
        <w:t xml:space="preserve"> as compulsory conferences </w:t>
      </w:r>
      <w:r w:rsidR="00E84CCE">
        <w:t>continue to be prioritise</w:t>
      </w:r>
      <w:r w:rsidR="00B06BE9">
        <w:t>d</w:t>
      </w:r>
      <w:r w:rsidR="00E84CCE">
        <w:t xml:space="preserve"> by VCAT as the preferred means of dispute resolution</w:t>
      </w:r>
      <w:r w:rsidR="008666C9">
        <w:t>.</w:t>
      </w:r>
      <w:r w:rsidR="00D91DE2">
        <w:t xml:space="preserve"> Mediation </w:t>
      </w:r>
      <w:r w:rsidR="00EE2151">
        <w:t>requi</w:t>
      </w:r>
      <w:r w:rsidR="00875DFC">
        <w:t>r</w:t>
      </w:r>
      <w:r w:rsidR="00EE2151">
        <w:t xml:space="preserve">es parties </w:t>
      </w:r>
      <w:r w:rsidR="00481847">
        <w:t>to agree to go to mediation</w:t>
      </w:r>
      <w:r w:rsidR="009C3B88">
        <w:t>. In</w:t>
      </w:r>
      <w:r w:rsidR="00481847">
        <w:t xml:space="preserve">troducing a fee </w:t>
      </w:r>
      <w:r w:rsidR="00782F5A">
        <w:t>for</w:t>
      </w:r>
      <w:r w:rsidR="00481847">
        <w:t xml:space="preserve"> mediation may reduce the demand </w:t>
      </w:r>
      <w:r w:rsidR="00875DFC">
        <w:t xml:space="preserve">for mediation in isolation. However, given </w:t>
      </w:r>
      <w:r w:rsidR="006F2DDF">
        <w:t xml:space="preserve">mediation can be a substitute for a hearing, VCAT users are likely to </w:t>
      </w:r>
      <w:r w:rsidR="003721F1">
        <w:t>select the lower cost mediation over a hearing if there is a chance the dispute can be resolved at that stage.</w:t>
      </w:r>
      <w:r w:rsidR="008B2780">
        <w:t xml:space="preserve"> </w:t>
      </w:r>
    </w:p>
    <w:p w14:paraId="368560EC" w14:textId="25E27D62" w:rsidR="007124D8" w:rsidRDefault="00F00D10" w:rsidP="001C1A5E">
      <w:pPr>
        <w:pStyle w:val="DJCSbody"/>
        <w:ind w:left="720"/>
      </w:pPr>
      <w:r>
        <w:t xml:space="preserve">Charging fees for </w:t>
      </w:r>
      <w:r w:rsidR="00952211">
        <w:t xml:space="preserve">directions hearings and practice day hearings will result in </w:t>
      </w:r>
      <w:r w:rsidR="00847C9C">
        <w:t xml:space="preserve">some reduction to </w:t>
      </w:r>
      <w:r w:rsidR="00D266E8">
        <w:t xml:space="preserve">the </w:t>
      </w:r>
      <w:r w:rsidR="00A25A0F">
        <w:t>number</w:t>
      </w:r>
      <w:r w:rsidR="00D266E8">
        <w:t xml:space="preserve"> of </w:t>
      </w:r>
      <w:r w:rsidR="00741641">
        <w:t>hearings requested</w:t>
      </w:r>
      <w:r w:rsidR="00BA7F75">
        <w:t xml:space="preserve"> by users</w:t>
      </w:r>
      <w:r w:rsidR="00741641">
        <w:t xml:space="preserve"> but will not </w:t>
      </w:r>
      <w:r w:rsidR="00A25A0F">
        <w:t>affect</w:t>
      </w:r>
      <w:r w:rsidR="00741641">
        <w:t xml:space="preserve"> those hearings</w:t>
      </w:r>
      <w:r w:rsidR="00741641" w:rsidDel="00DF56D3">
        <w:t xml:space="preserve"> </w:t>
      </w:r>
      <w:r w:rsidR="00EC6DDD">
        <w:t>initiated</w:t>
      </w:r>
      <w:r w:rsidR="00741641">
        <w:t xml:space="preserve"> by VCAT. </w:t>
      </w:r>
      <w:r w:rsidR="00CC7E5F">
        <w:t>Overall</w:t>
      </w:r>
      <w:r w:rsidR="009A0F54">
        <w:t xml:space="preserve">, </w:t>
      </w:r>
      <w:r w:rsidR="00E777BF">
        <w:t xml:space="preserve">it </w:t>
      </w:r>
      <w:r w:rsidR="00CC7E5F">
        <w:t xml:space="preserve">is expected </w:t>
      </w:r>
      <w:r w:rsidR="00E777BF">
        <w:t>that there will</w:t>
      </w:r>
      <w:r w:rsidR="00CC7E5F">
        <w:t xml:space="preserve"> be a slight reduction in demand</w:t>
      </w:r>
      <w:r w:rsidR="00DF56D3">
        <w:t xml:space="preserve"> for</w:t>
      </w:r>
      <w:r w:rsidR="00CC7E5F">
        <w:t xml:space="preserve"> or length of hearings </w:t>
      </w:r>
      <w:r w:rsidR="006701ED">
        <w:t>given t</w:t>
      </w:r>
      <w:r w:rsidR="007124D8">
        <w:t>here is a fee associated with these activities.</w:t>
      </w:r>
      <w:r w:rsidR="001C1A5E">
        <w:t xml:space="preserve"> Charging for injunctions is likely to impact </w:t>
      </w:r>
      <w:r w:rsidR="001C1A5E">
        <w:lastRenderedPageBreak/>
        <w:t>applications for injunctions to a lesser extent</w:t>
      </w:r>
      <w:r w:rsidR="00BE59A4">
        <w:t>,</w:t>
      </w:r>
      <w:r w:rsidR="001C1A5E">
        <w:t xml:space="preserve"> given there will still be a private interest in</w:t>
      </w:r>
      <w:r w:rsidR="00A25A0F">
        <w:t xml:space="preserve"> filing these applications</w:t>
      </w:r>
      <w:r w:rsidR="008D2698">
        <w:t xml:space="preserve"> to compel a party</w:t>
      </w:r>
      <w:r w:rsidR="00EB193D">
        <w:t xml:space="preserve"> to stop undertaking an activity</w:t>
      </w:r>
      <w:r w:rsidR="00A25A0F">
        <w:t>.</w:t>
      </w:r>
      <w:r w:rsidR="00CD6794">
        <w:t xml:space="preserve"> </w:t>
      </w:r>
      <w:r w:rsidR="00375BFF">
        <w:t xml:space="preserve">This limited impact is due to there being </w:t>
      </w:r>
      <w:r w:rsidR="001D1682">
        <w:t xml:space="preserve">no substitutes for filing injunctions. </w:t>
      </w:r>
      <w:r w:rsidR="000531E9">
        <w:t>Hearings can be reduced through the use of dispute resolution services</w:t>
      </w:r>
      <w:r w:rsidR="003639B7">
        <w:t xml:space="preserve"> which provide </w:t>
      </w:r>
      <w:r w:rsidR="00995B8B">
        <w:t xml:space="preserve">an alternative pathway </w:t>
      </w:r>
      <w:r w:rsidR="00F945F0">
        <w:t>not involving hearings</w:t>
      </w:r>
      <w:r w:rsidR="003639B7">
        <w:t>.</w:t>
      </w:r>
    </w:p>
    <w:p w14:paraId="1976315A" w14:textId="7CF0D5D1" w:rsidR="00FD41AD" w:rsidRDefault="00FD41AD" w:rsidP="008303F1">
      <w:pPr>
        <w:pStyle w:val="DJCSbody"/>
        <w:ind w:left="720"/>
      </w:pPr>
      <w:r>
        <w:t xml:space="preserve">Increasing pricing for hearing fees will provide an incentive for parties to </w:t>
      </w:r>
      <w:r w:rsidR="00664794">
        <w:t>participate in</w:t>
      </w:r>
      <w:r>
        <w:t xml:space="preserve"> </w:t>
      </w:r>
      <w:r w:rsidR="00871890">
        <w:t xml:space="preserve">various forms of </w:t>
      </w:r>
      <w:r w:rsidR="00664794">
        <w:t>ADR.</w:t>
      </w:r>
      <w:r w:rsidR="00D90C42">
        <w:t xml:space="preserve"> Consistent with the recent decrease in hearings </w:t>
      </w:r>
      <w:r w:rsidR="00871890">
        <w:t>in some VCAT lists</w:t>
      </w:r>
      <w:r w:rsidR="00D90C42">
        <w:t xml:space="preserve"> </w:t>
      </w:r>
      <w:r w:rsidR="008168A9">
        <w:t xml:space="preserve">due to the </w:t>
      </w:r>
      <w:r w:rsidR="00DD2D0F">
        <w:t>operational preference for dispute resolution, this is expected to continue</w:t>
      </w:r>
      <w:r w:rsidR="009C2F25">
        <w:t>.</w:t>
      </w:r>
      <w:r w:rsidR="00822066">
        <w:t xml:space="preserve"> Pricing hearings higher than </w:t>
      </w:r>
      <w:r w:rsidR="00B65870">
        <w:t>ADR</w:t>
      </w:r>
      <w:r w:rsidR="00822066">
        <w:t xml:space="preserve"> is expected</w:t>
      </w:r>
      <w:r w:rsidR="00EB5D03">
        <w:t xml:space="preserve"> to help incentivise this change</w:t>
      </w:r>
      <w:r w:rsidR="003D77F1">
        <w:t xml:space="preserve"> and align with the broader strategic and cultural change in VCAT to adopt more ADR</w:t>
      </w:r>
      <w:r w:rsidR="00EB5D03">
        <w:t>.</w:t>
      </w:r>
    </w:p>
    <w:p w14:paraId="0C120506" w14:textId="6561D278" w:rsidR="00E12408" w:rsidRDefault="00E12408" w:rsidP="00DF49AE">
      <w:pPr>
        <w:pStyle w:val="Heading3"/>
      </w:pPr>
      <w:bookmarkStart w:id="119" w:name="_Toc216179725"/>
      <w:r w:rsidRPr="00E12408">
        <w:t>Impact of the preferred option on competition and small business</w:t>
      </w:r>
      <w:r w:rsidR="00834AC8">
        <w:t>es</w:t>
      </w:r>
      <w:bookmarkEnd w:id="119"/>
    </w:p>
    <w:p w14:paraId="2A576244" w14:textId="29E50F3F" w:rsidR="00E12408" w:rsidRDefault="0099368A" w:rsidP="00FA0CF5">
      <w:pPr>
        <w:pStyle w:val="DJCSbody"/>
        <w:ind w:left="680"/>
      </w:pPr>
      <w:r>
        <w:t>VCAT is the sole provider of services under its jurisdiction</w:t>
      </w:r>
      <w:r w:rsidR="002C4034">
        <w:t>.</w:t>
      </w:r>
      <w:r w:rsidR="00896D7D">
        <w:t xml:space="preserve"> </w:t>
      </w:r>
      <w:r w:rsidR="002C4034">
        <w:t>A</w:t>
      </w:r>
      <w:r w:rsidR="00896D7D">
        <w:t>s a result</w:t>
      </w:r>
      <w:r w:rsidR="00CF6477">
        <w:t>,</w:t>
      </w:r>
      <w:r w:rsidR="00896D7D">
        <w:t xml:space="preserve"> </w:t>
      </w:r>
      <w:r w:rsidR="00DE0D64">
        <w:t>changes</w:t>
      </w:r>
      <w:r w:rsidR="00B23572">
        <w:t xml:space="preserve"> under the preferred option will not impact </w:t>
      </w:r>
      <w:r w:rsidR="00B5392A">
        <w:t>competition</w:t>
      </w:r>
      <w:r w:rsidR="00684AB8">
        <w:t xml:space="preserve"> for service provision.</w:t>
      </w:r>
      <w:r w:rsidR="00504A79">
        <w:t xml:space="preserve"> T</w:t>
      </w:r>
      <w:r w:rsidR="00BF7184">
        <w:t xml:space="preserve">here may be a decrease to </w:t>
      </w:r>
      <w:r w:rsidR="009E2A84">
        <w:t xml:space="preserve">demand for VCAT services as </w:t>
      </w:r>
      <w:r w:rsidR="00493E2B">
        <w:t xml:space="preserve">VCAT users instead </w:t>
      </w:r>
      <w:r w:rsidR="009938BF">
        <w:t xml:space="preserve">begin to </w:t>
      </w:r>
      <w:r w:rsidR="00493E2B">
        <w:t>rely on other</w:t>
      </w:r>
      <w:r w:rsidR="009E2A84">
        <w:t xml:space="preserve"> dispute resolution bodies</w:t>
      </w:r>
      <w:r w:rsidR="009A2C46">
        <w:t xml:space="preserve"> (such as Ombudsmen or Commissioners)</w:t>
      </w:r>
      <w:r w:rsidR="00493E2B">
        <w:t xml:space="preserve"> to resolve their disputes. </w:t>
      </w:r>
      <w:r w:rsidR="008C3543">
        <w:t>Thi</w:t>
      </w:r>
      <w:r w:rsidR="007C2009">
        <w:t>s may not result in a</w:t>
      </w:r>
      <w:r w:rsidR="007C2009" w:rsidDel="005A3CAC">
        <w:t xml:space="preserve"> </w:t>
      </w:r>
      <w:r w:rsidR="005A3CAC">
        <w:t>significant</w:t>
      </w:r>
      <w:r w:rsidR="007C2009">
        <w:t xml:space="preserve"> change to demand as</w:t>
      </w:r>
      <w:r w:rsidR="003A30A8">
        <w:t xml:space="preserve"> many of these dispute resolution bodies are</w:t>
      </w:r>
      <w:r w:rsidR="00E03834">
        <w:t xml:space="preserve"> </w:t>
      </w:r>
      <w:r w:rsidR="009938BF">
        <w:t>already</w:t>
      </w:r>
      <w:r w:rsidR="00E03834">
        <w:t xml:space="preserve"> the first to receive these </w:t>
      </w:r>
      <w:r w:rsidR="008138F2">
        <w:t>complaints (for example retail lease disputes with the</w:t>
      </w:r>
      <w:r w:rsidR="0080061F">
        <w:t xml:space="preserve"> Victorian</w:t>
      </w:r>
      <w:r w:rsidR="008138F2">
        <w:t xml:space="preserve"> Small Business Commissioner).</w:t>
      </w:r>
    </w:p>
    <w:p w14:paraId="46B66027" w14:textId="0F45A5C1" w:rsidR="00234C51" w:rsidRDefault="007B66DD" w:rsidP="00FA0CF5">
      <w:pPr>
        <w:pStyle w:val="DJCSbody"/>
        <w:ind w:left="680"/>
      </w:pPr>
      <w:r>
        <w:t>It is best practice for</w:t>
      </w:r>
      <w:r w:rsidR="00792320">
        <w:t xml:space="preserve"> a</w:t>
      </w:r>
      <w:r>
        <w:t xml:space="preserve"> RIS to analyse the impacts on small businesses. Under the preferred option</w:t>
      </w:r>
      <w:r w:rsidR="00EF75F8">
        <w:t xml:space="preserve">, </w:t>
      </w:r>
      <w:r w:rsidR="005A3CAC">
        <w:t xml:space="preserve">an additional </w:t>
      </w:r>
      <w:r w:rsidR="003D5C9E">
        <w:t>2%</w:t>
      </w:r>
      <w:r w:rsidR="00D102D9">
        <w:t xml:space="preserve"> </w:t>
      </w:r>
      <w:r w:rsidR="005A3CAC">
        <w:t xml:space="preserve">of </w:t>
      </w:r>
      <w:r w:rsidR="005B2F26">
        <w:t>small</w:t>
      </w:r>
      <w:r w:rsidR="00D102D9">
        <w:t xml:space="preserve"> businesses will be eligible for the standard fee payer rate.</w:t>
      </w:r>
      <w:r w:rsidR="00753026">
        <w:t xml:space="preserve"> These businesses will have </w:t>
      </w:r>
      <w:r w:rsidR="000E7589">
        <w:t>improved access</w:t>
      </w:r>
      <w:r w:rsidR="004F16AD">
        <w:t xml:space="preserve"> to VCAT services and a lower barrier to accessing </w:t>
      </w:r>
      <w:r w:rsidR="005A3CAC">
        <w:t>ADR</w:t>
      </w:r>
      <w:r w:rsidR="004F16AD">
        <w:t xml:space="preserve">. </w:t>
      </w:r>
    </w:p>
    <w:p w14:paraId="579A16F9" w14:textId="097E89C3" w:rsidR="004F16AD" w:rsidRDefault="004F16AD" w:rsidP="00FA0CF5">
      <w:pPr>
        <w:pStyle w:val="DJCSbody"/>
        <w:ind w:left="680"/>
      </w:pPr>
      <w:r>
        <w:t>For small businesse</w:t>
      </w:r>
      <w:r w:rsidR="004D2DCA">
        <w:t xml:space="preserve">s with </w:t>
      </w:r>
      <w:r w:rsidR="00112100">
        <w:t>a</w:t>
      </w:r>
      <w:r w:rsidR="004D2DCA">
        <w:t xml:space="preserve"> turnover </w:t>
      </w:r>
      <w:r w:rsidR="000E54D5">
        <w:t xml:space="preserve">of $300,000 </w:t>
      </w:r>
      <w:r w:rsidR="00FD1442">
        <w:t>excl.</w:t>
      </w:r>
      <w:r w:rsidR="002055D8">
        <w:t xml:space="preserve"> </w:t>
      </w:r>
      <w:r w:rsidR="00FD1442">
        <w:t xml:space="preserve">GST </w:t>
      </w:r>
      <w:r w:rsidR="000E54D5">
        <w:t xml:space="preserve">and above, there </w:t>
      </w:r>
      <w:r w:rsidR="00D46923">
        <w:t xml:space="preserve">is a significant increase in the cost </w:t>
      </w:r>
      <w:r w:rsidR="00FB08A5">
        <w:t>of accessing VCAT services</w:t>
      </w:r>
      <w:r w:rsidR="00223AB2">
        <w:t>.</w:t>
      </w:r>
      <w:r w:rsidR="0015617B">
        <w:t xml:space="preserve"> </w:t>
      </w:r>
      <w:r w:rsidR="009715F4">
        <w:t xml:space="preserve">The proportion of total fee revenue </w:t>
      </w:r>
      <w:r w:rsidR="00814576">
        <w:t>derived from</w:t>
      </w:r>
      <w:r w:rsidR="009715F4">
        <w:t xml:space="preserve"> corporate fee payers increases from 43% under Option 1 to 53% under Option 3</w:t>
      </w:r>
      <w:r w:rsidR="000C136E">
        <w:t xml:space="preserve">. </w:t>
      </w:r>
      <w:r w:rsidR="00F82F9E">
        <w:t>In fee revenue terms</w:t>
      </w:r>
      <w:r w:rsidR="00CA5C57">
        <w:t>,</w:t>
      </w:r>
      <w:r w:rsidR="00F82F9E">
        <w:t xml:space="preserve"> corporate fee payers </w:t>
      </w:r>
      <w:r w:rsidR="00C07B83">
        <w:t>contribute $5.3 million of the total revenue with the current fee regulations and will contribute $9.8 million</w:t>
      </w:r>
      <w:r w:rsidR="0093321C">
        <w:t xml:space="preserve"> under the preferred option.</w:t>
      </w:r>
      <w:r w:rsidR="000C136E">
        <w:t xml:space="preserve"> </w:t>
      </w:r>
    </w:p>
    <w:p w14:paraId="7F7A2F02" w14:textId="5386B688" w:rsidR="00E12408" w:rsidRDefault="00E12408" w:rsidP="008303F1">
      <w:pPr>
        <w:pStyle w:val="Heading3"/>
        <w:ind w:left="142"/>
      </w:pPr>
      <w:bookmarkStart w:id="120" w:name="_Toc216179726"/>
      <w:r w:rsidRPr="00E12408">
        <w:t xml:space="preserve">Cost </w:t>
      </w:r>
      <w:r w:rsidR="0004438F">
        <w:t>r</w:t>
      </w:r>
      <w:r w:rsidRPr="00E12408">
        <w:t xml:space="preserve">ecovery – </w:t>
      </w:r>
      <w:r>
        <w:t>Victorian Civil and Administrative Tribunal</w:t>
      </w:r>
      <w:bookmarkEnd w:id="120"/>
    </w:p>
    <w:p w14:paraId="0D6A5D3C" w14:textId="21FF8159" w:rsidR="00E12408" w:rsidRDefault="00F677C6" w:rsidP="008303F1">
      <w:pPr>
        <w:pStyle w:val="DJCSbody"/>
        <w:ind w:left="720"/>
      </w:pPr>
      <w:r>
        <w:t xml:space="preserve">Under the preferred option, there is a significant increase to the level of cost recovery of VCAT fees from </w:t>
      </w:r>
      <w:r w:rsidR="00C72FB4">
        <w:t>6</w:t>
      </w:r>
      <w:r w:rsidR="0040201A" w:rsidRPr="003036D1">
        <w:t>%</w:t>
      </w:r>
      <w:r>
        <w:t xml:space="preserve"> under Options 1 and 2 to </w:t>
      </w:r>
      <w:r w:rsidR="0040201A">
        <w:t>1</w:t>
      </w:r>
      <w:r w:rsidR="00510B11">
        <w:t>1</w:t>
      </w:r>
      <w:r w:rsidR="0040201A">
        <w:t>%</w:t>
      </w:r>
      <w:r>
        <w:t xml:space="preserve"> </w:t>
      </w:r>
      <w:r w:rsidR="0004438F">
        <w:t xml:space="preserve">under </w:t>
      </w:r>
      <w:r>
        <w:t>Option 3.</w:t>
      </w:r>
      <w:r w:rsidR="002F00F8">
        <w:t xml:space="preserve"> This means that under Options 1 and 2, fee revenue is </w:t>
      </w:r>
      <w:r w:rsidR="00172E5E">
        <w:t>$</w:t>
      </w:r>
      <w:r w:rsidR="005D2AE8" w:rsidRPr="00703834">
        <w:t>6.</w:t>
      </w:r>
      <w:r w:rsidR="005B3E32">
        <w:t>5</w:t>
      </w:r>
      <w:r w:rsidR="00172E5E">
        <w:t xml:space="preserve"> million compared to $</w:t>
      </w:r>
      <w:r w:rsidR="009E5FA4" w:rsidRPr="00A83189">
        <w:t>1</w:t>
      </w:r>
      <w:r w:rsidR="00CB0AD0">
        <w:t>1</w:t>
      </w:r>
      <w:r w:rsidR="009E5FA4" w:rsidRPr="00A83189">
        <w:t>.</w:t>
      </w:r>
      <w:r w:rsidR="00CB0AD0">
        <w:t>5</w:t>
      </w:r>
      <w:r w:rsidR="00172E5E">
        <w:t xml:space="preserve"> million in Option 3. This represents an increase in fee revenue of $</w:t>
      </w:r>
      <w:r w:rsidR="003535D7">
        <w:t>5</w:t>
      </w:r>
      <w:r w:rsidR="009E5FA4" w:rsidRPr="00703834">
        <w:t>.</w:t>
      </w:r>
      <w:r w:rsidR="003535D7">
        <w:t>1</w:t>
      </w:r>
      <w:r w:rsidR="009E5FA4" w:rsidRPr="00703834">
        <w:t xml:space="preserve"> million</w:t>
      </w:r>
      <w:r w:rsidR="00172E5E">
        <w:t xml:space="preserve"> or </w:t>
      </w:r>
      <w:r w:rsidR="00CC47A3">
        <w:t>77</w:t>
      </w:r>
      <w:r w:rsidR="00165F08">
        <w:t>%</w:t>
      </w:r>
      <w:r w:rsidR="00172E5E">
        <w:t>.</w:t>
      </w:r>
    </w:p>
    <w:p w14:paraId="22137BB9" w14:textId="042B4FEA" w:rsidR="00E12408" w:rsidRPr="00F603FC" w:rsidRDefault="002D3AF7" w:rsidP="00FA0CF5">
      <w:pPr>
        <w:pStyle w:val="Heading3"/>
        <w:ind w:left="709" w:hanging="680"/>
      </w:pPr>
      <w:bookmarkStart w:id="121" w:name="_Toc216179727"/>
      <w:r w:rsidRPr="00F603FC">
        <w:t xml:space="preserve">Jurisdictional </w:t>
      </w:r>
      <w:r w:rsidR="005F24AB" w:rsidRPr="00F603FC">
        <w:t>c</w:t>
      </w:r>
      <w:r w:rsidRPr="00F603FC">
        <w:t xml:space="preserve">omparison of </w:t>
      </w:r>
      <w:r w:rsidR="005F24AB" w:rsidRPr="00F603FC">
        <w:t>i</w:t>
      </w:r>
      <w:r w:rsidRPr="00F603FC">
        <w:t>mpacts</w:t>
      </w:r>
      <w:bookmarkEnd w:id="121"/>
    </w:p>
    <w:p w14:paraId="607E202D" w14:textId="7EA961FE" w:rsidR="00E12408" w:rsidRDefault="00454049" w:rsidP="00C329DD">
      <w:pPr>
        <w:pStyle w:val="DJCSbodyafterbullets"/>
        <w:ind w:left="720"/>
      </w:pPr>
      <w:r>
        <w:t>The Victorian Guide to Regulation requires that less onerous approach</w:t>
      </w:r>
      <w:r w:rsidR="00664794">
        <w:t>es</w:t>
      </w:r>
      <w:r>
        <w:t xml:space="preserve"> in other jurisdictions be considered in the RIS. Th</w:t>
      </w:r>
      <w:r w:rsidR="00664794">
        <w:t>is section therefore compares the</w:t>
      </w:r>
      <w:r>
        <w:t xml:space="preserve"> proposed</w:t>
      </w:r>
      <w:r w:rsidR="005B4D9A">
        <w:t xml:space="preserve"> fees </w:t>
      </w:r>
      <w:r w:rsidR="00664794">
        <w:t>with</w:t>
      </w:r>
      <w:r w:rsidR="005B4D9A">
        <w:t xml:space="preserve"> the Base Case as well as other comparable jurisdictions.</w:t>
      </w:r>
    </w:p>
    <w:p w14:paraId="79529977" w14:textId="0A4B3B0E" w:rsidR="00065202" w:rsidRDefault="006F051D" w:rsidP="00C329DD">
      <w:pPr>
        <w:pStyle w:val="DJCSbodyafterbullets"/>
        <w:ind w:left="720"/>
      </w:pPr>
      <w:r>
        <w:t>Not all VCAT fees are directly compar</w:t>
      </w:r>
      <w:r w:rsidR="0049313A">
        <w:t>able</w:t>
      </w:r>
      <w:r>
        <w:t xml:space="preserve"> between states and territories</w:t>
      </w:r>
      <w:r w:rsidR="0049313A">
        <w:t>. In other Australian jurisdictions, the main type of tribunal fees are application fees and administration fees. There are limited other fees included for hearings, compulsory conferences and other associated tribunal services.</w:t>
      </w:r>
      <w:r w:rsidR="0018047E">
        <w:t xml:space="preserve"> </w:t>
      </w:r>
    </w:p>
    <w:p w14:paraId="5E05C90B" w14:textId="16B07C9E" w:rsidR="007A5E41" w:rsidRDefault="008D1DAE" w:rsidP="00C329DD">
      <w:pPr>
        <w:pStyle w:val="DJCSbodyafterbullets"/>
        <w:ind w:left="720"/>
      </w:pPr>
      <w:r>
        <w:t>C</w:t>
      </w:r>
      <w:r w:rsidR="009E10D4">
        <w:t>omparing VCAT with</w:t>
      </w:r>
      <w:r w:rsidR="004F2BA8">
        <w:t xml:space="preserve"> </w:t>
      </w:r>
      <w:r w:rsidR="00DD6385">
        <w:t>NSW Civil and Administrative Tribunal (NCAT) and Queensland Civil and Administrative Tribunal (QCAT)</w:t>
      </w:r>
      <w:r w:rsidR="00065202">
        <w:t>:</w:t>
      </w:r>
      <w:r w:rsidR="009E10D4">
        <w:t xml:space="preserve"> </w:t>
      </w:r>
    </w:p>
    <w:p w14:paraId="0651EB56" w14:textId="7A23B78C" w:rsidR="00FF354C" w:rsidRDefault="008E0387" w:rsidP="003C4FE7">
      <w:pPr>
        <w:pStyle w:val="DJCSbodyafterbullets"/>
        <w:numPr>
          <w:ilvl w:val="0"/>
          <w:numId w:val="50"/>
        </w:numPr>
        <w:rPr>
          <w:rStyle w:val="DJCSbodyChar"/>
        </w:rPr>
      </w:pPr>
      <w:r>
        <w:rPr>
          <w:rStyle w:val="DJCSbodyChar"/>
        </w:rPr>
        <w:t>Like</w:t>
      </w:r>
      <w:r w:rsidR="00FF354C">
        <w:rPr>
          <w:rStyle w:val="DJCSbodyChar"/>
        </w:rPr>
        <w:t xml:space="preserve"> VCAT</w:t>
      </w:r>
      <w:r w:rsidR="006109D4">
        <w:rPr>
          <w:rStyle w:val="DJCSbodyChar"/>
        </w:rPr>
        <w:t xml:space="preserve">, </w:t>
      </w:r>
      <w:r w:rsidR="00210F0F">
        <w:rPr>
          <w:rStyle w:val="DJCSbodyChar"/>
        </w:rPr>
        <w:t>NCAT has three fee payer categories</w:t>
      </w:r>
      <w:r w:rsidR="006761C9">
        <w:rPr>
          <w:rStyle w:val="DJCSbodyChar"/>
        </w:rPr>
        <w:t xml:space="preserve"> in </w:t>
      </w:r>
      <w:r w:rsidR="00AE4585">
        <w:rPr>
          <w:rStyle w:val="DJCSbodyChar"/>
        </w:rPr>
        <w:t>its</w:t>
      </w:r>
      <w:r w:rsidR="006761C9">
        <w:rPr>
          <w:rStyle w:val="DJCSbodyChar"/>
        </w:rPr>
        <w:t xml:space="preserve"> fee structure</w:t>
      </w:r>
      <w:r w:rsidR="00210F0F">
        <w:rPr>
          <w:rStyle w:val="DJCSbodyChar"/>
        </w:rPr>
        <w:t xml:space="preserve">: Reduced, Standard and Corporation. </w:t>
      </w:r>
      <w:r>
        <w:rPr>
          <w:rStyle w:val="DJCSbodyChar"/>
        </w:rPr>
        <w:t>QCAT has a single fee payer category.</w:t>
      </w:r>
    </w:p>
    <w:p w14:paraId="13417E03" w14:textId="718181A9" w:rsidR="00F922C5" w:rsidRDefault="005F37A0" w:rsidP="003C4FE7">
      <w:pPr>
        <w:pStyle w:val="DJCSbodyafterbullets"/>
        <w:numPr>
          <w:ilvl w:val="0"/>
          <w:numId w:val="50"/>
        </w:numPr>
        <w:rPr>
          <w:rStyle w:val="DJCSbodyChar"/>
        </w:rPr>
      </w:pPr>
      <w:r>
        <w:rPr>
          <w:rStyle w:val="DJCSbodyChar"/>
        </w:rPr>
        <w:t xml:space="preserve">VCAT allocates planning and environment matters to </w:t>
      </w:r>
      <w:r w:rsidR="00DD7601">
        <w:rPr>
          <w:rStyle w:val="DJCSbodyChar"/>
        </w:rPr>
        <w:t>a dedicated division.</w:t>
      </w:r>
      <w:r>
        <w:rPr>
          <w:rStyle w:val="DJCSbodyChar"/>
        </w:rPr>
        <w:t xml:space="preserve"> </w:t>
      </w:r>
      <w:r w:rsidR="00F922C5">
        <w:rPr>
          <w:rStyle w:val="DJCSbodyChar"/>
        </w:rPr>
        <w:t xml:space="preserve">In NSW and Queensland, planning and environment proceedings </w:t>
      </w:r>
      <w:r>
        <w:rPr>
          <w:rStyle w:val="DJCSbodyChar"/>
        </w:rPr>
        <w:t>are heard in</w:t>
      </w:r>
      <w:r w:rsidR="00F922C5">
        <w:rPr>
          <w:rStyle w:val="DJCSbodyChar"/>
        </w:rPr>
        <w:t xml:space="preserve"> the Land and </w:t>
      </w:r>
      <w:r w:rsidR="00F922C5">
        <w:rPr>
          <w:rStyle w:val="DJCSbodyChar"/>
        </w:rPr>
        <w:lastRenderedPageBreak/>
        <w:t>Environment Court of NSW</w:t>
      </w:r>
      <w:r>
        <w:rPr>
          <w:rStyle w:val="DJCSbodyChar"/>
        </w:rPr>
        <w:t xml:space="preserve"> </w:t>
      </w:r>
      <w:r w:rsidR="00F922C5">
        <w:rPr>
          <w:rStyle w:val="DJCSbodyChar"/>
        </w:rPr>
        <w:t>and</w:t>
      </w:r>
      <w:r>
        <w:rPr>
          <w:rStyle w:val="DJCSbodyChar"/>
        </w:rPr>
        <w:t xml:space="preserve"> in</w:t>
      </w:r>
      <w:r w:rsidR="00F922C5">
        <w:rPr>
          <w:rStyle w:val="DJCSbodyChar"/>
        </w:rPr>
        <w:t xml:space="preserve"> Planning and Environment Court of Queensland</w:t>
      </w:r>
      <w:r>
        <w:rPr>
          <w:rStyle w:val="DJCSbodyChar"/>
        </w:rPr>
        <w:t>, respectively</w:t>
      </w:r>
      <w:r w:rsidR="006761C9">
        <w:rPr>
          <w:rStyle w:val="DJCSbodyChar"/>
        </w:rPr>
        <w:t>.</w:t>
      </w:r>
      <w:r w:rsidR="00F922C5">
        <w:rPr>
          <w:rStyle w:val="DJCSbodyChar"/>
        </w:rPr>
        <w:t xml:space="preserve"> </w:t>
      </w:r>
      <w:r w:rsidR="00B53344">
        <w:rPr>
          <w:rStyle w:val="DJCSbodyChar"/>
        </w:rPr>
        <w:t xml:space="preserve">Neither </w:t>
      </w:r>
      <w:r w:rsidR="00D73BAE">
        <w:rPr>
          <w:rStyle w:val="DJCSbodyChar"/>
        </w:rPr>
        <w:t>court</w:t>
      </w:r>
      <w:r w:rsidR="003B5808">
        <w:rPr>
          <w:rStyle w:val="DJCSbodyChar"/>
        </w:rPr>
        <w:t xml:space="preserve"> ha</w:t>
      </w:r>
      <w:r w:rsidR="00D73BAE">
        <w:rPr>
          <w:rStyle w:val="DJCSbodyChar"/>
        </w:rPr>
        <w:t>s</w:t>
      </w:r>
      <w:r w:rsidR="003B5808">
        <w:rPr>
          <w:rStyle w:val="DJCSbodyChar"/>
        </w:rPr>
        <w:t xml:space="preserve"> a concession fee payer category.</w:t>
      </w:r>
    </w:p>
    <w:p w14:paraId="75058D69" w14:textId="7883CCF8" w:rsidR="00033D4D" w:rsidRDefault="008C66D6" w:rsidP="003C4FE7">
      <w:pPr>
        <w:pStyle w:val="DJCSbodyafterbullets"/>
        <w:numPr>
          <w:ilvl w:val="0"/>
          <w:numId w:val="50"/>
        </w:numPr>
        <w:rPr>
          <w:rStyle w:val="DJCSbodyChar"/>
        </w:rPr>
      </w:pPr>
      <w:r w:rsidRPr="003036D1">
        <w:rPr>
          <w:rStyle w:val="DJCSbodyChar"/>
        </w:rPr>
        <w:t>Under the preferred option, some users</w:t>
      </w:r>
      <w:r w:rsidRPr="003036D1" w:rsidDel="006502C4">
        <w:rPr>
          <w:rStyle w:val="DJCSbodyChar"/>
        </w:rPr>
        <w:t xml:space="preserve"> </w:t>
      </w:r>
      <w:r w:rsidR="006502C4">
        <w:rPr>
          <w:rStyle w:val="DJCSbodyChar"/>
        </w:rPr>
        <w:t>of</w:t>
      </w:r>
      <w:r w:rsidR="006502C4" w:rsidRPr="003036D1">
        <w:rPr>
          <w:rStyle w:val="DJCSbodyChar"/>
        </w:rPr>
        <w:t xml:space="preserve"> </w:t>
      </w:r>
      <w:r w:rsidRPr="003036D1">
        <w:rPr>
          <w:rStyle w:val="DJCSbodyChar"/>
        </w:rPr>
        <w:t>VCAT will pay lower applications fees than in NSW</w:t>
      </w:r>
      <w:r w:rsidR="0059310B">
        <w:rPr>
          <w:rStyle w:val="DJCSbodyChar"/>
        </w:rPr>
        <w:t xml:space="preserve"> or Queensland</w:t>
      </w:r>
      <w:r w:rsidR="008D1DAE">
        <w:rPr>
          <w:rStyle w:val="DJCSbodyChar"/>
        </w:rPr>
        <w:t xml:space="preserve">. </w:t>
      </w:r>
      <w:r w:rsidR="00132976" w:rsidRPr="00132976">
        <w:rPr>
          <w:rStyle w:val="DJCSbodyChar"/>
        </w:rPr>
        <w:t>While VCAT concession fee payers may pay marginally more at the higher end of the fee range, the</w:t>
      </w:r>
      <w:r w:rsidR="009B3C8C">
        <w:rPr>
          <w:rStyle w:val="DJCSbodyChar"/>
        </w:rPr>
        <w:t>y will have</w:t>
      </w:r>
      <w:r w:rsidR="00132976" w:rsidRPr="00132976">
        <w:rPr>
          <w:rStyle w:val="DJCSbodyChar"/>
        </w:rPr>
        <w:t xml:space="preserve"> </w:t>
      </w:r>
      <w:r w:rsidR="009B3C8C">
        <w:rPr>
          <w:rStyle w:val="DJCSbodyChar"/>
        </w:rPr>
        <w:t>access to</w:t>
      </w:r>
      <w:r w:rsidR="00132976" w:rsidRPr="00132976">
        <w:rPr>
          <w:rStyle w:val="DJCSbodyChar"/>
        </w:rPr>
        <w:t xml:space="preserve"> more nil fees across all divisions and fee types</w:t>
      </w:r>
      <w:r w:rsidR="009B3C8C">
        <w:rPr>
          <w:rStyle w:val="DJCSbodyChar"/>
        </w:rPr>
        <w:t>,</w:t>
      </w:r>
      <w:r w:rsidR="00132976" w:rsidRPr="00132976">
        <w:rPr>
          <w:rStyle w:val="DJCSbodyChar"/>
        </w:rPr>
        <w:t xml:space="preserve"> without the need to apply for fee waivers. As a specific example of this mechanism, concession fee payers do not have to pay any fees for residential tenancies matters, </w:t>
      </w:r>
      <w:r w:rsidR="00410B49">
        <w:rPr>
          <w:rStyle w:val="DJCSbodyChar"/>
        </w:rPr>
        <w:t xml:space="preserve">which is </w:t>
      </w:r>
      <w:r w:rsidR="00963239">
        <w:rPr>
          <w:rStyle w:val="DJCSbodyChar"/>
        </w:rPr>
        <w:t>not available</w:t>
      </w:r>
      <w:r w:rsidR="00132976" w:rsidRPr="00132976">
        <w:rPr>
          <w:rStyle w:val="DJCSbodyChar"/>
        </w:rPr>
        <w:t xml:space="preserve"> in N</w:t>
      </w:r>
      <w:r w:rsidR="00963239">
        <w:rPr>
          <w:rStyle w:val="DJCSbodyChar"/>
        </w:rPr>
        <w:t>CAT</w:t>
      </w:r>
      <w:r w:rsidR="00132976" w:rsidRPr="00132976">
        <w:rPr>
          <w:rStyle w:val="DJCSbodyChar"/>
        </w:rPr>
        <w:t xml:space="preserve"> and Q</w:t>
      </w:r>
      <w:r w:rsidR="00963239">
        <w:rPr>
          <w:rStyle w:val="DJCSbodyChar"/>
        </w:rPr>
        <w:t>CAT</w:t>
      </w:r>
      <w:r w:rsidR="00132976" w:rsidRPr="00132976">
        <w:rPr>
          <w:rStyle w:val="DJCSbodyChar"/>
        </w:rPr>
        <w:t xml:space="preserve">. </w:t>
      </w:r>
    </w:p>
    <w:p w14:paraId="3821F91D" w14:textId="077897AC" w:rsidR="0019492D" w:rsidRDefault="00132976" w:rsidP="003C4FE7">
      <w:pPr>
        <w:pStyle w:val="DJCSbodyafterbullets"/>
        <w:numPr>
          <w:ilvl w:val="0"/>
          <w:numId w:val="50"/>
        </w:numPr>
        <w:rPr>
          <w:rStyle w:val="DJCSbodyChar"/>
        </w:rPr>
      </w:pPr>
      <w:r w:rsidRPr="00132976">
        <w:rPr>
          <w:rStyle w:val="DJCSbodyChar"/>
        </w:rPr>
        <w:t>VCAT standard fees will be generally higher than those in NCAT</w:t>
      </w:r>
      <w:r w:rsidR="0015686B">
        <w:rPr>
          <w:rStyle w:val="DJCSbodyChar"/>
        </w:rPr>
        <w:t xml:space="preserve"> and QCAT</w:t>
      </w:r>
      <w:r w:rsidR="0067615B">
        <w:rPr>
          <w:rStyle w:val="DJCSbodyChar"/>
        </w:rPr>
        <w:t xml:space="preserve">. However, standard fee payers will not </w:t>
      </w:r>
      <w:r w:rsidR="005A063F">
        <w:rPr>
          <w:rStyle w:val="DJCSbodyChar"/>
        </w:rPr>
        <w:t>be charged</w:t>
      </w:r>
      <w:r w:rsidR="0067615B">
        <w:rPr>
          <w:rStyle w:val="DJCSbodyChar"/>
        </w:rPr>
        <w:t xml:space="preserve"> fees for</w:t>
      </w:r>
      <w:r w:rsidR="00446052">
        <w:rPr>
          <w:rStyle w:val="DJCSbodyChar"/>
        </w:rPr>
        <w:t xml:space="preserve"> all VCAT</w:t>
      </w:r>
      <w:r w:rsidRPr="00132976">
        <w:rPr>
          <w:rStyle w:val="DJCSbodyChar"/>
        </w:rPr>
        <w:t xml:space="preserve"> </w:t>
      </w:r>
      <w:r w:rsidR="00B230CD">
        <w:rPr>
          <w:rStyle w:val="DJCSbodyChar"/>
        </w:rPr>
        <w:t>H</w:t>
      </w:r>
      <w:r w:rsidRPr="00132976">
        <w:rPr>
          <w:rStyle w:val="DJCSbodyChar"/>
        </w:rPr>
        <w:t xml:space="preserve">uman </w:t>
      </w:r>
      <w:r w:rsidR="00B230CD">
        <w:rPr>
          <w:rStyle w:val="DJCSbodyChar"/>
        </w:rPr>
        <w:t>R</w:t>
      </w:r>
      <w:r w:rsidRPr="00132976">
        <w:rPr>
          <w:rStyle w:val="DJCSbodyChar"/>
        </w:rPr>
        <w:t>ights</w:t>
      </w:r>
      <w:r w:rsidR="0067615B">
        <w:rPr>
          <w:rStyle w:val="DJCSbodyChar"/>
        </w:rPr>
        <w:t xml:space="preserve"> proceedings</w:t>
      </w:r>
      <w:r w:rsidR="005A063F">
        <w:rPr>
          <w:rStyle w:val="DJCSbodyChar"/>
        </w:rPr>
        <w:t xml:space="preserve"> (except for nominal fee</w:t>
      </w:r>
      <w:r w:rsidR="004F3A74">
        <w:rPr>
          <w:rStyle w:val="DJCSbodyChar"/>
        </w:rPr>
        <w:t xml:space="preserve"> for administrators</w:t>
      </w:r>
      <w:r w:rsidR="0083379D">
        <w:rPr>
          <w:rStyle w:val="DJCSbodyChar"/>
        </w:rPr>
        <w:t xml:space="preserve"> in the Guardianship List)</w:t>
      </w:r>
      <w:r w:rsidR="004F3A74">
        <w:rPr>
          <w:rStyle w:val="DJCSbodyChar"/>
        </w:rPr>
        <w:t>, whi</w:t>
      </w:r>
      <w:r w:rsidR="00A21C6C">
        <w:rPr>
          <w:rStyle w:val="DJCSbodyChar"/>
        </w:rPr>
        <w:t>ch is not the case in NCAT and QCAT.</w:t>
      </w:r>
      <w:r w:rsidR="00446052">
        <w:rPr>
          <w:rStyle w:val="DJCSbodyChar"/>
        </w:rPr>
        <w:t xml:space="preserve"> </w:t>
      </w:r>
      <w:r w:rsidR="0083379D">
        <w:rPr>
          <w:rStyle w:val="DJCSbodyChar"/>
        </w:rPr>
        <w:t xml:space="preserve"> </w:t>
      </w:r>
    </w:p>
    <w:p w14:paraId="4EAF8E9F" w14:textId="60FE83B8" w:rsidR="00F35D4B" w:rsidRDefault="00D948EB" w:rsidP="003C4FE7">
      <w:pPr>
        <w:pStyle w:val="DJCSbodyafterbullets"/>
        <w:numPr>
          <w:ilvl w:val="0"/>
          <w:numId w:val="50"/>
        </w:numPr>
        <w:rPr>
          <w:rStyle w:val="DJCSbodyChar"/>
        </w:rPr>
      </w:pPr>
      <w:r>
        <w:rPr>
          <w:rStyle w:val="DJCSbodyChar"/>
        </w:rPr>
        <w:t>VCAT c</w:t>
      </w:r>
      <w:r w:rsidR="00446052">
        <w:rPr>
          <w:rStyle w:val="DJCSbodyChar"/>
        </w:rPr>
        <w:t>orporate fees</w:t>
      </w:r>
      <w:r>
        <w:rPr>
          <w:rStyle w:val="DJCSbodyChar"/>
        </w:rPr>
        <w:t xml:space="preserve"> will be </w:t>
      </w:r>
      <w:r w:rsidR="00301490">
        <w:rPr>
          <w:rStyle w:val="DJCSbodyChar"/>
        </w:rPr>
        <w:t>generally</w:t>
      </w:r>
      <w:r>
        <w:rPr>
          <w:rStyle w:val="DJCSbodyChar"/>
        </w:rPr>
        <w:t xml:space="preserve"> higher</w:t>
      </w:r>
      <w:r w:rsidR="00CD5CF1">
        <w:rPr>
          <w:rStyle w:val="DJCSbodyChar"/>
        </w:rPr>
        <w:t xml:space="preserve"> across all matter types</w:t>
      </w:r>
      <w:r>
        <w:rPr>
          <w:rStyle w:val="DJCSbodyChar"/>
        </w:rPr>
        <w:t xml:space="preserve"> compared to NCAT and QCAT.</w:t>
      </w:r>
      <w:r w:rsidR="00994F16">
        <w:rPr>
          <w:rStyle w:val="DJCSbodyChar"/>
        </w:rPr>
        <w:t xml:space="preserve"> As addressed in </w:t>
      </w:r>
      <w:r w:rsidR="00EA3650">
        <w:rPr>
          <w:rStyle w:val="DJCSbodyChar"/>
        </w:rPr>
        <w:t>other sections of</w:t>
      </w:r>
      <w:r w:rsidR="00994F16">
        <w:rPr>
          <w:rStyle w:val="DJCSbodyChar"/>
        </w:rPr>
        <w:t xml:space="preserve"> RIS, this reflects the complexity of corporate matters in VCAT</w:t>
      </w:r>
      <w:r w:rsidR="00EA3650">
        <w:rPr>
          <w:rStyle w:val="DJCSbodyChar"/>
        </w:rPr>
        <w:t>, and</w:t>
      </w:r>
      <w:r w:rsidR="002D5600">
        <w:rPr>
          <w:rStyle w:val="DJCSbodyChar"/>
        </w:rPr>
        <w:t xml:space="preserve"> the preferred option</w:t>
      </w:r>
      <w:r w:rsidR="00EA3650">
        <w:rPr>
          <w:rStyle w:val="DJCSbodyChar"/>
        </w:rPr>
        <w:t xml:space="preserve"> will </w:t>
      </w:r>
      <w:r w:rsidR="008A706B">
        <w:rPr>
          <w:rStyle w:val="DJCSbodyChar"/>
        </w:rPr>
        <w:t>further</w:t>
      </w:r>
      <w:r w:rsidR="00EA3650">
        <w:rPr>
          <w:rStyle w:val="DJCSbodyChar"/>
        </w:rPr>
        <w:t xml:space="preserve"> ex</w:t>
      </w:r>
      <w:r w:rsidR="008A706B">
        <w:rPr>
          <w:rStyle w:val="DJCSbodyChar"/>
        </w:rPr>
        <w:t>pand the eligibility for</w:t>
      </w:r>
      <w:r w:rsidR="002D5600">
        <w:rPr>
          <w:rStyle w:val="DJCSbodyChar"/>
        </w:rPr>
        <w:t xml:space="preserve"> </w:t>
      </w:r>
      <w:r w:rsidR="00994F16">
        <w:rPr>
          <w:rStyle w:val="DJCSbodyChar"/>
        </w:rPr>
        <w:t>standard fee payers</w:t>
      </w:r>
      <w:r w:rsidR="00EA3650">
        <w:rPr>
          <w:rStyle w:val="DJCSbodyChar"/>
        </w:rPr>
        <w:t xml:space="preserve"> (small businesses) and concession fee payers</w:t>
      </w:r>
      <w:r w:rsidR="008A706B">
        <w:rPr>
          <w:rStyle w:val="DJCSbodyChar"/>
        </w:rPr>
        <w:t xml:space="preserve"> so </w:t>
      </w:r>
      <w:r w:rsidR="006054BE">
        <w:rPr>
          <w:rStyle w:val="DJCSbodyChar"/>
        </w:rPr>
        <w:t>more VCAT users will fall outside the corporate fee payer category.</w:t>
      </w:r>
    </w:p>
    <w:p w14:paraId="7923927C" w14:textId="0E027937" w:rsidR="00845079" w:rsidRDefault="00845079" w:rsidP="003C4FE7">
      <w:pPr>
        <w:pStyle w:val="DJCSbodyafterbullets"/>
        <w:numPr>
          <w:ilvl w:val="0"/>
          <w:numId w:val="50"/>
        </w:numPr>
        <w:rPr>
          <w:rStyle w:val="DJCSbodyChar"/>
        </w:rPr>
      </w:pPr>
      <w:r>
        <w:rPr>
          <w:rStyle w:val="DJCSbodyChar"/>
        </w:rPr>
        <w:t>VCAT fees for planning and environment matters</w:t>
      </w:r>
      <w:r w:rsidR="00B264C4">
        <w:rPr>
          <w:rStyle w:val="DJCSbodyChar"/>
        </w:rPr>
        <w:t xml:space="preserve">, that are not </w:t>
      </w:r>
      <w:r w:rsidR="00821B7E">
        <w:rPr>
          <w:rStyle w:val="DJCSbodyChar"/>
        </w:rPr>
        <w:t>Major Case</w:t>
      </w:r>
      <w:r w:rsidR="00B264C4">
        <w:rPr>
          <w:rStyle w:val="DJCSbodyChar"/>
        </w:rPr>
        <w:t>,</w:t>
      </w:r>
      <w:r>
        <w:rPr>
          <w:rStyle w:val="DJCSbodyChar"/>
        </w:rPr>
        <w:t xml:space="preserve"> will be lower </w:t>
      </w:r>
      <w:r w:rsidR="00FE6D59">
        <w:rPr>
          <w:rStyle w:val="DJCSbodyChar"/>
        </w:rPr>
        <w:t xml:space="preserve">across all three fee payer categories, </w:t>
      </w:r>
      <w:r>
        <w:rPr>
          <w:rStyle w:val="DJCSbodyChar"/>
        </w:rPr>
        <w:t>compared to the fees charged at NSW’s Land and Environment Division</w:t>
      </w:r>
      <w:r w:rsidR="00B53344">
        <w:rPr>
          <w:rStyle w:val="DJCSbodyChar"/>
        </w:rPr>
        <w:t xml:space="preserve">. </w:t>
      </w:r>
    </w:p>
    <w:p w14:paraId="153BF371" w14:textId="59DC2854" w:rsidR="008C66D6" w:rsidRDefault="008C66D6" w:rsidP="008C66D6">
      <w:pPr>
        <w:pStyle w:val="DJCSbodyafterbullets"/>
        <w:ind w:left="720"/>
      </w:pPr>
      <w:r w:rsidRPr="003036D1">
        <w:rPr>
          <w:rStyle w:val="DJCSbodyChar"/>
        </w:rPr>
        <w:t>It is difficult to perfectly compare all fees with other similar sized jurisdictions, as fee structures are different between states</w:t>
      </w:r>
      <w:r w:rsidR="00FE6D59">
        <w:rPr>
          <w:rStyle w:val="DJCSbodyChar"/>
        </w:rPr>
        <w:t>.</w:t>
      </w:r>
      <w:r w:rsidR="00FE6D59" w:rsidRPr="003036D1">
        <w:rPr>
          <w:rStyle w:val="DJCSbodyChar"/>
        </w:rPr>
        <w:t xml:space="preserve"> </w:t>
      </w:r>
      <w:r w:rsidR="00FE6D59">
        <w:rPr>
          <w:rStyle w:val="DJCSbodyChar"/>
        </w:rPr>
        <w:t>F</w:t>
      </w:r>
      <w:r w:rsidR="00FE6D59" w:rsidRPr="003036D1">
        <w:rPr>
          <w:rStyle w:val="DJCSbodyChar"/>
        </w:rPr>
        <w:t>or</w:t>
      </w:r>
      <w:r w:rsidRPr="003036D1">
        <w:rPr>
          <w:rStyle w:val="DJCSbodyChar"/>
        </w:rPr>
        <w:t xml:space="preserve"> example</w:t>
      </w:r>
      <w:r w:rsidR="009E6233">
        <w:rPr>
          <w:rStyle w:val="DJCSbodyChar"/>
        </w:rPr>
        <w:t>,</w:t>
      </w:r>
      <w:r w:rsidRPr="003036D1">
        <w:rPr>
          <w:rStyle w:val="DJCSbodyChar"/>
        </w:rPr>
        <w:t xml:space="preserve"> VCAT includes fees for services which are not charged in NSW nor Queensland</w:t>
      </w:r>
      <w:r w:rsidR="006B1595">
        <w:rPr>
          <w:rStyle w:val="DJCSbodyChar"/>
        </w:rPr>
        <w:t>,</w:t>
      </w:r>
      <w:r w:rsidRPr="003036D1">
        <w:rPr>
          <w:rStyle w:val="DJCSbodyChar"/>
        </w:rPr>
        <w:t xml:space="preserve"> such as fees for hearings and dispute resolution. Including these fees for VCAT allows for the structure of Victorian fees to better reflect the cost of the underlying activities and helps to incentivise earlier dispute resolution</w:t>
      </w:r>
      <w:r w:rsidR="00956123">
        <w:rPr>
          <w:rStyle w:val="DJCSbodyChar"/>
        </w:rPr>
        <w:t xml:space="preserve"> at a lower cost</w:t>
      </w:r>
      <w:r w:rsidR="008B7946">
        <w:rPr>
          <w:rStyle w:val="DJCSbodyChar"/>
        </w:rPr>
        <w:t>.</w:t>
      </w:r>
      <w:r w:rsidRPr="003036D1">
        <w:rPr>
          <w:rStyle w:val="DJCSbodyChar"/>
        </w:rPr>
        <w:t xml:space="preserve"> Cases that take longer to resolve carry a greater cost to VCAT, and in most cases mean higher fees are incurred by the user (especially for corporations</w:t>
      </w:r>
      <w:r>
        <w:t>).</w:t>
      </w:r>
      <w:r w:rsidR="00301490">
        <w:t xml:space="preserve"> </w:t>
      </w:r>
      <w:r>
        <w:t xml:space="preserve">An interjurisdictional comparison of fees can be found at </w:t>
      </w:r>
      <w:hyperlink w:anchor="_Appendix_E_–" w:history="1">
        <w:r w:rsidRPr="00CB444D">
          <w:rPr>
            <w:rStyle w:val="Hyperlink"/>
          </w:rPr>
          <w:t xml:space="preserve">Appendix </w:t>
        </w:r>
        <w:r w:rsidR="002055D8" w:rsidRPr="00CB444D">
          <w:rPr>
            <w:rStyle w:val="Hyperlink"/>
          </w:rPr>
          <w:t>E</w:t>
        </w:r>
      </w:hyperlink>
      <w:r>
        <w:t>.</w:t>
      </w:r>
    </w:p>
    <w:p w14:paraId="53F6F888" w14:textId="77777777" w:rsidR="00AC271C" w:rsidRDefault="00AC271C" w:rsidP="00784019">
      <w:pPr>
        <w:pStyle w:val="DJCSbodyafterbullets"/>
        <w:sectPr w:rsidR="00AC271C" w:rsidSect="00C5670C">
          <w:pgSz w:w="11906" w:h="16838" w:code="9"/>
          <w:pgMar w:top="1871" w:right="707" w:bottom="1588" w:left="851" w:header="283" w:footer="680" w:gutter="0"/>
          <w:cols w:space="720"/>
          <w:docGrid w:linePitch="360"/>
        </w:sectPr>
      </w:pPr>
    </w:p>
    <w:p w14:paraId="00E71D46" w14:textId="122FADC8" w:rsidR="002D3AF7" w:rsidRDefault="002D3AF7" w:rsidP="002D3AF7">
      <w:pPr>
        <w:pStyle w:val="Heading1"/>
      </w:pPr>
      <w:bookmarkStart w:id="122" w:name="_Toc216179728"/>
      <w:r>
        <w:lastRenderedPageBreak/>
        <w:t>Implementation Plan</w:t>
      </w:r>
      <w:bookmarkEnd w:id="122"/>
    </w:p>
    <w:p w14:paraId="5D8D5E4A" w14:textId="565392F2" w:rsidR="00133EA8" w:rsidRDefault="00133EA8" w:rsidP="0040524C">
      <w:pPr>
        <w:pStyle w:val="DJCSbodyafterbullets"/>
        <w:ind w:left="720"/>
      </w:pPr>
      <w:r>
        <w:t xml:space="preserve">VCAT regularly publishes updated information on fee amounts, </w:t>
      </w:r>
      <w:r w:rsidRPr="00FE7D4D">
        <w:t xml:space="preserve">particularly in line with annual changes to fee units on 1 July. When the proposed </w:t>
      </w:r>
      <w:r w:rsidR="006C62CC" w:rsidRPr="00FE7D4D">
        <w:t>R</w:t>
      </w:r>
      <w:r w:rsidRPr="00FE7D4D">
        <w:t xml:space="preserve">egulations commence </w:t>
      </w:r>
      <w:r w:rsidR="005E7EA7" w:rsidRPr="00FE7D4D">
        <w:t>in quarter four</w:t>
      </w:r>
      <w:r w:rsidR="00BB70F0" w:rsidRPr="00FE7D4D">
        <w:t xml:space="preserve"> of</w:t>
      </w:r>
      <w:r w:rsidR="009B659C" w:rsidRPr="00FE7D4D">
        <w:t xml:space="preserve"> the</w:t>
      </w:r>
      <w:r w:rsidR="00BB70F0" w:rsidRPr="00FE7D4D">
        <w:t xml:space="preserve"> 2025-2</w:t>
      </w:r>
      <w:r w:rsidR="009B659C" w:rsidRPr="00FE7D4D">
        <w:t>6 financial year</w:t>
      </w:r>
      <w:r w:rsidRPr="00FE7D4D">
        <w:t>, VCAT will update its published fee information to ensure applicants</w:t>
      </w:r>
      <w:r>
        <w:t xml:space="preserve"> and stakeholders can accurately determine the correct fees payable.</w:t>
      </w:r>
    </w:p>
    <w:p w14:paraId="136724D0" w14:textId="01224BE2" w:rsidR="00133EA8" w:rsidRDefault="00133EA8" w:rsidP="0040524C">
      <w:pPr>
        <w:pStyle w:val="DJCSbodyafterbullets"/>
        <w:ind w:left="720"/>
      </w:pPr>
      <w:r>
        <w:t>The proposed changes to VCAT fees include adjustments to the fee structure, including revised fee tiers and values. VCAT will need to update its online application system</w:t>
      </w:r>
      <w:r w:rsidR="00423034">
        <w:t>s</w:t>
      </w:r>
      <w:r>
        <w:t xml:space="preserve"> and associated documentation to reflect these changes. This includes:</w:t>
      </w:r>
    </w:p>
    <w:p w14:paraId="76FBF090" w14:textId="41148E86" w:rsidR="00133EA8" w:rsidRDefault="00133EA8" w:rsidP="0040524C">
      <w:pPr>
        <w:pStyle w:val="DJCSbodyafterbullets"/>
        <w:numPr>
          <w:ilvl w:val="0"/>
          <w:numId w:val="21"/>
        </w:numPr>
        <w:ind w:left="1440"/>
      </w:pPr>
      <w:r>
        <w:t>Updating fee schedules and explanatory notes</w:t>
      </w:r>
    </w:p>
    <w:p w14:paraId="3A48BC93" w14:textId="4CAC748F" w:rsidR="00133EA8" w:rsidRDefault="00133EA8" w:rsidP="0040524C">
      <w:pPr>
        <w:pStyle w:val="DJCSbodyafterbullets"/>
        <w:numPr>
          <w:ilvl w:val="0"/>
          <w:numId w:val="21"/>
        </w:numPr>
        <w:ind w:left="1440"/>
      </w:pPr>
      <w:r>
        <w:t>Adjusting fee categories and values in the system</w:t>
      </w:r>
      <w:r w:rsidR="00423034">
        <w:t>s</w:t>
      </w:r>
    </w:p>
    <w:p w14:paraId="13771B69" w14:textId="253D02EF" w:rsidR="00133EA8" w:rsidRDefault="00133EA8" w:rsidP="0040524C">
      <w:pPr>
        <w:pStyle w:val="DJCSbodyafterbullets"/>
        <w:numPr>
          <w:ilvl w:val="0"/>
          <w:numId w:val="21"/>
        </w:numPr>
        <w:ind w:left="1440"/>
      </w:pPr>
      <w:r>
        <w:t>Ensuring all public-facing materials reflect the new structure.</w:t>
      </w:r>
    </w:p>
    <w:p w14:paraId="5B6353F9" w14:textId="77777777" w:rsidR="00133EA8" w:rsidRDefault="00133EA8" w:rsidP="0040524C">
      <w:pPr>
        <w:pStyle w:val="DJCSbodyafterbullets"/>
        <w:ind w:left="720"/>
      </w:pPr>
      <w:r>
        <w:t>VCAT will develop a communications strategy to outline the changes and inform legal practitioners, government agencies, and the public. This will be delivered via the VCAT website and through stakeholder engagement channels.</w:t>
      </w:r>
    </w:p>
    <w:p w14:paraId="0C996694" w14:textId="77777777" w:rsidR="00133EA8" w:rsidRDefault="00133EA8" w:rsidP="0040524C">
      <w:pPr>
        <w:pStyle w:val="DJCSbodyafterbullets"/>
        <w:ind w:left="720"/>
      </w:pPr>
      <w:r>
        <w:t>VCAT will continue to monitor the implementation of fee changes through existing governance and reporting processes. DJCS will support the implementation in collaboration with VCAT, ensuring alignment with broader justice system objectives.</w:t>
      </w:r>
    </w:p>
    <w:p w14:paraId="7A29D186" w14:textId="0F006F8A" w:rsidR="00133EA8" w:rsidRDefault="00133EA8" w:rsidP="0040524C">
      <w:pPr>
        <w:pStyle w:val="DJCSbodyafterbullets"/>
        <w:ind w:left="720"/>
      </w:pPr>
      <w:r>
        <w:t xml:space="preserve">No new enforcement mechanisms are required as the existing legislative framework provides for fee collection. Fees are payable upfront at the time of application, and VCAT will continue to enforce this requirement under the updated </w:t>
      </w:r>
      <w:r w:rsidR="00C22BA9">
        <w:t>R</w:t>
      </w:r>
      <w:r>
        <w:t>egulations.</w:t>
      </w:r>
    </w:p>
    <w:p w14:paraId="6BEA1A54" w14:textId="0C372EA3" w:rsidR="002D3AF7" w:rsidRDefault="002D3AF7" w:rsidP="002D3AF7">
      <w:pPr>
        <w:pStyle w:val="Heading1"/>
      </w:pPr>
      <w:bookmarkStart w:id="123" w:name="_Toc216179729"/>
      <w:r>
        <w:t>Evaluation Strategy</w:t>
      </w:r>
      <w:bookmarkEnd w:id="123"/>
    </w:p>
    <w:p w14:paraId="6603C9CB" w14:textId="15CC2715" w:rsidR="00D901E5" w:rsidRDefault="00D901E5" w:rsidP="0040524C">
      <w:pPr>
        <w:pStyle w:val="DJCSbody"/>
        <w:ind w:left="720"/>
      </w:pPr>
      <w:r>
        <w:t xml:space="preserve">To assess the effectiveness and impact of the proposed changes to VCAT fees, both a mid-term evaluation and a sunset review will be undertaken. This approach aligns with the Victorian Guide to Regulation, which recommends mid-term evaluations for high-impact regulatory changes. Given the scale and scope of the proposed fee reforms, including the </w:t>
      </w:r>
      <w:r w:rsidR="006C300E">
        <w:t>amendment</w:t>
      </w:r>
      <w:r>
        <w:t xml:space="preserve"> of </w:t>
      </w:r>
      <w:r w:rsidR="006C300E">
        <w:t>the</w:t>
      </w:r>
      <w:r>
        <w:t xml:space="preserve"> three fee </w:t>
      </w:r>
      <w:r w:rsidR="006C300E">
        <w:t>payer categories</w:t>
      </w:r>
      <w:r>
        <w:t xml:space="preserve"> and adjustments to cost recovery, the changes meet the criteria for high-impact regulation.</w:t>
      </w:r>
    </w:p>
    <w:p w14:paraId="301FC6E2" w14:textId="77777777" w:rsidR="00F01887" w:rsidRDefault="00D901E5" w:rsidP="0040524C">
      <w:pPr>
        <w:pStyle w:val="DJCSbody"/>
        <w:ind w:left="720"/>
      </w:pPr>
      <w:r>
        <w:t xml:space="preserve">The mid-term evaluation will be conducted by 2031, with the aim of determining whether the revised fee structure is achieving its intended objectives, identifying any unintended consequences, and considering opportunities for refinement. </w:t>
      </w:r>
      <w:r w:rsidR="00B6706E">
        <w:t>This mid-term evaluation will co</w:t>
      </w:r>
      <w:r w:rsidR="00AE3031">
        <w:t xml:space="preserve">incide with the </w:t>
      </w:r>
      <w:r w:rsidR="00A41FD8">
        <w:t>required</w:t>
      </w:r>
      <w:r w:rsidR="00AE3031">
        <w:t xml:space="preserve"> remaking of the Magistrates’ Court (Fees) Regulations 2022</w:t>
      </w:r>
      <w:r w:rsidR="00A41FD8">
        <w:t xml:space="preserve"> (prior to sunsetting)</w:t>
      </w:r>
      <w:r w:rsidR="00AE3031">
        <w:t>. Given the Magistrates’ Court is a jurisdiction which also hears small claims</w:t>
      </w:r>
      <w:r w:rsidR="00682725">
        <w:t xml:space="preserve">, this will be an opportunity to consider </w:t>
      </w:r>
      <w:r w:rsidR="00DB6A35">
        <w:t>both sets of regulations together</w:t>
      </w:r>
      <w:r w:rsidR="00682725">
        <w:t xml:space="preserve">. </w:t>
      </w:r>
      <w:r>
        <w:t xml:space="preserve">A sunset review will be undertaken prior to the expiry of the </w:t>
      </w:r>
      <w:r w:rsidR="00DB6A35">
        <w:t>proposed R</w:t>
      </w:r>
      <w:r>
        <w:t>egulations in 2036, in line with the standard 10-year regulatory cycle</w:t>
      </w:r>
    </w:p>
    <w:p w14:paraId="2A0FC7A6" w14:textId="357495D2" w:rsidR="00687CD1" w:rsidRPr="001761B8" w:rsidRDefault="00687CD1" w:rsidP="0040524C">
      <w:pPr>
        <w:pStyle w:val="DJCStablecaption"/>
        <w:ind w:left="720"/>
        <w:rPr>
          <w:rFonts w:eastAsia="Times"/>
          <w:i w:val="0"/>
        </w:rPr>
      </w:pPr>
      <w:r w:rsidDel="00F3156E">
        <w:rPr>
          <w:rFonts w:eastAsia="Times"/>
          <w:i w:val="0"/>
        </w:rPr>
        <w:t>T</w:t>
      </w:r>
      <w:r w:rsidRPr="001761B8">
        <w:rPr>
          <w:rFonts w:eastAsia="Times"/>
          <w:i w:val="0"/>
        </w:rPr>
        <w:t>imeline</w:t>
      </w:r>
      <w:r w:rsidR="003A43D1" w:rsidRPr="001761B8">
        <w:rPr>
          <w:rFonts w:eastAsia="Times"/>
          <w:i w:val="0"/>
        </w:rPr>
        <w:t>s</w:t>
      </w:r>
      <w:r w:rsidRPr="001761B8">
        <w:rPr>
          <w:rFonts w:eastAsia="Times"/>
          <w:i w:val="0"/>
        </w:rPr>
        <w:t xml:space="preserve"> for </w:t>
      </w:r>
      <w:r w:rsidR="00BC478F" w:rsidRPr="001761B8">
        <w:rPr>
          <w:rFonts w:eastAsia="Times"/>
          <w:i w:val="0"/>
        </w:rPr>
        <w:t xml:space="preserve">the </w:t>
      </w:r>
      <w:r w:rsidR="003A43D1">
        <w:rPr>
          <w:rFonts w:eastAsia="Times"/>
          <w:i w:val="0"/>
          <w:iCs/>
        </w:rPr>
        <w:t xml:space="preserve">proposed </w:t>
      </w:r>
      <w:r w:rsidR="00BC478F" w:rsidRPr="001761B8">
        <w:rPr>
          <w:rFonts w:eastAsia="Times"/>
          <w:i w:val="0"/>
        </w:rPr>
        <w:t>R</w:t>
      </w:r>
      <w:r w:rsidRPr="001761B8">
        <w:rPr>
          <w:rFonts w:eastAsia="Times"/>
          <w:i w:val="0"/>
        </w:rPr>
        <w:t>egulations</w:t>
      </w:r>
      <w:r w:rsidR="003A43D1" w:rsidRPr="001761B8">
        <w:rPr>
          <w:rFonts w:eastAsia="Times"/>
          <w:i w:val="0"/>
        </w:rPr>
        <w:t>:</w:t>
      </w:r>
    </w:p>
    <w:p w14:paraId="4170292E" w14:textId="4DF2B0E6" w:rsidR="00C316DC" w:rsidRDefault="00C316DC" w:rsidP="0040524C">
      <w:pPr>
        <w:pStyle w:val="DJCSbody"/>
        <w:numPr>
          <w:ilvl w:val="0"/>
          <w:numId w:val="49"/>
        </w:numPr>
        <w:ind w:left="1440"/>
      </w:pPr>
      <w:r>
        <w:t>2026</w:t>
      </w:r>
      <w:r w:rsidR="003A43D1">
        <w:t xml:space="preserve">: </w:t>
      </w:r>
      <w:r>
        <w:t xml:space="preserve">The </w:t>
      </w:r>
      <w:r w:rsidR="00162451">
        <w:t xml:space="preserve">proposed </w:t>
      </w:r>
      <w:r>
        <w:t>Regulations come into operation</w:t>
      </w:r>
    </w:p>
    <w:p w14:paraId="06E89312" w14:textId="46F6512B" w:rsidR="00C316DC" w:rsidRDefault="00C316DC" w:rsidP="0040524C">
      <w:pPr>
        <w:pStyle w:val="DJCSbody"/>
        <w:numPr>
          <w:ilvl w:val="0"/>
          <w:numId w:val="49"/>
        </w:numPr>
        <w:ind w:left="1440"/>
      </w:pPr>
      <w:r>
        <w:t>2031</w:t>
      </w:r>
      <w:r w:rsidR="003A43D1">
        <w:t xml:space="preserve">:  </w:t>
      </w:r>
      <w:r>
        <w:t>Mid Cycle Review</w:t>
      </w:r>
    </w:p>
    <w:p w14:paraId="235EC659" w14:textId="7FE6B87C" w:rsidR="00C316DC" w:rsidRDefault="00C316DC" w:rsidP="0040524C">
      <w:pPr>
        <w:pStyle w:val="DJCSbody"/>
        <w:numPr>
          <w:ilvl w:val="0"/>
          <w:numId w:val="49"/>
        </w:numPr>
        <w:ind w:left="1440"/>
      </w:pPr>
      <w:r>
        <w:t>2032</w:t>
      </w:r>
      <w:r w:rsidR="003A43D1">
        <w:t xml:space="preserve">:  </w:t>
      </w:r>
      <w:r>
        <w:t>Magistrates’ Court (Fees) Regulations 2022 sunset</w:t>
      </w:r>
    </w:p>
    <w:p w14:paraId="4773D78E" w14:textId="4420C7D1" w:rsidR="00C316DC" w:rsidRPr="00C316DC" w:rsidRDefault="00C316DC" w:rsidP="0040524C">
      <w:pPr>
        <w:pStyle w:val="DJCSbody"/>
        <w:numPr>
          <w:ilvl w:val="0"/>
          <w:numId w:val="49"/>
        </w:numPr>
        <w:ind w:left="1440"/>
      </w:pPr>
      <w:r>
        <w:t>2036</w:t>
      </w:r>
      <w:r w:rsidR="003A43D1">
        <w:t xml:space="preserve">: </w:t>
      </w:r>
      <w:r w:rsidR="00952F45">
        <w:t xml:space="preserve"> </w:t>
      </w:r>
      <w:r>
        <w:t xml:space="preserve">Tenth year of the </w:t>
      </w:r>
      <w:r w:rsidR="001C3D86">
        <w:t>proposed R</w:t>
      </w:r>
      <w:r>
        <w:t xml:space="preserve">egulations. Expiry of </w:t>
      </w:r>
      <w:r w:rsidR="001C3D86">
        <w:t>proposed R</w:t>
      </w:r>
      <w:r>
        <w:t>egulations.</w:t>
      </w:r>
    </w:p>
    <w:p w14:paraId="41ADE2B6" w14:textId="04737CCC" w:rsidR="00D901E5" w:rsidRDefault="00D901E5" w:rsidP="0040524C">
      <w:pPr>
        <w:pStyle w:val="DJCSbodyafterbullets"/>
        <w:ind w:left="720"/>
      </w:pPr>
      <w:r>
        <w:lastRenderedPageBreak/>
        <w:t>These evaluations will consider:</w:t>
      </w:r>
    </w:p>
    <w:p w14:paraId="46DF2EDE" w14:textId="62E124B6" w:rsidR="00D901E5" w:rsidRDefault="00D901E5" w:rsidP="0040524C">
      <w:pPr>
        <w:pStyle w:val="DJCSbodyafterbullets"/>
        <w:numPr>
          <w:ilvl w:val="0"/>
          <w:numId w:val="22"/>
        </w:numPr>
        <w:ind w:left="1440"/>
      </w:pPr>
      <w:r>
        <w:t>Whether the revised VCAT fees adequately support the cost of delivering tribunal services, including the operation and maintenance of VCAT’s online application and case management systems.</w:t>
      </w:r>
    </w:p>
    <w:p w14:paraId="7B15D0D0" w14:textId="267F7FB5" w:rsidR="00D901E5" w:rsidRDefault="00D901E5" w:rsidP="0040524C">
      <w:pPr>
        <w:pStyle w:val="DJCSbodyafterbullets"/>
        <w:numPr>
          <w:ilvl w:val="0"/>
          <w:numId w:val="22"/>
        </w:numPr>
        <w:ind w:left="1440"/>
      </w:pPr>
      <w:r>
        <w:t>Feedback from stakeholders, including legal practitioners, community legal centres, government agencies, and tribunal users. The Law Institute of Victoria and other representative bodies will be engaged to ensure feedback is collected from a broad cross-section of users.</w:t>
      </w:r>
    </w:p>
    <w:p w14:paraId="7EF4EE43" w14:textId="77777777" w:rsidR="00D901E5" w:rsidRDefault="00D901E5" w:rsidP="0040524C">
      <w:pPr>
        <w:pStyle w:val="DJCSbodyafterbullets"/>
        <w:numPr>
          <w:ilvl w:val="0"/>
          <w:numId w:val="22"/>
        </w:numPr>
        <w:ind w:left="1440"/>
      </w:pPr>
      <w:r>
        <w:t>Opportunities for further improvements to fee levels, fee structures, and the accessibility of VCAT services.</w:t>
      </w:r>
    </w:p>
    <w:p w14:paraId="76A16773" w14:textId="305D8ED0" w:rsidR="00D901E5" w:rsidRDefault="00D901E5" w:rsidP="0040524C">
      <w:pPr>
        <w:pStyle w:val="DJCSbodyafterbullets"/>
        <w:ind w:left="720"/>
      </w:pPr>
      <w:r>
        <w:t>VCAT will utilise its existing information systems and administrative data to monitor implementation and inform evaluation. This includes data on:</w:t>
      </w:r>
    </w:p>
    <w:p w14:paraId="290A8FFA" w14:textId="389E6861" w:rsidR="00D901E5" w:rsidRDefault="00D901E5" w:rsidP="0040524C">
      <w:pPr>
        <w:pStyle w:val="DJCSbodyafterbullets"/>
        <w:numPr>
          <w:ilvl w:val="0"/>
          <w:numId w:val="22"/>
        </w:numPr>
        <w:ind w:left="1440"/>
      </w:pPr>
      <w:r>
        <w:t>Application volumes across different lists</w:t>
      </w:r>
    </w:p>
    <w:p w14:paraId="15424490" w14:textId="301727B5" w:rsidR="00D901E5" w:rsidRDefault="00D901E5" w:rsidP="0040524C">
      <w:pPr>
        <w:pStyle w:val="DJCSbodyafterbullets"/>
        <w:numPr>
          <w:ilvl w:val="0"/>
          <w:numId w:val="22"/>
        </w:numPr>
        <w:ind w:left="1440"/>
      </w:pPr>
      <w:r>
        <w:t>Fee category distribution (corporate, standard, concession)</w:t>
      </w:r>
    </w:p>
    <w:p w14:paraId="331719D4" w14:textId="33B1D11A" w:rsidR="006C0381" w:rsidRDefault="00D901E5" w:rsidP="0040524C">
      <w:pPr>
        <w:pStyle w:val="DJCSbodyafterbullets"/>
        <w:numPr>
          <w:ilvl w:val="0"/>
          <w:numId w:val="22"/>
        </w:numPr>
        <w:ind w:left="1440"/>
      </w:pPr>
      <w:r>
        <w:t>Case outcomes and processing times.</w:t>
      </w:r>
    </w:p>
    <w:p w14:paraId="66336840" w14:textId="11382CB0" w:rsidR="00D901E5" w:rsidRDefault="00D901E5" w:rsidP="0040524C">
      <w:pPr>
        <w:pStyle w:val="DJCSbody"/>
        <w:ind w:left="720"/>
      </w:pPr>
      <w:r>
        <w:t>The evaluation will follow a regulatory program logic model, which includes:</w:t>
      </w:r>
    </w:p>
    <w:p w14:paraId="4FB7D3C1" w14:textId="6788AE8A" w:rsidR="00DD31ED" w:rsidRPr="00DD31ED" w:rsidRDefault="00F603FC" w:rsidP="0040524C">
      <w:pPr>
        <w:pStyle w:val="DJCStablecaption"/>
        <w:ind w:left="720"/>
      </w:pPr>
      <w:r>
        <w:rPr>
          <w:rFonts w:eastAsia="Times"/>
          <w:noProof/>
        </w:rPr>
        <w:drawing>
          <wp:anchor distT="0" distB="0" distL="114300" distR="114300" simplePos="0" relativeHeight="251658243" behindDoc="0" locked="0" layoutInCell="1" allowOverlap="1" wp14:anchorId="6E878EFD" wp14:editId="69E54854">
            <wp:simplePos x="0" y="0"/>
            <wp:positionH relativeFrom="margin">
              <wp:posOffset>374015</wp:posOffset>
            </wp:positionH>
            <wp:positionV relativeFrom="paragraph">
              <wp:posOffset>308610</wp:posOffset>
            </wp:positionV>
            <wp:extent cx="5574030" cy="3108325"/>
            <wp:effectExtent l="0" t="0" r="7620" b="0"/>
            <wp:wrapSquare wrapText="bothSides"/>
            <wp:docPr id="128252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4030" cy="3108325"/>
                    </a:xfrm>
                    <a:prstGeom prst="rect">
                      <a:avLst/>
                    </a:prstGeom>
                    <a:noFill/>
                  </pic:spPr>
                </pic:pic>
              </a:graphicData>
            </a:graphic>
            <wp14:sizeRelH relativeFrom="margin">
              <wp14:pctWidth>0</wp14:pctWidth>
            </wp14:sizeRelH>
            <wp14:sizeRelV relativeFrom="margin">
              <wp14:pctHeight>0</wp14:pctHeight>
            </wp14:sizeRelV>
          </wp:anchor>
        </w:drawing>
      </w:r>
      <w:r w:rsidR="00DD31ED" w:rsidRPr="00DD31ED">
        <w:t xml:space="preserve">Figure </w:t>
      </w:r>
      <w:r w:rsidR="00D85FF6">
        <w:t>3</w:t>
      </w:r>
      <w:r w:rsidR="00F327A1">
        <w:t xml:space="preserve"> -</w:t>
      </w:r>
      <w:r w:rsidR="00DD31ED" w:rsidRPr="00DD31ED">
        <w:t xml:space="preserve"> Program logic</w:t>
      </w:r>
      <w:r w:rsidR="001374DF">
        <w:t xml:space="preserve"> for evaluation</w:t>
      </w:r>
    </w:p>
    <w:p w14:paraId="02CF6802" w14:textId="77777777" w:rsidR="00FD0FBD" w:rsidRDefault="00FD0FBD" w:rsidP="0040524C">
      <w:pPr>
        <w:pStyle w:val="DJCSbodyafterbullets"/>
        <w:ind w:left="720" w:hanging="567"/>
      </w:pPr>
    </w:p>
    <w:p w14:paraId="323BCC0E" w14:textId="77777777" w:rsidR="00952F45" w:rsidRDefault="00952F45" w:rsidP="0040524C">
      <w:pPr>
        <w:pStyle w:val="DJCSbodyafterbullets"/>
        <w:ind w:left="720"/>
      </w:pPr>
    </w:p>
    <w:p w14:paraId="4523C80A" w14:textId="77777777" w:rsidR="00952F45" w:rsidRDefault="00952F45" w:rsidP="0040524C">
      <w:pPr>
        <w:pStyle w:val="DJCSbodyafterbullets"/>
        <w:ind w:left="720"/>
      </w:pPr>
    </w:p>
    <w:p w14:paraId="596722BB" w14:textId="77777777" w:rsidR="00952F45" w:rsidRDefault="00952F45" w:rsidP="0040524C">
      <w:pPr>
        <w:pStyle w:val="DJCSbodyafterbullets"/>
        <w:ind w:left="720"/>
      </w:pPr>
    </w:p>
    <w:p w14:paraId="003BE240" w14:textId="77777777" w:rsidR="00952F45" w:rsidRDefault="00952F45" w:rsidP="0040524C">
      <w:pPr>
        <w:pStyle w:val="DJCSbodyafterbullets"/>
        <w:ind w:left="720"/>
      </w:pPr>
    </w:p>
    <w:p w14:paraId="6442A768" w14:textId="77777777" w:rsidR="00952F45" w:rsidRDefault="00952F45" w:rsidP="0040524C">
      <w:pPr>
        <w:pStyle w:val="DJCSbodyafterbullets"/>
        <w:ind w:left="720"/>
      </w:pPr>
    </w:p>
    <w:p w14:paraId="475B117B" w14:textId="77777777" w:rsidR="00952F45" w:rsidRDefault="00952F45" w:rsidP="0040524C">
      <w:pPr>
        <w:pStyle w:val="DJCSbodyafterbullets"/>
        <w:ind w:left="720"/>
      </w:pPr>
    </w:p>
    <w:p w14:paraId="711E194E" w14:textId="77777777" w:rsidR="00952F45" w:rsidRDefault="00952F45" w:rsidP="0040524C">
      <w:pPr>
        <w:pStyle w:val="DJCSbodyafterbullets"/>
        <w:ind w:left="720"/>
      </w:pPr>
    </w:p>
    <w:p w14:paraId="62C5E960" w14:textId="77777777" w:rsidR="00952F45" w:rsidRDefault="00952F45" w:rsidP="0040524C">
      <w:pPr>
        <w:pStyle w:val="DJCSbodyafterbullets"/>
        <w:ind w:left="720"/>
      </w:pPr>
    </w:p>
    <w:p w14:paraId="53F807C3" w14:textId="77777777" w:rsidR="00952F45" w:rsidRDefault="00952F45" w:rsidP="0040524C">
      <w:pPr>
        <w:pStyle w:val="DJCSbodyafterbullets"/>
        <w:ind w:left="720"/>
      </w:pPr>
    </w:p>
    <w:p w14:paraId="59623358" w14:textId="77777777" w:rsidR="00952F45" w:rsidRDefault="00952F45" w:rsidP="0040524C">
      <w:pPr>
        <w:pStyle w:val="DJCSbodyafterbullets"/>
        <w:ind w:left="720"/>
      </w:pPr>
    </w:p>
    <w:p w14:paraId="6D99D593" w14:textId="77777777" w:rsidR="00952F45" w:rsidRDefault="00952F45" w:rsidP="0040524C">
      <w:pPr>
        <w:pStyle w:val="DJCSbodyafterbullets"/>
        <w:ind w:left="720"/>
      </w:pPr>
    </w:p>
    <w:p w14:paraId="79C94B93" w14:textId="77777777" w:rsidR="00F01887" w:rsidRDefault="00F01887" w:rsidP="0040524C">
      <w:pPr>
        <w:pStyle w:val="DJCSbodyafterbullets"/>
        <w:ind w:left="720"/>
      </w:pPr>
    </w:p>
    <w:p w14:paraId="5FE02D4D" w14:textId="77777777" w:rsidR="00560F85" w:rsidRDefault="00560F85" w:rsidP="0040524C">
      <w:pPr>
        <w:pStyle w:val="DJCSbodyafterbullets"/>
        <w:ind w:left="720"/>
      </w:pPr>
    </w:p>
    <w:p w14:paraId="6F614735" w14:textId="3A3B4C33" w:rsidR="00552E72" w:rsidRPr="00C35488" w:rsidRDefault="0056253D" w:rsidP="0040524C">
      <w:pPr>
        <w:pStyle w:val="DJCSbodyafterbullets"/>
        <w:ind w:left="720"/>
      </w:pPr>
      <w:r>
        <w:t>DJCS will oversee the mid-term evaluation and liaise with the Commissioner for Better Regulation Victoria to ensure the evaluation meets standards of transparency and rigour. The evaluation process is expected to take approximately six months, allowing sufficient time for consultation and analysis.</w:t>
      </w:r>
      <w:r w:rsidR="00552E72">
        <w:t xml:space="preserve"> </w:t>
      </w:r>
    </w:p>
    <w:p w14:paraId="773FAE64" w14:textId="787A8CA9" w:rsidR="002D553B" w:rsidRDefault="002D553B" w:rsidP="001761B8">
      <w:pPr>
        <w:pStyle w:val="DJCSbodyafterbullets"/>
      </w:pPr>
      <w:r>
        <w:br w:type="page"/>
      </w:r>
    </w:p>
    <w:p w14:paraId="3C643F23" w14:textId="6211FD6F" w:rsidR="0075499D" w:rsidRDefault="00113228" w:rsidP="00FA0CF5">
      <w:pPr>
        <w:pStyle w:val="Heading1"/>
      </w:pPr>
      <w:bookmarkStart w:id="124" w:name="_Toc208241322"/>
      <w:bookmarkStart w:id="125" w:name="_Toc208241323"/>
      <w:bookmarkStart w:id="126" w:name="_Toc208241324"/>
      <w:bookmarkStart w:id="127" w:name="_Appendix_A"/>
      <w:bookmarkStart w:id="128" w:name="_Toc216179730"/>
      <w:bookmarkEnd w:id="124"/>
      <w:bookmarkEnd w:id="125"/>
      <w:bookmarkEnd w:id="126"/>
      <w:bookmarkEnd w:id="127"/>
      <w:r>
        <w:lastRenderedPageBreak/>
        <w:t xml:space="preserve">Appendix </w:t>
      </w:r>
      <w:r w:rsidR="002C58F4">
        <w:t>A</w:t>
      </w:r>
      <w:r w:rsidR="00534658" w:rsidRPr="00534658">
        <w:t xml:space="preserve"> – </w:t>
      </w:r>
      <w:r w:rsidR="006345A8">
        <w:t>Current Fees</w:t>
      </w:r>
      <w:bookmarkEnd w:id="128"/>
    </w:p>
    <w:p w14:paraId="0EDD6307" w14:textId="0C2CC50A" w:rsidR="00E11A60" w:rsidRDefault="00113228" w:rsidP="001761B8">
      <w:pPr>
        <w:pStyle w:val="DJCStablecaption"/>
        <w:ind w:left="0"/>
      </w:pPr>
      <w:r w:rsidRPr="003036D1">
        <w:t>Table 2</w:t>
      </w:r>
      <w:r w:rsidR="00E16D08">
        <w:t>2</w:t>
      </w:r>
      <w:r w:rsidRPr="003036D1">
        <w:t>: Outline of current fees charged for VCAT services</w:t>
      </w:r>
      <w:r w:rsidR="00C106BA" w:rsidRPr="003036D1">
        <w:t xml:space="preserve"> </w:t>
      </w:r>
    </w:p>
    <w:tbl>
      <w:tblPr>
        <w:tblW w:w="5001" w:type="pct"/>
        <w:tblLook w:val="04A0" w:firstRow="1" w:lastRow="0" w:firstColumn="1" w:lastColumn="0" w:noHBand="0" w:noVBand="1"/>
      </w:tblPr>
      <w:tblGrid>
        <w:gridCol w:w="587"/>
        <w:gridCol w:w="370"/>
        <w:gridCol w:w="6627"/>
        <w:gridCol w:w="918"/>
        <w:gridCol w:w="467"/>
        <w:gridCol w:w="452"/>
        <w:gridCol w:w="919"/>
      </w:tblGrid>
      <w:tr w:rsidR="00001083" w:rsidRPr="00001083" w14:paraId="3F3F78C9" w14:textId="77777777" w:rsidTr="00D9348A">
        <w:trPr>
          <w:trHeight w:val="555"/>
          <w:tblHeader/>
        </w:trPr>
        <w:tc>
          <w:tcPr>
            <w:tcW w:w="284" w:type="pct"/>
            <w:tcBorders>
              <w:top w:val="single" w:sz="4" w:space="0" w:color="auto"/>
              <w:left w:val="single" w:sz="4" w:space="0" w:color="auto"/>
              <w:bottom w:val="nil"/>
              <w:right w:val="single" w:sz="4" w:space="0" w:color="auto"/>
            </w:tcBorders>
            <w:shd w:val="clear" w:color="000000" w:fill="16145F"/>
            <w:noWrap/>
            <w:vAlign w:val="center"/>
            <w:hideMark/>
          </w:tcPr>
          <w:p w14:paraId="1EE7CE2A" w14:textId="77777777" w:rsidR="00001083" w:rsidRPr="00001083" w:rsidRDefault="00001083" w:rsidP="00001083">
            <w:pPr>
              <w:jc w:val="center"/>
              <w:rPr>
                <w:rFonts w:ascii="Arial" w:hAnsi="Arial" w:cs="Arial"/>
                <w:b/>
                <w:bCs/>
                <w:color w:val="FFFFFF"/>
                <w:sz w:val="18"/>
                <w:szCs w:val="18"/>
                <w:lang w:eastAsia="ko-KR"/>
              </w:rPr>
            </w:pPr>
            <w:r w:rsidRPr="00001083">
              <w:rPr>
                <w:rFonts w:ascii="Arial" w:hAnsi="Arial" w:cs="Arial"/>
                <w:b/>
                <w:bCs/>
                <w:color w:val="FFFFFF"/>
                <w:sz w:val="18"/>
                <w:szCs w:val="18"/>
                <w:lang w:eastAsia="ko-KR"/>
              </w:rPr>
              <w:t>Item</w:t>
            </w:r>
          </w:p>
        </w:tc>
        <w:tc>
          <w:tcPr>
            <w:tcW w:w="3385" w:type="pct"/>
            <w:gridSpan w:val="2"/>
            <w:tcBorders>
              <w:top w:val="single" w:sz="4" w:space="0" w:color="auto"/>
              <w:left w:val="nil"/>
              <w:bottom w:val="nil"/>
              <w:right w:val="single" w:sz="4" w:space="0" w:color="auto"/>
            </w:tcBorders>
            <w:shd w:val="clear" w:color="000000" w:fill="16145F"/>
            <w:noWrap/>
            <w:vAlign w:val="center"/>
            <w:hideMark/>
          </w:tcPr>
          <w:p w14:paraId="3DDCEC69" w14:textId="77777777" w:rsidR="00001083" w:rsidRPr="00001083" w:rsidRDefault="00001083" w:rsidP="00001083">
            <w:pPr>
              <w:rPr>
                <w:rFonts w:ascii="Arial" w:hAnsi="Arial" w:cs="Arial"/>
                <w:b/>
                <w:bCs/>
                <w:color w:val="FFFFFF"/>
                <w:sz w:val="18"/>
                <w:szCs w:val="18"/>
                <w:lang w:eastAsia="ko-KR"/>
              </w:rPr>
            </w:pPr>
            <w:r w:rsidRPr="00001083">
              <w:rPr>
                <w:rFonts w:ascii="Arial" w:hAnsi="Arial" w:cs="Arial"/>
                <w:b/>
                <w:bCs/>
                <w:color w:val="FFFFFF"/>
                <w:sz w:val="18"/>
                <w:szCs w:val="18"/>
                <w:lang w:eastAsia="ko-KR"/>
              </w:rPr>
              <w:t>Description</w:t>
            </w:r>
          </w:p>
        </w:tc>
        <w:tc>
          <w:tcPr>
            <w:tcW w:w="443" w:type="pct"/>
            <w:tcBorders>
              <w:top w:val="single" w:sz="4" w:space="0" w:color="auto"/>
              <w:left w:val="nil"/>
              <w:bottom w:val="nil"/>
              <w:right w:val="single" w:sz="4" w:space="0" w:color="auto"/>
            </w:tcBorders>
            <w:shd w:val="clear" w:color="000000" w:fill="16145F"/>
            <w:vAlign w:val="center"/>
            <w:hideMark/>
          </w:tcPr>
          <w:p w14:paraId="5F66591A" w14:textId="77777777" w:rsidR="00001083" w:rsidRPr="00001083" w:rsidRDefault="00001083" w:rsidP="00001083">
            <w:pPr>
              <w:jc w:val="center"/>
              <w:rPr>
                <w:rFonts w:ascii="Arial" w:hAnsi="Arial" w:cs="Arial"/>
                <w:b/>
                <w:bCs/>
                <w:color w:val="FFFFFF"/>
                <w:sz w:val="18"/>
                <w:szCs w:val="18"/>
                <w:lang w:eastAsia="ko-KR"/>
              </w:rPr>
            </w:pPr>
            <w:r w:rsidRPr="00001083">
              <w:rPr>
                <w:rFonts w:ascii="Arial" w:hAnsi="Arial" w:cs="Arial"/>
                <w:b/>
                <w:bCs/>
                <w:color w:val="FFFFFF"/>
                <w:sz w:val="18"/>
                <w:szCs w:val="18"/>
                <w:lang w:eastAsia="ko-KR"/>
              </w:rPr>
              <w:t xml:space="preserve"> Fee</w:t>
            </w:r>
            <w:r w:rsidRPr="00001083">
              <w:rPr>
                <w:rFonts w:ascii="Arial" w:hAnsi="Arial" w:cs="Arial"/>
                <w:b/>
                <w:bCs/>
                <w:color w:val="FFFFFF"/>
                <w:sz w:val="18"/>
                <w:szCs w:val="18"/>
                <w:lang w:eastAsia="ko-KR"/>
              </w:rPr>
              <w:br/>
              <w:t xml:space="preserve">(2025-26) </w:t>
            </w:r>
          </w:p>
        </w:tc>
        <w:tc>
          <w:tcPr>
            <w:tcW w:w="443" w:type="pct"/>
            <w:gridSpan w:val="2"/>
            <w:tcBorders>
              <w:top w:val="single" w:sz="4" w:space="0" w:color="auto"/>
              <w:left w:val="nil"/>
              <w:bottom w:val="nil"/>
              <w:right w:val="single" w:sz="4" w:space="0" w:color="auto"/>
            </w:tcBorders>
            <w:shd w:val="clear" w:color="000000" w:fill="16145F"/>
            <w:vAlign w:val="center"/>
            <w:hideMark/>
          </w:tcPr>
          <w:p w14:paraId="747515EE" w14:textId="77777777" w:rsidR="00001083" w:rsidRPr="00001083" w:rsidRDefault="00001083" w:rsidP="00001083">
            <w:pPr>
              <w:jc w:val="center"/>
              <w:rPr>
                <w:rFonts w:ascii="Arial" w:hAnsi="Arial" w:cs="Arial"/>
                <w:b/>
                <w:bCs/>
                <w:color w:val="FFFFFF"/>
                <w:sz w:val="18"/>
                <w:szCs w:val="18"/>
                <w:lang w:eastAsia="ko-KR"/>
              </w:rPr>
            </w:pPr>
            <w:r w:rsidRPr="00001083">
              <w:rPr>
                <w:rFonts w:ascii="Arial" w:hAnsi="Arial" w:cs="Arial"/>
                <w:b/>
                <w:bCs/>
                <w:color w:val="FFFFFF"/>
                <w:sz w:val="18"/>
                <w:szCs w:val="18"/>
                <w:lang w:eastAsia="ko-KR"/>
              </w:rPr>
              <w:t xml:space="preserve"> Fee</w:t>
            </w:r>
            <w:r w:rsidRPr="00001083">
              <w:rPr>
                <w:rFonts w:ascii="Arial" w:hAnsi="Arial" w:cs="Arial"/>
                <w:b/>
                <w:bCs/>
                <w:color w:val="FFFFFF"/>
                <w:sz w:val="18"/>
                <w:szCs w:val="18"/>
                <w:lang w:eastAsia="ko-KR"/>
              </w:rPr>
              <w:br/>
              <w:t xml:space="preserve">(2025-26) </w:t>
            </w:r>
          </w:p>
        </w:tc>
        <w:tc>
          <w:tcPr>
            <w:tcW w:w="443" w:type="pct"/>
            <w:tcBorders>
              <w:top w:val="single" w:sz="4" w:space="0" w:color="auto"/>
              <w:left w:val="nil"/>
              <w:bottom w:val="nil"/>
              <w:right w:val="single" w:sz="4" w:space="0" w:color="auto"/>
            </w:tcBorders>
            <w:shd w:val="clear" w:color="000000" w:fill="16145F"/>
            <w:vAlign w:val="center"/>
            <w:hideMark/>
          </w:tcPr>
          <w:p w14:paraId="4AD74359" w14:textId="77777777" w:rsidR="00001083" w:rsidRPr="00001083" w:rsidRDefault="00001083" w:rsidP="00001083">
            <w:pPr>
              <w:jc w:val="center"/>
              <w:rPr>
                <w:rFonts w:ascii="Arial" w:hAnsi="Arial" w:cs="Arial"/>
                <w:b/>
                <w:bCs/>
                <w:color w:val="FFFFFF"/>
                <w:sz w:val="18"/>
                <w:szCs w:val="18"/>
                <w:lang w:eastAsia="ko-KR"/>
              </w:rPr>
            </w:pPr>
            <w:r w:rsidRPr="00001083">
              <w:rPr>
                <w:rFonts w:ascii="Arial" w:hAnsi="Arial" w:cs="Arial"/>
                <w:b/>
                <w:bCs/>
                <w:color w:val="FFFFFF"/>
                <w:sz w:val="18"/>
                <w:szCs w:val="18"/>
                <w:lang w:eastAsia="ko-KR"/>
              </w:rPr>
              <w:t xml:space="preserve"> Fee</w:t>
            </w:r>
            <w:r w:rsidRPr="00001083">
              <w:rPr>
                <w:rFonts w:ascii="Arial" w:hAnsi="Arial" w:cs="Arial"/>
                <w:b/>
                <w:bCs/>
                <w:color w:val="FFFFFF"/>
                <w:sz w:val="18"/>
                <w:szCs w:val="18"/>
                <w:lang w:eastAsia="ko-KR"/>
              </w:rPr>
              <w:br/>
              <w:t xml:space="preserve">(2025-26) </w:t>
            </w:r>
          </w:p>
        </w:tc>
      </w:tr>
      <w:tr w:rsidR="00001083" w:rsidRPr="00001083" w14:paraId="535E06EA" w14:textId="77777777" w:rsidTr="001761B8">
        <w:trPr>
          <w:trHeight w:val="403"/>
        </w:trPr>
        <w:tc>
          <w:tcPr>
            <w:tcW w:w="3669"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1098D7E" w14:textId="77777777" w:rsidR="00001083" w:rsidRPr="00001083" w:rsidRDefault="00001083" w:rsidP="009B659C">
            <w:pPr>
              <w:rPr>
                <w:rFonts w:ascii="Arial" w:hAnsi="Arial" w:cs="Arial"/>
                <w:b/>
                <w:bCs/>
                <w:color w:val="000000"/>
                <w:sz w:val="18"/>
                <w:szCs w:val="18"/>
                <w:lang w:eastAsia="ko-KR"/>
              </w:rPr>
            </w:pPr>
            <w:r w:rsidRPr="00001083">
              <w:rPr>
                <w:rFonts w:ascii="Arial" w:hAnsi="Arial" w:cs="Arial"/>
                <w:b/>
                <w:bCs/>
                <w:color w:val="000000"/>
                <w:sz w:val="18"/>
                <w:szCs w:val="18"/>
                <w:lang w:eastAsia="ko-KR"/>
              </w:rPr>
              <w:t>Part 1—Fee for commencement of a proceeding</w:t>
            </w:r>
          </w:p>
        </w:tc>
        <w:tc>
          <w:tcPr>
            <w:tcW w:w="44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685BF69" w14:textId="77777777" w:rsidR="00001083" w:rsidRPr="003013A9" w:rsidRDefault="00001083" w:rsidP="00001083">
            <w:pPr>
              <w:jc w:val="center"/>
              <w:rPr>
                <w:rFonts w:ascii="Arial" w:hAnsi="Arial" w:cs="Arial"/>
                <w:b/>
                <w:color w:val="000000"/>
                <w:sz w:val="12"/>
                <w:szCs w:val="12"/>
                <w:lang w:eastAsia="ko-KR"/>
              </w:rPr>
            </w:pPr>
            <w:r w:rsidRPr="003013A9">
              <w:rPr>
                <w:rFonts w:ascii="Arial" w:hAnsi="Arial" w:cs="Arial"/>
                <w:b/>
                <w:color w:val="000000"/>
                <w:sz w:val="12"/>
                <w:szCs w:val="12"/>
                <w:lang w:eastAsia="ko-KR"/>
              </w:rPr>
              <w:t>Corporate</w:t>
            </w:r>
          </w:p>
        </w:tc>
        <w:tc>
          <w:tcPr>
            <w:tcW w:w="443" w:type="pct"/>
            <w:gridSpan w:val="2"/>
            <w:tcBorders>
              <w:top w:val="single" w:sz="4" w:space="0" w:color="auto"/>
              <w:left w:val="nil"/>
              <w:bottom w:val="single" w:sz="4" w:space="0" w:color="auto"/>
              <w:right w:val="single" w:sz="4" w:space="0" w:color="auto"/>
            </w:tcBorders>
            <w:shd w:val="clear" w:color="000000" w:fill="F2F2F2"/>
            <w:vAlign w:val="center"/>
            <w:hideMark/>
          </w:tcPr>
          <w:p w14:paraId="340D1888" w14:textId="77777777" w:rsidR="00001083" w:rsidRPr="003013A9" w:rsidRDefault="00001083" w:rsidP="00001083">
            <w:pPr>
              <w:jc w:val="center"/>
              <w:rPr>
                <w:rFonts w:ascii="Arial" w:hAnsi="Arial" w:cs="Arial"/>
                <w:b/>
                <w:color w:val="000000"/>
                <w:sz w:val="12"/>
                <w:szCs w:val="12"/>
                <w:lang w:eastAsia="ko-KR"/>
              </w:rPr>
            </w:pPr>
            <w:r w:rsidRPr="003013A9">
              <w:rPr>
                <w:rFonts w:ascii="Arial" w:hAnsi="Arial" w:cs="Arial"/>
                <w:b/>
                <w:color w:val="000000"/>
                <w:sz w:val="12"/>
                <w:szCs w:val="12"/>
                <w:lang w:eastAsia="ko-KR"/>
              </w:rPr>
              <w:t>Standard</w:t>
            </w:r>
          </w:p>
        </w:tc>
        <w:tc>
          <w:tcPr>
            <w:tcW w:w="443" w:type="pct"/>
            <w:tcBorders>
              <w:top w:val="single" w:sz="4" w:space="0" w:color="auto"/>
              <w:left w:val="nil"/>
              <w:bottom w:val="single" w:sz="4" w:space="0" w:color="auto"/>
              <w:right w:val="single" w:sz="4" w:space="0" w:color="auto"/>
            </w:tcBorders>
            <w:shd w:val="clear" w:color="000000" w:fill="F2F2F2"/>
            <w:vAlign w:val="center"/>
            <w:hideMark/>
          </w:tcPr>
          <w:p w14:paraId="7572E23C" w14:textId="77777777" w:rsidR="00001083" w:rsidRPr="003013A9" w:rsidRDefault="00001083" w:rsidP="00001083">
            <w:pPr>
              <w:jc w:val="center"/>
              <w:rPr>
                <w:rFonts w:ascii="Arial" w:hAnsi="Arial" w:cs="Arial"/>
                <w:b/>
                <w:color w:val="000000"/>
                <w:sz w:val="12"/>
                <w:szCs w:val="12"/>
                <w:lang w:eastAsia="ko-KR"/>
              </w:rPr>
            </w:pPr>
            <w:r w:rsidRPr="003013A9">
              <w:rPr>
                <w:rFonts w:ascii="Arial" w:hAnsi="Arial" w:cs="Arial"/>
                <w:b/>
                <w:color w:val="000000"/>
                <w:sz w:val="12"/>
                <w:szCs w:val="12"/>
                <w:lang w:eastAsia="ko-KR"/>
              </w:rPr>
              <w:t>Concession</w:t>
            </w:r>
          </w:p>
        </w:tc>
      </w:tr>
      <w:tr w:rsidR="00001083" w:rsidRPr="00001083" w14:paraId="53B4E9D3" w14:textId="77777777" w:rsidTr="001761B8">
        <w:trPr>
          <w:trHeight w:val="460"/>
        </w:trPr>
        <w:tc>
          <w:tcPr>
            <w:tcW w:w="284" w:type="pct"/>
            <w:vMerge w:val="restart"/>
            <w:tcBorders>
              <w:top w:val="nil"/>
              <w:left w:val="single" w:sz="4" w:space="0" w:color="auto"/>
              <w:bottom w:val="single" w:sz="4" w:space="0" w:color="auto"/>
              <w:right w:val="nil"/>
            </w:tcBorders>
            <w:hideMark/>
          </w:tcPr>
          <w:p w14:paraId="593C27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w:t>
            </w:r>
          </w:p>
        </w:tc>
        <w:tc>
          <w:tcPr>
            <w:tcW w:w="3385" w:type="pct"/>
            <w:gridSpan w:val="2"/>
            <w:tcBorders>
              <w:top w:val="nil"/>
              <w:left w:val="single" w:sz="4" w:space="0" w:color="auto"/>
              <w:bottom w:val="nil"/>
              <w:right w:val="single" w:sz="4" w:space="0" w:color="auto"/>
            </w:tcBorders>
            <w:vAlign w:val="center"/>
            <w:hideMark/>
          </w:tcPr>
          <w:p w14:paraId="73B9F5AC"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No fee is payable for the commencement of a proceeding under the following enabling enactments or provisions of enabling enactments—</w:t>
            </w:r>
          </w:p>
        </w:tc>
        <w:tc>
          <w:tcPr>
            <w:tcW w:w="443" w:type="pct"/>
            <w:tcBorders>
              <w:top w:val="nil"/>
              <w:left w:val="nil"/>
              <w:bottom w:val="nil"/>
              <w:right w:val="single" w:sz="4" w:space="0" w:color="auto"/>
            </w:tcBorders>
            <w:vAlign w:val="center"/>
            <w:hideMark/>
          </w:tcPr>
          <w:p w14:paraId="4012AF4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c>
          <w:tcPr>
            <w:tcW w:w="443" w:type="pct"/>
            <w:gridSpan w:val="2"/>
            <w:tcBorders>
              <w:top w:val="nil"/>
              <w:left w:val="nil"/>
              <w:bottom w:val="nil"/>
              <w:right w:val="single" w:sz="4" w:space="0" w:color="auto"/>
            </w:tcBorders>
            <w:noWrap/>
            <w:vAlign w:val="center"/>
            <w:hideMark/>
          </w:tcPr>
          <w:p w14:paraId="27DA66D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c>
          <w:tcPr>
            <w:tcW w:w="443" w:type="pct"/>
            <w:tcBorders>
              <w:top w:val="nil"/>
              <w:left w:val="nil"/>
              <w:bottom w:val="nil"/>
              <w:right w:val="single" w:sz="4" w:space="0" w:color="auto"/>
            </w:tcBorders>
            <w:noWrap/>
            <w:vAlign w:val="center"/>
            <w:hideMark/>
          </w:tcPr>
          <w:p w14:paraId="00A84D9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r>
      <w:tr w:rsidR="00001083" w:rsidRPr="00001083" w14:paraId="0B018FE3"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5E7B334C"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76BC24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Assisted Reproductive Treatment Act 2008</w:t>
            </w:r>
          </w:p>
        </w:tc>
        <w:tc>
          <w:tcPr>
            <w:tcW w:w="443" w:type="pct"/>
            <w:tcBorders>
              <w:top w:val="nil"/>
              <w:left w:val="nil"/>
              <w:bottom w:val="nil"/>
              <w:right w:val="single" w:sz="4" w:space="0" w:color="auto"/>
            </w:tcBorders>
            <w:vAlign w:val="center"/>
            <w:hideMark/>
          </w:tcPr>
          <w:p w14:paraId="3C08E53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C4DB35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BE5D3F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BC6F1D3"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55F9B32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75BE2FF"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Children, Youth and Families Act 2005</w:t>
            </w:r>
          </w:p>
        </w:tc>
        <w:tc>
          <w:tcPr>
            <w:tcW w:w="443" w:type="pct"/>
            <w:tcBorders>
              <w:top w:val="nil"/>
              <w:left w:val="nil"/>
              <w:bottom w:val="nil"/>
              <w:right w:val="single" w:sz="4" w:space="0" w:color="auto"/>
            </w:tcBorders>
            <w:vAlign w:val="center"/>
            <w:hideMark/>
          </w:tcPr>
          <w:p w14:paraId="4B20311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D07509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CAC5F0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257CC16"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2A381AC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567DFB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Disability Act 2006</w:t>
            </w:r>
            <w:r w:rsidRPr="00001083">
              <w:rPr>
                <w:rFonts w:ascii="Arial" w:hAnsi="Arial" w:cs="Arial"/>
                <w:color w:val="000000"/>
                <w:sz w:val="18"/>
                <w:szCs w:val="18"/>
                <w:lang w:eastAsia="ko-KR"/>
              </w:rPr>
              <w:t>, except section 45</w:t>
            </w:r>
          </w:p>
        </w:tc>
        <w:tc>
          <w:tcPr>
            <w:tcW w:w="443" w:type="pct"/>
            <w:tcBorders>
              <w:top w:val="nil"/>
              <w:left w:val="nil"/>
              <w:bottom w:val="nil"/>
              <w:right w:val="single" w:sz="4" w:space="0" w:color="auto"/>
            </w:tcBorders>
            <w:vAlign w:val="center"/>
            <w:hideMark/>
          </w:tcPr>
          <w:p w14:paraId="3CFE5BC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512C0A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B75695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D130E68"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1D3D1D6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C9E58E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Equal Opportunity Act 2010</w:t>
            </w:r>
            <w:r w:rsidRPr="00001083">
              <w:rPr>
                <w:rFonts w:ascii="Arial" w:hAnsi="Arial" w:cs="Arial"/>
                <w:color w:val="000000"/>
                <w:sz w:val="18"/>
                <w:szCs w:val="18"/>
                <w:lang w:eastAsia="ko-KR"/>
              </w:rPr>
              <w:t>,</w:t>
            </w:r>
            <w:r w:rsidRPr="00001083">
              <w:rPr>
                <w:rFonts w:ascii="Arial" w:hAnsi="Arial" w:cs="Arial"/>
                <w:b/>
                <w:bCs/>
                <w:color w:val="000000"/>
                <w:sz w:val="18"/>
                <w:szCs w:val="18"/>
                <w:lang w:eastAsia="ko-KR"/>
              </w:rPr>
              <w:t xml:space="preserve"> </w:t>
            </w:r>
            <w:r w:rsidRPr="00001083">
              <w:rPr>
                <w:rFonts w:ascii="Arial" w:hAnsi="Arial" w:cs="Arial"/>
                <w:color w:val="000000"/>
                <w:sz w:val="18"/>
                <w:szCs w:val="18"/>
                <w:lang w:eastAsia="ko-KR"/>
              </w:rPr>
              <w:t>except section 89(5)(a)</w:t>
            </w:r>
          </w:p>
        </w:tc>
        <w:tc>
          <w:tcPr>
            <w:tcW w:w="443" w:type="pct"/>
            <w:tcBorders>
              <w:top w:val="nil"/>
              <w:left w:val="nil"/>
              <w:bottom w:val="nil"/>
              <w:right w:val="single" w:sz="4" w:space="0" w:color="auto"/>
            </w:tcBorders>
            <w:vAlign w:val="center"/>
            <w:hideMark/>
          </w:tcPr>
          <w:p w14:paraId="71C5773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F7CAA3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C9AE36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EB80F9B"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6F1C8EC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59DA6A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Freedom of Information Act 1982</w:t>
            </w:r>
            <w:r w:rsidRPr="00001083">
              <w:rPr>
                <w:rFonts w:ascii="Arial" w:hAnsi="Arial" w:cs="Arial"/>
                <w:color w:val="000000"/>
                <w:sz w:val="18"/>
                <w:szCs w:val="18"/>
                <w:lang w:eastAsia="ko-KR"/>
              </w:rPr>
              <w:t>, applications under section 50 if—</w:t>
            </w:r>
          </w:p>
        </w:tc>
        <w:tc>
          <w:tcPr>
            <w:tcW w:w="443" w:type="pct"/>
            <w:tcBorders>
              <w:top w:val="nil"/>
              <w:left w:val="nil"/>
              <w:bottom w:val="nil"/>
              <w:right w:val="single" w:sz="4" w:space="0" w:color="auto"/>
            </w:tcBorders>
            <w:vAlign w:val="center"/>
            <w:hideMark/>
          </w:tcPr>
          <w:p w14:paraId="7C0F505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28B487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46701A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9845B09" w14:textId="77777777" w:rsidTr="001761B8">
        <w:trPr>
          <w:trHeight w:val="460"/>
        </w:trPr>
        <w:tc>
          <w:tcPr>
            <w:tcW w:w="284" w:type="pct"/>
            <w:vMerge/>
            <w:tcBorders>
              <w:top w:val="nil"/>
              <w:left w:val="single" w:sz="4" w:space="0" w:color="auto"/>
              <w:bottom w:val="single" w:sz="4" w:space="0" w:color="auto"/>
              <w:right w:val="nil"/>
            </w:tcBorders>
            <w:vAlign w:val="center"/>
            <w:hideMark/>
          </w:tcPr>
          <w:p w14:paraId="563B8B4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55AA75D" w14:textId="77777777" w:rsidR="00001083" w:rsidRPr="00001083" w:rsidRDefault="00001083" w:rsidP="00001083">
            <w:pPr>
              <w:ind w:firstLineChars="300" w:firstLine="540"/>
              <w:rPr>
                <w:rFonts w:ascii="Arial" w:hAnsi="Arial" w:cs="Arial"/>
                <w:color w:val="000000"/>
                <w:sz w:val="18"/>
                <w:szCs w:val="18"/>
                <w:lang w:eastAsia="ko-KR"/>
              </w:rPr>
            </w:pPr>
            <w:r w:rsidRPr="00001083">
              <w:rPr>
                <w:rFonts w:ascii="Arial" w:hAnsi="Arial" w:cs="Arial"/>
                <w:color w:val="000000"/>
                <w:sz w:val="18"/>
                <w:szCs w:val="18"/>
                <w:lang w:eastAsia="ko-KR"/>
              </w:rPr>
              <w:t>(a) the application is for the review of a deemed decision under section 49J or 53 refusing to grant access to a document; or</w:t>
            </w:r>
          </w:p>
        </w:tc>
        <w:tc>
          <w:tcPr>
            <w:tcW w:w="443" w:type="pct"/>
            <w:tcBorders>
              <w:top w:val="nil"/>
              <w:left w:val="nil"/>
              <w:bottom w:val="nil"/>
              <w:right w:val="single" w:sz="4" w:space="0" w:color="auto"/>
            </w:tcBorders>
            <w:vAlign w:val="center"/>
            <w:hideMark/>
          </w:tcPr>
          <w:p w14:paraId="41D377B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8A3CA7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E9C340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7B82092" w14:textId="77777777" w:rsidTr="001761B8">
        <w:trPr>
          <w:trHeight w:val="460"/>
        </w:trPr>
        <w:tc>
          <w:tcPr>
            <w:tcW w:w="284" w:type="pct"/>
            <w:vMerge/>
            <w:tcBorders>
              <w:top w:val="nil"/>
              <w:left w:val="single" w:sz="4" w:space="0" w:color="auto"/>
              <w:bottom w:val="single" w:sz="4" w:space="0" w:color="auto"/>
              <w:right w:val="nil"/>
            </w:tcBorders>
            <w:vAlign w:val="center"/>
            <w:hideMark/>
          </w:tcPr>
          <w:p w14:paraId="65A5638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4E8043E" w14:textId="77777777" w:rsidR="00001083" w:rsidRPr="00001083" w:rsidRDefault="00001083" w:rsidP="00001083">
            <w:pPr>
              <w:ind w:firstLineChars="300" w:firstLine="540"/>
              <w:rPr>
                <w:rFonts w:ascii="Arial" w:hAnsi="Arial" w:cs="Arial"/>
                <w:color w:val="000000"/>
                <w:sz w:val="18"/>
                <w:szCs w:val="18"/>
                <w:lang w:eastAsia="ko-KR"/>
              </w:rPr>
            </w:pPr>
            <w:r w:rsidRPr="00001083">
              <w:rPr>
                <w:rFonts w:ascii="Arial" w:hAnsi="Arial" w:cs="Arial"/>
                <w:color w:val="000000"/>
                <w:sz w:val="18"/>
                <w:szCs w:val="18"/>
                <w:lang w:eastAsia="ko-KR"/>
              </w:rPr>
              <w:t>(b) the applicant is a natural person and the document to which access is sought contains information relating to the applicant's personal affairs</w:t>
            </w:r>
          </w:p>
        </w:tc>
        <w:tc>
          <w:tcPr>
            <w:tcW w:w="443" w:type="pct"/>
            <w:tcBorders>
              <w:top w:val="nil"/>
              <w:left w:val="nil"/>
              <w:bottom w:val="nil"/>
              <w:right w:val="single" w:sz="4" w:space="0" w:color="auto"/>
            </w:tcBorders>
            <w:vAlign w:val="center"/>
            <w:hideMark/>
          </w:tcPr>
          <w:p w14:paraId="23F77BF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85B8A7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ADC125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D5F0DB1"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3DC644C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A49418F"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Gender Equality Act 2020</w:t>
            </w:r>
          </w:p>
        </w:tc>
        <w:tc>
          <w:tcPr>
            <w:tcW w:w="443" w:type="pct"/>
            <w:tcBorders>
              <w:top w:val="nil"/>
              <w:left w:val="nil"/>
              <w:bottom w:val="nil"/>
              <w:right w:val="single" w:sz="4" w:space="0" w:color="auto"/>
            </w:tcBorders>
            <w:vAlign w:val="center"/>
            <w:hideMark/>
          </w:tcPr>
          <w:p w14:paraId="6764FEC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88F5E5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F22994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412CFD1"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129CEB1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8F27B4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Guardianship and Administration Act 1986</w:t>
            </w:r>
          </w:p>
        </w:tc>
        <w:tc>
          <w:tcPr>
            <w:tcW w:w="443" w:type="pct"/>
            <w:tcBorders>
              <w:top w:val="nil"/>
              <w:left w:val="nil"/>
              <w:bottom w:val="nil"/>
              <w:right w:val="single" w:sz="4" w:space="0" w:color="auto"/>
            </w:tcBorders>
            <w:vAlign w:val="center"/>
            <w:hideMark/>
          </w:tcPr>
          <w:p w14:paraId="79707B6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B3A2C9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1CDED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85F3484"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20BB678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07FA7B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Health Records Act 2001</w:t>
            </w:r>
          </w:p>
        </w:tc>
        <w:tc>
          <w:tcPr>
            <w:tcW w:w="443" w:type="pct"/>
            <w:tcBorders>
              <w:top w:val="nil"/>
              <w:left w:val="nil"/>
              <w:bottom w:val="nil"/>
              <w:right w:val="single" w:sz="4" w:space="0" w:color="auto"/>
            </w:tcBorders>
            <w:vAlign w:val="center"/>
            <w:hideMark/>
          </w:tcPr>
          <w:p w14:paraId="4C530DF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94BDD2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E6FF6E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A3A1BAB"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476E5B7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FB7777C"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Medical Treatment Planning and Decisions Act 2016</w:t>
            </w:r>
          </w:p>
        </w:tc>
        <w:tc>
          <w:tcPr>
            <w:tcW w:w="443" w:type="pct"/>
            <w:tcBorders>
              <w:top w:val="nil"/>
              <w:left w:val="nil"/>
              <w:bottom w:val="nil"/>
              <w:right w:val="single" w:sz="4" w:space="0" w:color="auto"/>
            </w:tcBorders>
            <w:vAlign w:val="center"/>
            <w:hideMark/>
          </w:tcPr>
          <w:p w14:paraId="6C6FC40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6C06E0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F48E30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C77019B"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02445BD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384367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Mental Health Act 2014</w:t>
            </w:r>
          </w:p>
        </w:tc>
        <w:tc>
          <w:tcPr>
            <w:tcW w:w="443" w:type="pct"/>
            <w:tcBorders>
              <w:top w:val="nil"/>
              <w:left w:val="nil"/>
              <w:bottom w:val="nil"/>
              <w:right w:val="single" w:sz="4" w:space="0" w:color="auto"/>
            </w:tcBorders>
            <w:vAlign w:val="center"/>
            <w:hideMark/>
          </w:tcPr>
          <w:p w14:paraId="5229B07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463E28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6F552D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414F0BD"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6C855D7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35E927D"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Powers of Attorney Act 2014</w:t>
            </w:r>
          </w:p>
        </w:tc>
        <w:tc>
          <w:tcPr>
            <w:tcW w:w="443" w:type="pct"/>
            <w:tcBorders>
              <w:top w:val="nil"/>
              <w:left w:val="nil"/>
              <w:bottom w:val="nil"/>
              <w:right w:val="single" w:sz="4" w:space="0" w:color="auto"/>
            </w:tcBorders>
            <w:vAlign w:val="center"/>
            <w:hideMark/>
          </w:tcPr>
          <w:p w14:paraId="6E26A88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C1C9BE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09520B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1DE7BB9"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3264377C"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9B16C0F"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Privacy and Data Protection Act 2014</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368B576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AA445F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B1BBAE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2834720"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2F3D447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C7793E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Public Health and Wellbeing Act 2008</w:t>
            </w:r>
            <w:r w:rsidRPr="00001083">
              <w:rPr>
                <w:rFonts w:ascii="Arial" w:hAnsi="Arial" w:cs="Arial"/>
                <w:color w:val="000000"/>
                <w:sz w:val="18"/>
                <w:szCs w:val="18"/>
                <w:lang w:eastAsia="ko-KR"/>
              </w:rPr>
              <w:t>, sections 122 and 204</w:t>
            </w:r>
          </w:p>
        </w:tc>
        <w:tc>
          <w:tcPr>
            <w:tcW w:w="443" w:type="pct"/>
            <w:tcBorders>
              <w:top w:val="nil"/>
              <w:left w:val="nil"/>
              <w:bottom w:val="nil"/>
              <w:right w:val="single" w:sz="4" w:space="0" w:color="auto"/>
            </w:tcBorders>
            <w:vAlign w:val="center"/>
            <w:hideMark/>
          </w:tcPr>
          <w:p w14:paraId="727180C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766EC5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284FA4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96C1721"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514C405C"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54DE9ED"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Racial and Religious Tolerance Act 2001</w:t>
            </w:r>
          </w:p>
        </w:tc>
        <w:tc>
          <w:tcPr>
            <w:tcW w:w="443" w:type="pct"/>
            <w:tcBorders>
              <w:top w:val="nil"/>
              <w:left w:val="nil"/>
              <w:bottom w:val="nil"/>
              <w:right w:val="single" w:sz="4" w:space="0" w:color="auto"/>
            </w:tcBorders>
            <w:vAlign w:val="center"/>
            <w:hideMark/>
          </w:tcPr>
          <w:p w14:paraId="4914278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53C43D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402C5D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64CF1A9" w14:textId="77777777" w:rsidTr="001761B8">
        <w:trPr>
          <w:trHeight w:val="313"/>
        </w:trPr>
        <w:tc>
          <w:tcPr>
            <w:tcW w:w="284" w:type="pct"/>
            <w:vMerge/>
            <w:tcBorders>
              <w:top w:val="nil"/>
              <w:left w:val="single" w:sz="4" w:space="0" w:color="auto"/>
              <w:bottom w:val="single" w:sz="4" w:space="0" w:color="auto"/>
              <w:right w:val="nil"/>
            </w:tcBorders>
            <w:vAlign w:val="center"/>
            <w:hideMark/>
          </w:tcPr>
          <w:p w14:paraId="52C020E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FBB4EE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Residential Tenancies Act 1997</w:t>
            </w:r>
            <w:r w:rsidRPr="00001083">
              <w:rPr>
                <w:rFonts w:ascii="Arial" w:hAnsi="Arial" w:cs="Arial"/>
                <w:color w:val="000000"/>
                <w:sz w:val="18"/>
                <w:szCs w:val="18"/>
                <w:lang w:eastAsia="ko-KR"/>
              </w:rPr>
              <w:t>, Part 10 and Part 12A</w:t>
            </w:r>
          </w:p>
        </w:tc>
        <w:tc>
          <w:tcPr>
            <w:tcW w:w="443" w:type="pct"/>
            <w:tcBorders>
              <w:top w:val="nil"/>
              <w:left w:val="nil"/>
              <w:bottom w:val="nil"/>
              <w:right w:val="single" w:sz="4" w:space="0" w:color="auto"/>
            </w:tcBorders>
            <w:vAlign w:val="center"/>
            <w:hideMark/>
          </w:tcPr>
          <w:p w14:paraId="3FCEDFF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E72DDB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7B0D7A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138B0D2" w14:textId="77777777" w:rsidTr="001761B8">
        <w:trPr>
          <w:trHeight w:val="460"/>
        </w:trPr>
        <w:tc>
          <w:tcPr>
            <w:tcW w:w="284" w:type="pct"/>
            <w:vMerge/>
            <w:tcBorders>
              <w:top w:val="nil"/>
              <w:left w:val="single" w:sz="4" w:space="0" w:color="auto"/>
              <w:bottom w:val="single" w:sz="4" w:space="0" w:color="auto"/>
              <w:right w:val="nil"/>
            </w:tcBorders>
            <w:vAlign w:val="center"/>
            <w:hideMark/>
          </w:tcPr>
          <w:p w14:paraId="00DFC6C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3D86C0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Supported Residential Services (Private Proprietors) Act 2010</w:t>
            </w:r>
            <w:r w:rsidRPr="00001083">
              <w:rPr>
                <w:rFonts w:ascii="Arial" w:hAnsi="Arial" w:cs="Arial"/>
                <w:color w:val="000000"/>
                <w:sz w:val="18"/>
                <w:szCs w:val="18"/>
                <w:lang w:eastAsia="ko-KR"/>
              </w:rPr>
              <w:t>, sections 105 and 121.</w:t>
            </w:r>
          </w:p>
        </w:tc>
        <w:tc>
          <w:tcPr>
            <w:tcW w:w="443" w:type="pct"/>
            <w:tcBorders>
              <w:top w:val="nil"/>
              <w:left w:val="nil"/>
              <w:bottom w:val="nil"/>
              <w:right w:val="single" w:sz="4" w:space="0" w:color="auto"/>
            </w:tcBorders>
            <w:vAlign w:val="center"/>
            <w:hideMark/>
          </w:tcPr>
          <w:p w14:paraId="40B4E57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6D3EFE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BA7D8E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08E39074" w14:textId="77777777" w:rsidTr="0070715F">
        <w:trPr>
          <w:trHeight w:val="313"/>
        </w:trPr>
        <w:tc>
          <w:tcPr>
            <w:tcW w:w="284" w:type="pct"/>
            <w:vMerge/>
            <w:tcBorders>
              <w:top w:val="nil"/>
              <w:left w:val="single" w:sz="4" w:space="0" w:color="auto"/>
              <w:bottom w:val="single" w:sz="4" w:space="0" w:color="auto"/>
              <w:right w:val="nil"/>
            </w:tcBorders>
            <w:vAlign w:val="center"/>
            <w:hideMark/>
          </w:tcPr>
          <w:p w14:paraId="66E423C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single" w:sz="4" w:space="0" w:color="auto"/>
              <w:right w:val="single" w:sz="4" w:space="0" w:color="auto"/>
            </w:tcBorders>
            <w:vAlign w:val="center"/>
            <w:hideMark/>
          </w:tcPr>
          <w:p w14:paraId="593D920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Voluntary Assisted Dying Act 2017</w:t>
            </w:r>
          </w:p>
        </w:tc>
        <w:tc>
          <w:tcPr>
            <w:tcW w:w="443" w:type="pct"/>
            <w:tcBorders>
              <w:top w:val="nil"/>
              <w:left w:val="nil"/>
              <w:bottom w:val="single" w:sz="4" w:space="0" w:color="auto"/>
              <w:right w:val="single" w:sz="4" w:space="0" w:color="auto"/>
            </w:tcBorders>
            <w:vAlign w:val="center"/>
            <w:hideMark/>
          </w:tcPr>
          <w:p w14:paraId="2A18501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1C46C2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774DA3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144C1BFB" w14:textId="77777777" w:rsidTr="0070715F">
        <w:trPr>
          <w:trHeight w:val="290"/>
        </w:trPr>
        <w:tc>
          <w:tcPr>
            <w:tcW w:w="284" w:type="pct"/>
            <w:vMerge w:val="restart"/>
            <w:tcBorders>
              <w:top w:val="nil"/>
              <w:left w:val="single" w:sz="4" w:space="0" w:color="auto"/>
              <w:bottom w:val="single" w:sz="4" w:space="0" w:color="auto"/>
              <w:right w:val="nil"/>
            </w:tcBorders>
            <w:hideMark/>
          </w:tcPr>
          <w:p w14:paraId="1D2965E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w:t>
            </w:r>
          </w:p>
        </w:tc>
        <w:tc>
          <w:tcPr>
            <w:tcW w:w="3385" w:type="pct"/>
            <w:gridSpan w:val="2"/>
            <w:tcBorders>
              <w:top w:val="nil"/>
              <w:left w:val="single" w:sz="4" w:space="0" w:color="auto"/>
              <w:bottom w:val="nil"/>
              <w:right w:val="single" w:sz="4" w:space="0" w:color="auto"/>
            </w:tcBorders>
            <w:vAlign w:val="center"/>
            <w:hideMark/>
          </w:tcPr>
          <w:p w14:paraId="5837AF8D"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commencement of a proceeding under the following enabling enactments—</w:t>
            </w:r>
          </w:p>
        </w:tc>
        <w:tc>
          <w:tcPr>
            <w:tcW w:w="443" w:type="pct"/>
            <w:tcBorders>
              <w:top w:val="nil"/>
              <w:left w:val="nil"/>
              <w:bottom w:val="nil"/>
              <w:right w:val="single" w:sz="4" w:space="0" w:color="auto"/>
            </w:tcBorders>
            <w:vAlign w:val="center"/>
            <w:hideMark/>
          </w:tcPr>
          <w:p w14:paraId="6B56A37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$105.9</w:t>
            </w:r>
          </w:p>
        </w:tc>
        <w:tc>
          <w:tcPr>
            <w:tcW w:w="443" w:type="pct"/>
            <w:gridSpan w:val="2"/>
            <w:tcBorders>
              <w:top w:val="single" w:sz="4" w:space="0" w:color="auto"/>
              <w:left w:val="nil"/>
              <w:bottom w:val="nil"/>
              <w:right w:val="single" w:sz="4" w:space="0" w:color="auto"/>
            </w:tcBorders>
            <w:noWrap/>
            <w:vAlign w:val="center"/>
            <w:hideMark/>
          </w:tcPr>
          <w:p w14:paraId="75CAE87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$74.1</w:t>
            </w:r>
          </w:p>
        </w:tc>
        <w:tc>
          <w:tcPr>
            <w:tcW w:w="443" w:type="pct"/>
            <w:tcBorders>
              <w:top w:val="single" w:sz="4" w:space="0" w:color="auto"/>
              <w:left w:val="nil"/>
              <w:bottom w:val="nil"/>
              <w:right w:val="single" w:sz="4" w:space="0" w:color="auto"/>
            </w:tcBorders>
            <w:noWrap/>
            <w:vAlign w:val="center"/>
            <w:hideMark/>
          </w:tcPr>
          <w:p w14:paraId="0446342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$37.1</w:t>
            </w:r>
          </w:p>
        </w:tc>
      </w:tr>
      <w:tr w:rsidR="00001083" w:rsidRPr="00001083" w14:paraId="3D0E629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6DA352A"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C3662F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Landlord and Tenant Act 1958</w:t>
            </w:r>
            <w:r w:rsidRPr="00001083">
              <w:rPr>
                <w:rFonts w:ascii="Arial" w:hAnsi="Arial" w:cs="Arial"/>
                <w:color w:val="000000"/>
                <w:sz w:val="18"/>
                <w:szCs w:val="18"/>
                <w:lang w:eastAsia="ko-KR"/>
              </w:rPr>
              <w:t>, Part V</w:t>
            </w:r>
          </w:p>
        </w:tc>
        <w:tc>
          <w:tcPr>
            <w:tcW w:w="443" w:type="pct"/>
            <w:tcBorders>
              <w:top w:val="nil"/>
              <w:left w:val="nil"/>
              <w:bottom w:val="nil"/>
              <w:right w:val="single" w:sz="4" w:space="0" w:color="auto"/>
            </w:tcBorders>
            <w:vAlign w:val="center"/>
            <w:hideMark/>
          </w:tcPr>
          <w:p w14:paraId="0D7EE43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804CC1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B16999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4949C09"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BE9DC14"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5ACCA3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Motor Car Traders Act 1986</w:t>
            </w:r>
            <w:r w:rsidRPr="00001083">
              <w:rPr>
                <w:rFonts w:ascii="Arial" w:hAnsi="Arial" w:cs="Arial"/>
                <w:color w:val="000000"/>
                <w:sz w:val="18"/>
                <w:szCs w:val="18"/>
                <w:lang w:eastAsia="ko-KR"/>
              </w:rPr>
              <w:t>, section 45</w:t>
            </w:r>
          </w:p>
        </w:tc>
        <w:tc>
          <w:tcPr>
            <w:tcW w:w="443" w:type="pct"/>
            <w:tcBorders>
              <w:top w:val="nil"/>
              <w:left w:val="nil"/>
              <w:bottom w:val="nil"/>
              <w:right w:val="single" w:sz="4" w:space="0" w:color="auto"/>
            </w:tcBorders>
            <w:vAlign w:val="center"/>
            <w:hideMark/>
          </w:tcPr>
          <w:p w14:paraId="50D5E5C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8DC3E8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456E4C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0697E92"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432E00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EC8854A"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Residential Tenancies Act 1997</w:t>
            </w:r>
            <w:r w:rsidRPr="00001083">
              <w:rPr>
                <w:rFonts w:ascii="Arial" w:hAnsi="Arial" w:cs="Arial"/>
                <w:color w:val="000000"/>
                <w:sz w:val="18"/>
                <w:szCs w:val="18"/>
                <w:lang w:eastAsia="ko-KR"/>
              </w:rPr>
              <w:t>, except Part 10 and Part 12A</w:t>
            </w:r>
          </w:p>
        </w:tc>
        <w:tc>
          <w:tcPr>
            <w:tcW w:w="443" w:type="pct"/>
            <w:tcBorders>
              <w:top w:val="nil"/>
              <w:left w:val="nil"/>
              <w:bottom w:val="nil"/>
              <w:right w:val="single" w:sz="4" w:space="0" w:color="auto"/>
            </w:tcBorders>
            <w:vAlign w:val="center"/>
            <w:hideMark/>
          </w:tcPr>
          <w:p w14:paraId="6DAE5C8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52139A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6ADB0E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03F5EFDC"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6A294DE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D9F615A"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Supported Residential Services (Private Proprietors) Act 2010</w:t>
            </w:r>
            <w:r w:rsidRPr="00001083">
              <w:rPr>
                <w:rFonts w:ascii="Arial" w:hAnsi="Arial" w:cs="Arial"/>
                <w:color w:val="000000"/>
                <w:sz w:val="18"/>
                <w:szCs w:val="18"/>
                <w:lang w:eastAsia="ko-KR"/>
              </w:rPr>
              <w:t>, section 123</w:t>
            </w:r>
          </w:p>
        </w:tc>
        <w:tc>
          <w:tcPr>
            <w:tcW w:w="443" w:type="pct"/>
            <w:tcBorders>
              <w:top w:val="nil"/>
              <w:left w:val="nil"/>
              <w:bottom w:val="single" w:sz="4" w:space="0" w:color="auto"/>
              <w:right w:val="single" w:sz="4" w:space="0" w:color="auto"/>
            </w:tcBorders>
            <w:vAlign w:val="center"/>
            <w:hideMark/>
          </w:tcPr>
          <w:p w14:paraId="7666A34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A92654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D44657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59310B" w:rsidRPr="00001083" w14:paraId="4EBE7268" w14:textId="77777777" w:rsidTr="0070715F">
        <w:trPr>
          <w:trHeight w:val="290"/>
        </w:trPr>
        <w:tc>
          <w:tcPr>
            <w:tcW w:w="284" w:type="pct"/>
            <w:vMerge w:val="restart"/>
            <w:tcBorders>
              <w:top w:val="nil"/>
              <w:left w:val="single" w:sz="4" w:space="0" w:color="auto"/>
              <w:bottom w:val="single" w:sz="4" w:space="0" w:color="auto"/>
              <w:right w:val="nil"/>
            </w:tcBorders>
            <w:hideMark/>
          </w:tcPr>
          <w:p w14:paraId="0CFF8C0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w:t>
            </w:r>
          </w:p>
        </w:tc>
        <w:tc>
          <w:tcPr>
            <w:tcW w:w="3385" w:type="pct"/>
            <w:gridSpan w:val="2"/>
            <w:tcBorders>
              <w:top w:val="single" w:sz="4" w:space="0" w:color="auto"/>
              <w:left w:val="single" w:sz="4" w:space="0" w:color="auto"/>
              <w:bottom w:val="nil"/>
              <w:right w:val="single" w:sz="4" w:space="0" w:color="auto"/>
            </w:tcBorders>
            <w:vAlign w:val="center"/>
            <w:hideMark/>
          </w:tcPr>
          <w:p w14:paraId="42AC0930"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commencement of a proceeding under the following enabling enactments—</w:t>
            </w:r>
          </w:p>
        </w:tc>
        <w:tc>
          <w:tcPr>
            <w:tcW w:w="443" w:type="pct"/>
            <w:tcBorders>
              <w:top w:val="nil"/>
              <w:left w:val="nil"/>
              <w:bottom w:val="nil"/>
              <w:right w:val="single" w:sz="4" w:space="0" w:color="auto"/>
            </w:tcBorders>
            <w:vAlign w:val="center"/>
            <w:hideMark/>
          </w:tcPr>
          <w:p w14:paraId="5CE9610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$790.1</w:t>
            </w:r>
          </w:p>
        </w:tc>
        <w:tc>
          <w:tcPr>
            <w:tcW w:w="443" w:type="pct"/>
            <w:gridSpan w:val="2"/>
            <w:tcBorders>
              <w:top w:val="single" w:sz="4" w:space="0" w:color="auto"/>
              <w:left w:val="nil"/>
              <w:bottom w:val="nil"/>
              <w:right w:val="single" w:sz="4" w:space="0" w:color="auto"/>
            </w:tcBorders>
            <w:noWrap/>
            <w:vAlign w:val="center"/>
            <w:hideMark/>
          </w:tcPr>
          <w:p w14:paraId="003D688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$553.0</w:t>
            </w:r>
          </w:p>
        </w:tc>
        <w:tc>
          <w:tcPr>
            <w:tcW w:w="443" w:type="pct"/>
            <w:tcBorders>
              <w:top w:val="single" w:sz="4" w:space="0" w:color="auto"/>
              <w:left w:val="nil"/>
              <w:bottom w:val="nil"/>
              <w:right w:val="single" w:sz="4" w:space="0" w:color="auto"/>
            </w:tcBorders>
            <w:noWrap/>
            <w:vAlign w:val="center"/>
            <w:hideMark/>
          </w:tcPr>
          <w:p w14:paraId="4EDEA72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3EA52805" w14:textId="77777777" w:rsidTr="001761B8">
        <w:trPr>
          <w:trHeight w:val="460"/>
        </w:trPr>
        <w:tc>
          <w:tcPr>
            <w:tcW w:w="284" w:type="pct"/>
            <w:vMerge/>
            <w:tcBorders>
              <w:top w:val="nil"/>
              <w:left w:val="single" w:sz="4" w:space="0" w:color="auto"/>
              <w:bottom w:val="single" w:sz="4" w:space="0" w:color="auto"/>
              <w:right w:val="nil"/>
            </w:tcBorders>
            <w:vAlign w:val="center"/>
            <w:hideMark/>
          </w:tcPr>
          <w:p w14:paraId="7B37EAB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B33DCF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Building Act 1993</w:t>
            </w:r>
            <w:r w:rsidRPr="00001083">
              <w:rPr>
                <w:rFonts w:ascii="Arial" w:hAnsi="Arial" w:cs="Arial"/>
                <w:color w:val="000000"/>
                <w:sz w:val="18"/>
                <w:szCs w:val="18"/>
                <w:lang w:eastAsia="ko-KR"/>
              </w:rPr>
              <w:t>, except sections 25J and 186, Division 12 of Part 12A, section 187ZI and clause 10(3) and (4) of Schedule 7</w:t>
            </w:r>
          </w:p>
        </w:tc>
        <w:tc>
          <w:tcPr>
            <w:tcW w:w="443" w:type="pct"/>
            <w:tcBorders>
              <w:top w:val="nil"/>
              <w:left w:val="nil"/>
              <w:bottom w:val="nil"/>
              <w:right w:val="single" w:sz="4" w:space="0" w:color="auto"/>
            </w:tcBorders>
            <w:vAlign w:val="center"/>
            <w:hideMark/>
          </w:tcPr>
          <w:p w14:paraId="7FB01CE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252E1A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0A8969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3D4837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0FD1E8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9884122"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Company Titles (Home Units) Act 2013</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2B37A26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05CFB5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A240B5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C8471B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AC44B2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784696A"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Domestic Building Contracts Act 1995</w:t>
            </w:r>
            <w:r w:rsidRPr="00001083">
              <w:rPr>
                <w:rFonts w:ascii="Arial" w:hAnsi="Arial" w:cs="Arial"/>
                <w:color w:val="000000"/>
                <w:sz w:val="18"/>
                <w:szCs w:val="18"/>
                <w:lang w:eastAsia="ko-KR"/>
              </w:rPr>
              <w:t>,</w:t>
            </w:r>
            <w:r w:rsidRPr="00001083">
              <w:rPr>
                <w:rFonts w:ascii="Arial" w:hAnsi="Arial" w:cs="Arial"/>
                <w:b/>
                <w:bCs/>
                <w:color w:val="000000"/>
                <w:sz w:val="18"/>
                <w:szCs w:val="18"/>
                <w:lang w:eastAsia="ko-KR"/>
              </w:rPr>
              <w:t xml:space="preserve"> </w:t>
            </w:r>
            <w:r w:rsidRPr="00001083">
              <w:rPr>
                <w:rFonts w:ascii="Arial" w:hAnsi="Arial" w:cs="Arial"/>
                <w:color w:val="000000"/>
                <w:sz w:val="18"/>
                <w:szCs w:val="18"/>
                <w:lang w:eastAsia="ko-KR"/>
              </w:rPr>
              <w:t>sections 45F, 46E, 63, 65, 66, 67 and 67A</w:t>
            </w:r>
          </w:p>
        </w:tc>
        <w:tc>
          <w:tcPr>
            <w:tcW w:w="443" w:type="pct"/>
            <w:tcBorders>
              <w:top w:val="nil"/>
              <w:left w:val="nil"/>
              <w:bottom w:val="nil"/>
              <w:right w:val="single" w:sz="4" w:space="0" w:color="auto"/>
            </w:tcBorders>
            <w:vAlign w:val="center"/>
            <w:hideMark/>
          </w:tcPr>
          <w:p w14:paraId="0DCCFBB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BE1B77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D48CA4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1C15C7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00B393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99FEF7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Estate Agents Act 1980</w:t>
            </w:r>
            <w:r w:rsidRPr="00001083">
              <w:rPr>
                <w:rFonts w:ascii="Arial" w:hAnsi="Arial" w:cs="Arial"/>
                <w:color w:val="000000"/>
                <w:sz w:val="18"/>
                <w:szCs w:val="18"/>
                <w:lang w:eastAsia="ko-KR"/>
              </w:rPr>
              <w:t>, sections 56A(4) and 56B(1)</w:t>
            </w:r>
          </w:p>
        </w:tc>
        <w:tc>
          <w:tcPr>
            <w:tcW w:w="443" w:type="pct"/>
            <w:tcBorders>
              <w:top w:val="nil"/>
              <w:left w:val="nil"/>
              <w:bottom w:val="nil"/>
              <w:right w:val="single" w:sz="4" w:space="0" w:color="auto"/>
            </w:tcBorders>
            <w:vAlign w:val="center"/>
            <w:hideMark/>
          </w:tcPr>
          <w:p w14:paraId="37B2904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856E5A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8B48E3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0EA49C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205958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B453FE5"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House Contracts Guarantee Act 1987</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6AB0F95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25ABE4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E424F5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6467B5F"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71DC96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CC3B03C"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Housing Act 1983</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6A4CBC6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CE45D4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FDB974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A00EE2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8F7AE9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0F106A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Owner Drivers and Forestry Contractors Act 2005</w:t>
            </w:r>
          </w:p>
        </w:tc>
        <w:tc>
          <w:tcPr>
            <w:tcW w:w="443" w:type="pct"/>
            <w:tcBorders>
              <w:top w:val="nil"/>
              <w:left w:val="nil"/>
              <w:bottom w:val="nil"/>
              <w:right w:val="single" w:sz="4" w:space="0" w:color="auto"/>
            </w:tcBorders>
            <w:vAlign w:val="center"/>
            <w:hideMark/>
          </w:tcPr>
          <w:p w14:paraId="499A33E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BC6E87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8D0B6C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E621043"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0BDEDD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15950FA"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Retirement Villages Act 1986</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1A846FF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5C76AA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E54984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77D7B5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316D6F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E40DE73"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Retirement Villages (Contractual Arrangements) Regulations 2017</w:t>
            </w:r>
          </w:p>
        </w:tc>
        <w:tc>
          <w:tcPr>
            <w:tcW w:w="443" w:type="pct"/>
            <w:tcBorders>
              <w:top w:val="nil"/>
              <w:left w:val="nil"/>
              <w:bottom w:val="nil"/>
              <w:right w:val="single" w:sz="4" w:space="0" w:color="auto"/>
            </w:tcBorders>
            <w:vAlign w:val="center"/>
            <w:hideMark/>
          </w:tcPr>
          <w:p w14:paraId="49A2C82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4E478A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BF4556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7ECC399"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3F12BB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627026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Sale of Land Act 1962</w:t>
            </w:r>
          </w:p>
        </w:tc>
        <w:tc>
          <w:tcPr>
            <w:tcW w:w="443" w:type="pct"/>
            <w:tcBorders>
              <w:top w:val="nil"/>
              <w:left w:val="nil"/>
              <w:bottom w:val="nil"/>
              <w:right w:val="single" w:sz="4" w:space="0" w:color="auto"/>
            </w:tcBorders>
            <w:vAlign w:val="center"/>
            <w:hideMark/>
          </w:tcPr>
          <w:p w14:paraId="51939A4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692A1F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25D149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F80E173"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118820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440F7E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Subdivision Act 1988</w:t>
            </w:r>
            <w:r w:rsidRPr="00001083">
              <w:rPr>
                <w:rFonts w:ascii="Arial" w:hAnsi="Arial" w:cs="Arial"/>
                <w:color w:val="000000"/>
                <w:sz w:val="18"/>
                <w:szCs w:val="18"/>
                <w:lang w:eastAsia="ko-KR"/>
              </w:rPr>
              <w:t>, Part 5</w:t>
            </w:r>
          </w:p>
        </w:tc>
        <w:tc>
          <w:tcPr>
            <w:tcW w:w="443" w:type="pct"/>
            <w:tcBorders>
              <w:top w:val="nil"/>
              <w:left w:val="nil"/>
              <w:bottom w:val="nil"/>
              <w:right w:val="single" w:sz="4" w:space="0" w:color="auto"/>
            </w:tcBorders>
            <w:vAlign w:val="center"/>
            <w:hideMark/>
          </w:tcPr>
          <w:p w14:paraId="2B73E71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875F6D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08C400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5E696CCA"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2E55C64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BA389E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Water Act 1989</w:t>
            </w:r>
            <w:r w:rsidRPr="00001083">
              <w:rPr>
                <w:rFonts w:ascii="Arial" w:hAnsi="Arial" w:cs="Arial"/>
                <w:color w:val="000000"/>
                <w:sz w:val="18"/>
                <w:szCs w:val="18"/>
                <w:lang w:eastAsia="ko-KR"/>
              </w:rPr>
              <w:t xml:space="preserve">, section 19 </w:t>
            </w:r>
          </w:p>
        </w:tc>
        <w:tc>
          <w:tcPr>
            <w:tcW w:w="443" w:type="pct"/>
            <w:tcBorders>
              <w:top w:val="nil"/>
              <w:left w:val="nil"/>
              <w:bottom w:val="single" w:sz="4" w:space="0" w:color="auto"/>
              <w:right w:val="single" w:sz="4" w:space="0" w:color="auto"/>
            </w:tcBorders>
            <w:vAlign w:val="center"/>
            <w:hideMark/>
          </w:tcPr>
          <w:p w14:paraId="3BEE8D1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9A8957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37A1AF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59310B" w:rsidRPr="00001083" w14:paraId="01C5FD87" w14:textId="77777777" w:rsidTr="0070715F">
        <w:trPr>
          <w:trHeight w:val="290"/>
        </w:trPr>
        <w:tc>
          <w:tcPr>
            <w:tcW w:w="284" w:type="pct"/>
            <w:vMerge w:val="restart"/>
            <w:tcBorders>
              <w:top w:val="nil"/>
              <w:left w:val="single" w:sz="4" w:space="0" w:color="auto"/>
              <w:bottom w:val="single" w:sz="4" w:space="0" w:color="auto"/>
              <w:right w:val="nil"/>
            </w:tcBorders>
            <w:hideMark/>
          </w:tcPr>
          <w:p w14:paraId="0D7F734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w:t>
            </w:r>
          </w:p>
        </w:tc>
        <w:tc>
          <w:tcPr>
            <w:tcW w:w="3385" w:type="pct"/>
            <w:gridSpan w:val="2"/>
            <w:tcBorders>
              <w:top w:val="single" w:sz="4" w:space="0" w:color="auto"/>
              <w:left w:val="single" w:sz="4" w:space="0" w:color="auto"/>
              <w:bottom w:val="nil"/>
              <w:right w:val="single" w:sz="4" w:space="0" w:color="auto"/>
            </w:tcBorders>
            <w:vAlign w:val="center"/>
            <w:hideMark/>
          </w:tcPr>
          <w:p w14:paraId="6D7621DD"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commencement of a proceeding under the following enabling enactments—</w:t>
            </w:r>
          </w:p>
        </w:tc>
        <w:tc>
          <w:tcPr>
            <w:tcW w:w="443" w:type="pct"/>
            <w:tcBorders>
              <w:top w:val="nil"/>
              <w:left w:val="nil"/>
              <w:bottom w:val="nil"/>
              <w:right w:val="single" w:sz="4" w:space="0" w:color="auto"/>
            </w:tcBorders>
            <w:vAlign w:val="center"/>
            <w:hideMark/>
          </w:tcPr>
          <w:p w14:paraId="67FE088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$1,075.8</w:t>
            </w:r>
          </w:p>
        </w:tc>
        <w:tc>
          <w:tcPr>
            <w:tcW w:w="443" w:type="pct"/>
            <w:gridSpan w:val="2"/>
            <w:tcBorders>
              <w:top w:val="single" w:sz="4" w:space="0" w:color="auto"/>
              <w:left w:val="nil"/>
              <w:bottom w:val="nil"/>
              <w:right w:val="single" w:sz="4" w:space="0" w:color="auto"/>
            </w:tcBorders>
            <w:noWrap/>
            <w:vAlign w:val="center"/>
            <w:hideMark/>
          </w:tcPr>
          <w:p w14:paraId="179A1CF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$753.1</w:t>
            </w:r>
          </w:p>
        </w:tc>
        <w:tc>
          <w:tcPr>
            <w:tcW w:w="443" w:type="pct"/>
            <w:tcBorders>
              <w:top w:val="single" w:sz="4" w:space="0" w:color="auto"/>
              <w:left w:val="nil"/>
              <w:bottom w:val="nil"/>
              <w:right w:val="single" w:sz="4" w:space="0" w:color="auto"/>
            </w:tcBorders>
            <w:noWrap/>
            <w:vAlign w:val="center"/>
            <w:hideMark/>
          </w:tcPr>
          <w:p w14:paraId="0E55846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2BA7DE4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39BD2C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BF2C32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Accident Compensation Act 1985</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1B34FD3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AE214B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E41C17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716BB4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20720C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6819470"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Accident Towing Services Act 2007</w:t>
            </w:r>
          </w:p>
        </w:tc>
        <w:tc>
          <w:tcPr>
            <w:tcW w:w="443" w:type="pct"/>
            <w:tcBorders>
              <w:top w:val="nil"/>
              <w:left w:val="nil"/>
              <w:bottom w:val="nil"/>
              <w:right w:val="single" w:sz="4" w:space="0" w:color="auto"/>
            </w:tcBorders>
            <w:vAlign w:val="center"/>
            <w:hideMark/>
          </w:tcPr>
          <w:p w14:paraId="7428693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D59960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0DE9C1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3300DBF"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E1B70F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DCA18A3"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Accident Towing Services Regulations 2019</w:t>
            </w:r>
          </w:p>
        </w:tc>
        <w:tc>
          <w:tcPr>
            <w:tcW w:w="443" w:type="pct"/>
            <w:tcBorders>
              <w:top w:val="nil"/>
              <w:left w:val="nil"/>
              <w:bottom w:val="nil"/>
              <w:right w:val="single" w:sz="4" w:space="0" w:color="auto"/>
            </w:tcBorders>
            <w:vAlign w:val="center"/>
            <w:hideMark/>
          </w:tcPr>
          <w:p w14:paraId="0D1FFBA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F07339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25287C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F0B800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58C4F9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2D67A0C"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Adoption Act 1984</w:t>
            </w:r>
            <w:r w:rsidRPr="00001083">
              <w:rPr>
                <w:rFonts w:ascii="Arial" w:hAnsi="Arial" w:cs="Arial"/>
                <w:color w:val="000000"/>
                <w:sz w:val="18"/>
                <w:szCs w:val="18"/>
                <w:lang w:eastAsia="ko-KR"/>
              </w:rPr>
              <w:t>,</w:t>
            </w:r>
            <w:r w:rsidRPr="00001083">
              <w:rPr>
                <w:rFonts w:ascii="Arial" w:hAnsi="Arial" w:cs="Arial"/>
                <w:b/>
                <w:bCs/>
                <w:color w:val="000000"/>
                <w:sz w:val="18"/>
                <w:szCs w:val="18"/>
                <w:lang w:eastAsia="ko-KR"/>
              </w:rPr>
              <w:t xml:space="preserve"> </w:t>
            </w:r>
            <w:r w:rsidRPr="00001083">
              <w:rPr>
                <w:rFonts w:ascii="Arial" w:hAnsi="Arial" w:cs="Arial"/>
                <w:color w:val="000000"/>
                <w:sz w:val="18"/>
                <w:szCs w:val="18"/>
                <w:lang w:eastAsia="ko-KR"/>
              </w:rPr>
              <w:t>section 129A</w:t>
            </w:r>
          </w:p>
        </w:tc>
        <w:tc>
          <w:tcPr>
            <w:tcW w:w="443" w:type="pct"/>
            <w:tcBorders>
              <w:top w:val="nil"/>
              <w:left w:val="nil"/>
              <w:bottom w:val="nil"/>
              <w:right w:val="single" w:sz="4" w:space="0" w:color="auto"/>
            </w:tcBorders>
            <w:vAlign w:val="center"/>
            <w:hideMark/>
          </w:tcPr>
          <w:p w14:paraId="6914F38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3D0563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A886EB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3901F9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73B4C7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8F0FC1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Agricultural and Veterinary Chemicals (Control of Use) Act 1992</w:t>
            </w:r>
          </w:p>
        </w:tc>
        <w:tc>
          <w:tcPr>
            <w:tcW w:w="443" w:type="pct"/>
            <w:tcBorders>
              <w:top w:val="nil"/>
              <w:left w:val="nil"/>
              <w:bottom w:val="nil"/>
              <w:right w:val="single" w:sz="4" w:space="0" w:color="auto"/>
            </w:tcBorders>
            <w:vAlign w:val="center"/>
            <w:hideMark/>
          </w:tcPr>
          <w:p w14:paraId="40040B8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63ACF3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92D8D3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3DC35FF"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B19F50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DD9AE2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Architects Act 1991</w:t>
            </w:r>
          </w:p>
        </w:tc>
        <w:tc>
          <w:tcPr>
            <w:tcW w:w="443" w:type="pct"/>
            <w:tcBorders>
              <w:top w:val="nil"/>
              <w:left w:val="nil"/>
              <w:bottom w:val="nil"/>
              <w:right w:val="single" w:sz="4" w:space="0" w:color="auto"/>
            </w:tcBorders>
            <w:vAlign w:val="center"/>
            <w:hideMark/>
          </w:tcPr>
          <w:p w14:paraId="12FA4F2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7BB6E3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C805F7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D526E1D"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2104D94"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67D0DB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Associations Incorporation Reform Act 2012</w:t>
            </w:r>
          </w:p>
        </w:tc>
        <w:tc>
          <w:tcPr>
            <w:tcW w:w="443" w:type="pct"/>
            <w:tcBorders>
              <w:top w:val="nil"/>
              <w:left w:val="nil"/>
              <w:bottom w:val="nil"/>
              <w:right w:val="single" w:sz="4" w:space="0" w:color="auto"/>
            </w:tcBorders>
            <w:vAlign w:val="center"/>
            <w:hideMark/>
          </w:tcPr>
          <w:p w14:paraId="3684158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439984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092DDC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2B2023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E57141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DA9BF9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Back to Work Act 2015</w:t>
            </w:r>
          </w:p>
        </w:tc>
        <w:tc>
          <w:tcPr>
            <w:tcW w:w="443" w:type="pct"/>
            <w:tcBorders>
              <w:top w:val="nil"/>
              <w:left w:val="nil"/>
              <w:bottom w:val="nil"/>
              <w:right w:val="single" w:sz="4" w:space="0" w:color="auto"/>
            </w:tcBorders>
            <w:vAlign w:val="center"/>
            <w:hideMark/>
          </w:tcPr>
          <w:p w14:paraId="542807E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EC31E8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E76E81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90482D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20C8FC4"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6F40F4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Biological Control Act 1986</w:t>
            </w:r>
          </w:p>
        </w:tc>
        <w:tc>
          <w:tcPr>
            <w:tcW w:w="443" w:type="pct"/>
            <w:tcBorders>
              <w:top w:val="nil"/>
              <w:left w:val="nil"/>
              <w:bottom w:val="nil"/>
              <w:right w:val="single" w:sz="4" w:space="0" w:color="auto"/>
            </w:tcBorders>
            <w:vAlign w:val="center"/>
            <w:hideMark/>
          </w:tcPr>
          <w:p w14:paraId="7BFAA55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9A56A7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9F3620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E29F6E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D1CDD0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7575A35"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Births, Deaths and Marriages Registration Act 1996</w:t>
            </w:r>
          </w:p>
        </w:tc>
        <w:tc>
          <w:tcPr>
            <w:tcW w:w="443" w:type="pct"/>
            <w:tcBorders>
              <w:top w:val="nil"/>
              <w:left w:val="nil"/>
              <w:bottom w:val="nil"/>
              <w:right w:val="single" w:sz="4" w:space="0" w:color="auto"/>
            </w:tcBorders>
            <w:vAlign w:val="center"/>
            <w:hideMark/>
          </w:tcPr>
          <w:p w14:paraId="1D2CA43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4A44FE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E9967A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F5499A1" w14:textId="77777777" w:rsidTr="001761B8">
        <w:trPr>
          <w:trHeight w:val="460"/>
        </w:trPr>
        <w:tc>
          <w:tcPr>
            <w:tcW w:w="284" w:type="pct"/>
            <w:vMerge/>
            <w:tcBorders>
              <w:top w:val="nil"/>
              <w:left w:val="single" w:sz="4" w:space="0" w:color="auto"/>
              <w:bottom w:val="single" w:sz="4" w:space="0" w:color="auto"/>
              <w:right w:val="nil"/>
            </w:tcBorders>
            <w:vAlign w:val="center"/>
            <w:hideMark/>
          </w:tcPr>
          <w:p w14:paraId="4AF23DE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A3DD16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Building Act 1993</w:t>
            </w:r>
            <w:r w:rsidRPr="00001083">
              <w:rPr>
                <w:rFonts w:ascii="Arial" w:hAnsi="Arial" w:cs="Arial"/>
                <w:color w:val="000000"/>
                <w:sz w:val="18"/>
                <w:szCs w:val="18"/>
                <w:lang w:eastAsia="ko-KR"/>
              </w:rPr>
              <w:t>, sections 25J and 186, Division 12 of Part 12A, section 187ZI and clause 10(3) and (4) of Schedule 7</w:t>
            </w:r>
          </w:p>
        </w:tc>
        <w:tc>
          <w:tcPr>
            <w:tcW w:w="443" w:type="pct"/>
            <w:tcBorders>
              <w:top w:val="nil"/>
              <w:left w:val="nil"/>
              <w:bottom w:val="nil"/>
              <w:right w:val="single" w:sz="4" w:space="0" w:color="auto"/>
            </w:tcBorders>
            <w:vAlign w:val="center"/>
            <w:hideMark/>
          </w:tcPr>
          <w:p w14:paraId="4096903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B2772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35642F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04015C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B96BEC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120E95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Bus Safety Act 2009</w:t>
            </w:r>
          </w:p>
        </w:tc>
        <w:tc>
          <w:tcPr>
            <w:tcW w:w="443" w:type="pct"/>
            <w:tcBorders>
              <w:top w:val="nil"/>
              <w:left w:val="nil"/>
              <w:bottom w:val="nil"/>
              <w:right w:val="single" w:sz="4" w:space="0" w:color="auto"/>
            </w:tcBorders>
            <w:vAlign w:val="center"/>
            <w:hideMark/>
          </w:tcPr>
          <w:p w14:paraId="36A3EEB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A08D87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06510B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40BA4E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58F409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3ADB28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Business Licensing Authority Act 1998</w:t>
            </w:r>
          </w:p>
        </w:tc>
        <w:tc>
          <w:tcPr>
            <w:tcW w:w="443" w:type="pct"/>
            <w:tcBorders>
              <w:top w:val="nil"/>
              <w:left w:val="nil"/>
              <w:bottom w:val="nil"/>
              <w:right w:val="single" w:sz="4" w:space="0" w:color="auto"/>
            </w:tcBorders>
            <w:vAlign w:val="center"/>
            <w:hideMark/>
          </w:tcPr>
          <w:p w14:paraId="59A6BE6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CE4768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3A4CAF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903AE5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DC0E6D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C657CAF"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Cemeteries and Crematoria Act 2003</w:t>
            </w:r>
          </w:p>
        </w:tc>
        <w:tc>
          <w:tcPr>
            <w:tcW w:w="443" w:type="pct"/>
            <w:tcBorders>
              <w:top w:val="nil"/>
              <w:left w:val="nil"/>
              <w:bottom w:val="nil"/>
              <w:right w:val="single" w:sz="4" w:space="0" w:color="auto"/>
            </w:tcBorders>
            <w:vAlign w:val="center"/>
            <w:hideMark/>
          </w:tcPr>
          <w:p w14:paraId="4C6D1B9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0C85DC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1C260A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0BDE1D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D43B27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9236DC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Children's Services Act 1996</w:t>
            </w:r>
          </w:p>
        </w:tc>
        <w:tc>
          <w:tcPr>
            <w:tcW w:w="443" w:type="pct"/>
            <w:tcBorders>
              <w:top w:val="nil"/>
              <w:left w:val="nil"/>
              <w:bottom w:val="nil"/>
              <w:right w:val="single" w:sz="4" w:space="0" w:color="auto"/>
            </w:tcBorders>
            <w:vAlign w:val="center"/>
            <w:hideMark/>
          </w:tcPr>
          <w:p w14:paraId="7F375B9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9C254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F2605E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43D9BE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F8DA41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7DCB5A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Commercial Passenger Vehicle Industry Act 2017</w:t>
            </w:r>
          </w:p>
        </w:tc>
        <w:tc>
          <w:tcPr>
            <w:tcW w:w="443" w:type="pct"/>
            <w:tcBorders>
              <w:top w:val="nil"/>
              <w:left w:val="nil"/>
              <w:bottom w:val="nil"/>
              <w:right w:val="single" w:sz="4" w:space="0" w:color="auto"/>
            </w:tcBorders>
            <w:vAlign w:val="center"/>
            <w:hideMark/>
          </w:tcPr>
          <w:p w14:paraId="2930F94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6D88C3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C88B96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0CD39D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A93C87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27D3565"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Conveyancers Act 2006</w:t>
            </w:r>
            <w:r w:rsidRPr="00001083">
              <w:rPr>
                <w:rFonts w:ascii="Arial" w:hAnsi="Arial" w:cs="Arial"/>
                <w:color w:val="000000"/>
                <w:sz w:val="18"/>
                <w:szCs w:val="18"/>
                <w:lang w:eastAsia="ko-KR"/>
              </w:rPr>
              <w:t>, sections 33, 34, 146 and 187</w:t>
            </w:r>
          </w:p>
        </w:tc>
        <w:tc>
          <w:tcPr>
            <w:tcW w:w="443" w:type="pct"/>
            <w:tcBorders>
              <w:top w:val="nil"/>
              <w:left w:val="nil"/>
              <w:bottom w:val="nil"/>
              <w:right w:val="single" w:sz="4" w:space="0" w:color="auto"/>
            </w:tcBorders>
            <w:vAlign w:val="center"/>
            <w:hideMark/>
          </w:tcPr>
          <w:p w14:paraId="2876533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E6216B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40DCF0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AC3387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C31647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DE733B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Co</w:t>
            </w:r>
            <w:r w:rsidRPr="00001083">
              <w:rPr>
                <w:rFonts w:ascii="Arial" w:hAnsi="Arial" w:cs="Arial"/>
                <w:color w:val="000000"/>
                <w:sz w:val="18"/>
                <w:szCs w:val="18"/>
                <w:lang w:eastAsia="ko-KR"/>
              </w:rPr>
              <w:noBreakHyphen/>
              <w:t>operatives National Law (Victoria)</w:t>
            </w:r>
          </w:p>
        </w:tc>
        <w:tc>
          <w:tcPr>
            <w:tcW w:w="443" w:type="pct"/>
            <w:tcBorders>
              <w:top w:val="nil"/>
              <w:left w:val="nil"/>
              <w:bottom w:val="nil"/>
              <w:right w:val="single" w:sz="4" w:space="0" w:color="auto"/>
            </w:tcBorders>
            <w:vAlign w:val="center"/>
            <w:hideMark/>
          </w:tcPr>
          <w:p w14:paraId="69B8E10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49EB88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81A79E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37C5B61"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E59BA6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351738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Country Fire Authority Act 1958</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26C93DD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156EF8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F2FAFE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AF10A2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4CA7AF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6DD4BB2"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Dairy Act 2000</w:t>
            </w:r>
          </w:p>
        </w:tc>
        <w:tc>
          <w:tcPr>
            <w:tcW w:w="443" w:type="pct"/>
            <w:tcBorders>
              <w:top w:val="nil"/>
              <w:left w:val="nil"/>
              <w:bottom w:val="nil"/>
              <w:right w:val="single" w:sz="4" w:space="0" w:color="auto"/>
            </w:tcBorders>
            <w:vAlign w:val="center"/>
            <w:hideMark/>
          </w:tcPr>
          <w:p w14:paraId="52ADDB4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2C331E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55E3A5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360CB2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C1E446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032973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Dangerous Goods Act 1985</w:t>
            </w:r>
          </w:p>
        </w:tc>
        <w:tc>
          <w:tcPr>
            <w:tcW w:w="443" w:type="pct"/>
            <w:tcBorders>
              <w:top w:val="nil"/>
              <w:left w:val="nil"/>
              <w:bottom w:val="nil"/>
              <w:right w:val="single" w:sz="4" w:space="0" w:color="auto"/>
            </w:tcBorders>
            <w:vAlign w:val="center"/>
            <w:hideMark/>
          </w:tcPr>
          <w:p w14:paraId="3FDF8EC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E75C09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66B09B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C1CC6D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35EAC4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203E51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Disability Act 2006</w:t>
            </w:r>
            <w:r w:rsidRPr="00001083">
              <w:rPr>
                <w:rFonts w:ascii="Arial" w:hAnsi="Arial" w:cs="Arial"/>
                <w:color w:val="000000"/>
                <w:sz w:val="18"/>
                <w:szCs w:val="18"/>
                <w:lang w:eastAsia="ko-KR"/>
              </w:rPr>
              <w:t>, section 45</w:t>
            </w:r>
          </w:p>
        </w:tc>
        <w:tc>
          <w:tcPr>
            <w:tcW w:w="443" w:type="pct"/>
            <w:tcBorders>
              <w:top w:val="nil"/>
              <w:left w:val="nil"/>
              <w:bottom w:val="nil"/>
              <w:right w:val="single" w:sz="4" w:space="0" w:color="auto"/>
            </w:tcBorders>
            <w:vAlign w:val="center"/>
            <w:hideMark/>
          </w:tcPr>
          <w:p w14:paraId="0A78F0F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CC0D10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C1FD43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FDA7381"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7056BB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6013E9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Disability Service Safeguards Act 2018</w:t>
            </w:r>
          </w:p>
        </w:tc>
        <w:tc>
          <w:tcPr>
            <w:tcW w:w="443" w:type="pct"/>
            <w:tcBorders>
              <w:top w:val="nil"/>
              <w:left w:val="nil"/>
              <w:bottom w:val="nil"/>
              <w:right w:val="single" w:sz="4" w:space="0" w:color="auto"/>
            </w:tcBorders>
            <w:vAlign w:val="center"/>
            <w:hideMark/>
          </w:tcPr>
          <w:p w14:paraId="38CBFAA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45BCEE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11D65E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FAEC4ED"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A8E04F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56231C2"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Domestic Animals Act 1994</w:t>
            </w:r>
          </w:p>
        </w:tc>
        <w:tc>
          <w:tcPr>
            <w:tcW w:w="443" w:type="pct"/>
            <w:tcBorders>
              <w:top w:val="nil"/>
              <w:left w:val="nil"/>
              <w:bottom w:val="nil"/>
              <w:right w:val="single" w:sz="4" w:space="0" w:color="auto"/>
            </w:tcBorders>
            <w:vAlign w:val="center"/>
            <w:hideMark/>
          </w:tcPr>
          <w:p w14:paraId="431B9CC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559FB6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80D422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40D46D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EC5A93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FFA6DC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Drugs, Poisons and Controlled Substances Act 1981</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6552B60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11ED82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75647C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B33D6A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C633E8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662C97C"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Education and Care Services National Law (Victoria)</w:t>
            </w:r>
          </w:p>
        </w:tc>
        <w:tc>
          <w:tcPr>
            <w:tcW w:w="443" w:type="pct"/>
            <w:tcBorders>
              <w:top w:val="nil"/>
              <w:left w:val="nil"/>
              <w:bottom w:val="nil"/>
              <w:right w:val="single" w:sz="4" w:space="0" w:color="auto"/>
            </w:tcBorders>
            <w:vAlign w:val="center"/>
            <w:hideMark/>
          </w:tcPr>
          <w:p w14:paraId="76D8915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D4C4A4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2CBB03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A71B52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EBF29C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6B362A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Education and Training Reform Act 2006</w:t>
            </w:r>
            <w:r w:rsidRPr="00001083">
              <w:rPr>
                <w:rFonts w:ascii="Arial" w:hAnsi="Arial" w:cs="Arial"/>
                <w:color w:val="000000"/>
                <w:sz w:val="18"/>
                <w:szCs w:val="18"/>
                <w:lang w:eastAsia="ko-KR"/>
              </w:rPr>
              <w:t>, Division 14 of Part 2.6 and Part 4.8</w:t>
            </w:r>
          </w:p>
        </w:tc>
        <w:tc>
          <w:tcPr>
            <w:tcW w:w="443" w:type="pct"/>
            <w:tcBorders>
              <w:top w:val="nil"/>
              <w:left w:val="nil"/>
              <w:bottom w:val="nil"/>
              <w:right w:val="single" w:sz="4" w:space="0" w:color="auto"/>
            </w:tcBorders>
            <w:vAlign w:val="center"/>
            <w:hideMark/>
          </w:tcPr>
          <w:p w14:paraId="3ADBAD6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89920D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58E983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AA434F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74007E4"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E7B846D"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Electoral Act 2002</w:t>
            </w:r>
          </w:p>
        </w:tc>
        <w:tc>
          <w:tcPr>
            <w:tcW w:w="443" w:type="pct"/>
            <w:tcBorders>
              <w:top w:val="nil"/>
              <w:left w:val="nil"/>
              <w:bottom w:val="nil"/>
              <w:right w:val="single" w:sz="4" w:space="0" w:color="auto"/>
            </w:tcBorders>
            <w:vAlign w:val="center"/>
            <w:hideMark/>
          </w:tcPr>
          <w:p w14:paraId="6394383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83C8D8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60EA38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922620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890565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44D68C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Electricity Safety Act 1998</w:t>
            </w:r>
          </w:p>
        </w:tc>
        <w:tc>
          <w:tcPr>
            <w:tcW w:w="443" w:type="pct"/>
            <w:tcBorders>
              <w:top w:val="nil"/>
              <w:left w:val="nil"/>
              <w:bottom w:val="nil"/>
              <w:right w:val="single" w:sz="4" w:space="0" w:color="auto"/>
            </w:tcBorders>
            <w:vAlign w:val="center"/>
            <w:hideMark/>
          </w:tcPr>
          <w:p w14:paraId="18B968F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BFCC14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A9033D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7A8369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718727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FEC7F6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Emergency Management Act 1986</w:t>
            </w:r>
          </w:p>
        </w:tc>
        <w:tc>
          <w:tcPr>
            <w:tcW w:w="443" w:type="pct"/>
            <w:tcBorders>
              <w:top w:val="nil"/>
              <w:left w:val="nil"/>
              <w:bottom w:val="nil"/>
              <w:right w:val="single" w:sz="4" w:space="0" w:color="auto"/>
            </w:tcBorders>
            <w:vAlign w:val="center"/>
            <w:hideMark/>
          </w:tcPr>
          <w:p w14:paraId="0EE1288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EDD8C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469BDE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668681F"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B43249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9E041C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Emergency Services Superannuation Act 1986</w:t>
            </w:r>
          </w:p>
        </w:tc>
        <w:tc>
          <w:tcPr>
            <w:tcW w:w="443" w:type="pct"/>
            <w:tcBorders>
              <w:top w:val="nil"/>
              <w:left w:val="nil"/>
              <w:bottom w:val="nil"/>
              <w:right w:val="single" w:sz="4" w:space="0" w:color="auto"/>
            </w:tcBorders>
            <w:vAlign w:val="center"/>
            <w:hideMark/>
          </w:tcPr>
          <w:p w14:paraId="0B481F5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8E6772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C77439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1C778B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E6F41B4"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D388B6D"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Equal Opportunity Act 2010</w:t>
            </w:r>
            <w:r w:rsidRPr="00001083">
              <w:rPr>
                <w:rFonts w:ascii="Arial" w:hAnsi="Arial" w:cs="Arial"/>
                <w:color w:val="000000"/>
                <w:sz w:val="18"/>
                <w:szCs w:val="18"/>
                <w:lang w:eastAsia="ko-KR"/>
              </w:rPr>
              <w:t>,</w:t>
            </w:r>
            <w:r w:rsidRPr="00001083">
              <w:rPr>
                <w:rFonts w:ascii="Arial" w:hAnsi="Arial" w:cs="Arial"/>
                <w:b/>
                <w:bCs/>
                <w:color w:val="000000"/>
                <w:sz w:val="18"/>
                <w:szCs w:val="18"/>
                <w:lang w:eastAsia="ko-KR"/>
              </w:rPr>
              <w:t xml:space="preserve"> </w:t>
            </w:r>
            <w:r w:rsidRPr="00001083">
              <w:rPr>
                <w:rFonts w:ascii="Arial" w:hAnsi="Arial" w:cs="Arial"/>
                <w:color w:val="000000"/>
                <w:sz w:val="18"/>
                <w:szCs w:val="18"/>
                <w:lang w:eastAsia="ko-KR"/>
              </w:rPr>
              <w:t>section 89(5)(a)</w:t>
            </w:r>
          </w:p>
        </w:tc>
        <w:tc>
          <w:tcPr>
            <w:tcW w:w="443" w:type="pct"/>
            <w:tcBorders>
              <w:top w:val="nil"/>
              <w:left w:val="nil"/>
              <w:bottom w:val="nil"/>
              <w:right w:val="single" w:sz="4" w:space="0" w:color="auto"/>
            </w:tcBorders>
            <w:vAlign w:val="center"/>
            <w:hideMark/>
          </w:tcPr>
          <w:p w14:paraId="2D49CA2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2DD609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1CF1E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2B4126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C6E75D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4AC87C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Equipment (Public Safety) Act 1994</w:t>
            </w:r>
          </w:p>
        </w:tc>
        <w:tc>
          <w:tcPr>
            <w:tcW w:w="443" w:type="pct"/>
            <w:tcBorders>
              <w:top w:val="nil"/>
              <w:left w:val="nil"/>
              <w:bottom w:val="nil"/>
              <w:right w:val="single" w:sz="4" w:space="0" w:color="auto"/>
            </w:tcBorders>
            <w:vAlign w:val="center"/>
            <w:hideMark/>
          </w:tcPr>
          <w:p w14:paraId="39E0BA0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D4D59E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B7E2DE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0CB928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13282D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9D3076A"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Essential Services Commission Act 2001</w:t>
            </w:r>
          </w:p>
        </w:tc>
        <w:tc>
          <w:tcPr>
            <w:tcW w:w="443" w:type="pct"/>
            <w:tcBorders>
              <w:top w:val="nil"/>
              <w:left w:val="nil"/>
              <w:bottom w:val="nil"/>
              <w:right w:val="single" w:sz="4" w:space="0" w:color="auto"/>
            </w:tcBorders>
            <w:vAlign w:val="center"/>
            <w:hideMark/>
          </w:tcPr>
          <w:p w14:paraId="5FD0510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5C0C25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EEBA2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ACF5CA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CBFE3F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8991555"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Estate Agents Act 1980</w:t>
            </w:r>
            <w:r w:rsidRPr="00001083">
              <w:rPr>
                <w:rFonts w:ascii="Arial" w:hAnsi="Arial" w:cs="Arial"/>
                <w:color w:val="000000"/>
                <w:sz w:val="18"/>
                <w:szCs w:val="18"/>
                <w:lang w:eastAsia="ko-KR"/>
              </w:rPr>
              <w:t>, except sections 56A(4) and 56B(1)</w:t>
            </w:r>
          </w:p>
        </w:tc>
        <w:tc>
          <w:tcPr>
            <w:tcW w:w="443" w:type="pct"/>
            <w:tcBorders>
              <w:top w:val="nil"/>
              <w:left w:val="nil"/>
              <w:bottom w:val="nil"/>
              <w:right w:val="single" w:sz="4" w:space="0" w:color="auto"/>
            </w:tcBorders>
            <w:vAlign w:val="center"/>
            <w:hideMark/>
          </w:tcPr>
          <w:p w14:paraId="43D423F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C7381A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641F13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85655E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022BA8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F59AB0C"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Firearms Act 1996</w:t>
            </w:r>
            <w:r w:rsidRPr="00001083">
              <w:rPr>
                <w:rFonts w:ascii="Arial" w:hAnsi="Arial" w:cs="Arial"/>
                <w:color w:val="000000"/>
                <w:sz w:val="18"/>
                <w:szCs w:val="18"/>
                <w:lang w:eastAsia="ko-KR"/>
              </w:rPr>
              <w:t>, section 182</w:t>
            </w:r>
          </w:p>
        </w:tc>
        <w:tc>
          <w:tcPr>
            <w:tcW w:w="443" w:type="pct"/>
            <w:tcBorders>
              <w:top w:val="nil"/>
              <w:left w:val="nil"/>
              <w:bottom w:val="nil"/>
              <w:right w:val="single" w:sz="4" w:space="0" w:color="auto"/>
            </w:tcBorders>
            <w:vAlign w:val="center"/>
            <w:hideMark/>
          </w:tcPr>
          <w:p w14:paraId="5E03D07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36033E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CB2F46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8A39BD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32A53E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9E1048F"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Fisheries Act 1995</w:t>
            </w:r>
          </w:p>
        </w:tc>
        <w:tc>
          <w:tcPr>
            <w:tcW w:w="443" w:type="pct"/>
            <w:tcBorders>
              <w:top w:val="nil"/>
              <w:left w:val="nil"/>
              <w:bottom w:val="nil"/>
              <w:right w:val="single" w:sz="4" w:space="0" w:color="auto"/>
            </w:tcBorders>
            <w:vAlign w:val="center"/>
            <w:hideMark/>
          </w:tcPr>
          <w:p w14:paraId="6878944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4DE2A3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A06241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86F8839"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79E48E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E5F3F1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Freedom of Information Act 1982</w:t>
            </w:r>
            <w:r w:rsidRPr="00001083">
              <w:rPr>
                <w:rFonts w:ascii="Arial" w:hAnsi="Arial" w:cs="Arial"/>
                <w:color w:val="000000"/>
                <w:sz w:val="18"/>
                <w:szCs w:val="18"/>
                <w:lang w:eastAsia="ko-KR"/>
              </w:rPr>
              <w:t>,</w:t>
            </w:r>
            <w:r w:rsidRPr="00001083">
              <w:rPr>
                <w:rFonts w:ascii="Arial" w:hAnsi="Arial" w:cs="Arial"/>
                <w:b/>
                <w:bCs/>
                <w:color w:val="000000"/>
                <w:sz w:val="18"/>
                <w:szCs w:val="18"/>
                <w:lang w:eastAsia="ko-KR"/>
              </w:rPr>
              <w:t xml:space="preserve"> </w:t>
            </w:r>
            <w:r w:rsidRPr="00001083">
              <w:rPr>
                <w:rFonts w:ascii="Arial" w:hAnsi="Arial" w:cs="Arial"/>
                <w:color w:val="000000"/>
                <w:sz w:val="18"/>
                <w:szCs w:val="18"/>
                <w:lang w:eastAsia="ko-KR"/>
              </w:rPr>
              <w:t>except applications under section 50 if—</w:t>
            </w:r>
          </w:p>
        </w:tc>
        <w:tc>
          <w:tcPr>
            <w:tcW w:w="443" w:type="pct"/>
            <w:tcBorders>
              <w:top w:val="nil"/>
              <w:left w:val="nil"/>
              <w:bottom w:val="nil"/>
              <w:right w:val="single" w:sz="4" w:space="0" w:color="auto"/>
            </w:tcBorders>
            <w:vAlign w:val="center"/>
            <w:hideMark/>
          </w:tcPr>
          <w:p w14:paraId="27048DF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4C79F3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934C4D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D1ED5A9" w14:textId="77777777" w:rsidTr="001761B8">
        <w:trPr>
          <w:trHeight w:val="460"/>
        </w:trPr>
        <w:tc>
          <w:tcPr>
            <w:tcW w:w="284" w:type="pct"/>
            <w:vMerge/>
            <w:tcBorders>
              <w:top w:val="nil"/>
              <w:left w:val="single" w:sz="4" w:space="0" w:color="auto"/>
              <w:bottom w:val="single" w:sz="4" w:space="0" w:color="auto"/>
              <w:right w:val="nil"/>
            </w:tcBorders>
            <w:vAlign w:val="center"/>
            <w:hideMark/>
          </w:tcPr>
          <w:p w14:paraId="19C9EE0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2BDCEB8" w14:textId="77777777" w:rsidR="00001083" w:rsidRPr="00001083" w:rsidRDefault="00001083" w:rsidP="00001083">
            <w:pPr>
              <w:ind w:firstLineChars="300" w:firstLine="540"/>
              <w:rPr>
                <w:rFonts w:ascii="Arial" w:hAnsi="Arial" w:cs="Arial"/>
                <w:color w:val="000000"/>
                <w:sz w:val="18"/>
                <w:szCs w:val="18"/>
                <w:lang w:eastAsia="ko-KR"/>
              </w:rPr>
            </w:pPr>
            <w:r w:rsidRPr="00001083">
              <w:rPr>
                <w:rFonts w:ascii="Arial" w:hAnsi="Arial" w:cs="Arial"/>
                <w:color w:val="000000"/>
                <w:sz w:val="18"/>
                <w:szCs w:val="18"/>
                <w:lang w:eastAsia="ko-KR"/>
              </w:rPr>
              <w:t>(a) the application is for the review of a deemed decision under section 49J or 53 refusing to grant access to a document; or</w:t>
            </w:r>
          </w:p>
        </w:tc>
        <w:tc>
          <w:tcPr>
            <w:tcW w:w="443" w:type="pct"/>
            <w:tcBorders>
              <w:top w:val="nil"/>
              <w:left w:val="nil"/>
              <w:bottom w:val="nil"/>
              <w:right w:val="single" w:sz="4" w:space="0" w:color="auto"/>
            </w:tcBorders>
            <w:vAlign w:val="center"/>
            <w:hideMark/>
          </w:tcPr>
          <w:p w14:paraId="76B067E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88FA4F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9B8AF0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46664FC" w14:textId="77777777" w:rsidTr="001761B8">
        <w:trPr>
          <w:trHeight w:val="460"/>
        </w:trPr>
        <w:tc>
          <w:tcPr>
            <w:tcW w:w="284" w:type="pct"/>
            <w:vMerge/>
            <w:tcBorders>
              <w:top w:val="nil"/>
              <w:left w:val="single" w:sz="4" w:space="0" w:color="auto"/>
              <w:bottom w:val="single" w:sz="4" w:space="0" w:color="auto"/>
              <w:right w:val="nil"/>
            </w:tcBorders>
            <w:vAlign w:val="center"/>
            <w:hideMark/>
          </w:tcPr>
          <w:p w14:paraId="52F7B0D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34869CD" w14:textId="77777777" w:rsidR="00001083" w:rsidRPr="00001083" w:rsidRDefault="00001083" w:rsidP="00001083">
            <w:pPr>
              <w:ind w:firstLineChars="300" w:firstLine="540"/>
              <w:rPr>
                <w:rFonts w:ascii="Arial" w:hAnsi="Arial" w:cs="Arial"/>
                <w:color w:val="000000"/>
                <w:sz w:val="18"/>
                <w:szCs w:val="18"/>
                <w:lang w:eastAsia="ko-KR"/>
              </w:rPr>
            </w:pPr>
            <w:r w:rsidRPr="00001083">
              <w:rPr>
                <w:rFonts w:ascii="Arial" w:hAnsi="Arial" w:cs="Arial"/>
                <w:color w:val="000000"/>
                <w:sz w:val="18"/>
                <w:szCs w:val="18"/>
                <w:lang w:eastAsia="ko-KR"/>
              </w:rPr>
              <w:t>(b) the applicant is a natural person and the document to which access is sought contains information relating to the applicant's personal affairs</w:t>
            </w:r>
          </w:p>
        </w:tc>
        <w:tc>
          <w:tcPr>
            <w:tcW w:w="443" w:type="pct"/>
            <w:tcBorders>
              <w:top w:val="nil"/>
              <w:left w:val="nil"/>
              <w:bottom w:val="nil"/>
              <w:right w:val="single" w:sz="4" w:space="0" w:color="auto"/>
            </w:tcBorders>
            <w:vAlign w:val="center"/>
            <w:hideMark/>
          </w:tcPr>
          <w:p w14:paraId="0C0F7F5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9950A5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5BAA55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CF7515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73CD19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3426B7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Fundraising Act 1998</w:t>
            </w:r>
          </w:p>
        </w:tc>
        <w:tc>
          <w:tcPr>
            <w:tcW w:w="443" w:type="pct"/>
            <w:tcBorders>
              <w:top w:val="nil"/>
              <w:left w:val="nil"/>
              <w:bottom w:val="nil"/>
              <w:right w:val="single" w:sz="4" w:space="0" w:color="auto"/>
            </w:tcBorders>
            <w:vAlign w:val="center"/>
            <w:hideMark/>
          </w:tcPr>
          <w:p w14:paraId="1621C8F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927749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9AF811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A419B0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6F7C96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AF7202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Gas Safety Act 1997</w:t>
            </w:r>
          </w:p>
        </w:tc>
        <w:tc>
          <w:tcPr>
            <w:tcW w:w="443" w:type="pct"/>
            <w:tcBorders>
              <w:top w:val="nil"/>
              <w:left w:val="nil"/>
              <w:bottom w:val="nil"/>
              <w:right w:val="single" w:sz="4" w:space="0" w:color="auto"/>
            </w:tcBorders>
            <w:vAlign w:val="center"/>
            <w:hideMark/>
          </w:tcPr>
          <w:p w14:paraId="2598816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6A9508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882BAB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E4FC9E9"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1E53D3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26B94B2"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Health Practitioner Regulation National Law (Victoria) Act 2009</w:t>
            </w:r>
          </w:p>
        </w:tc>
        <w:tc>
          <w:tcPr>
            <w:tcW w:w="443" w:type="pct"/>
            <w:tcBorders>
              <w:top w:val="nil"/>
              <w:left w:val="nil"/>
              <w:bottom w:val="nil"/>
              <w:right w:val="single" w:sz="4" w:space="0" w:color="auto"/>
            </w:tcBorders>
            <w:vAlign w:val="center"/>
            <w:hideMark/>
          </w:tcPr>
          <w:p w14:paraId="64343F5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36EBBC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A27A77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6404AF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601AF0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9A4B95F"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Health Practitioner Regulation National Law (Victoria)</w:t>
            </w:r>
          </w:p>
        </w:tc>
        <w:tc>
          <w:tcPr>
            <w:tcW w:w="443" w:type="pct"/>
            <w:tcBorders>
              <w:top w:val="nil"/>
              <w:left w:val="nil"/>
              <w:bottom w:val="nil"/>
              <w:right w:val="single" w:sz="4" w:space="0" w:color="auto"/>
            </w:tcBorders>
            <w:vAlign w:val="center"/>
            <w:hideMark/>
          </w:tcPr>
          <w:p w14:paraId="4F6847D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E98737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991B7A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BF8657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B893E9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B325A82"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Health Services Act 1988</w:t>
            </w:r>
            <w:r w:rsidRPr="00001083">
              <w:rPr>
                <w:rFonts w:ascii="Arial" w:hAnsi="Arial" w:cs="Arial"/>
                <w:color w:val="000000"/>
                <w:sz w:val="18"/>
                <w:szCs w:val="18"/>
                <w:lang w:eastAsia="ko-KR"/>
              </w:rPr>
              <w:t>, sections 57C and 110</w:t>
            </w:r>
          </w:p>
        </w:tc>
        <w:tc>
          <w:tcPr>
            <w:tcW w:w="443" w:type="pct"/>
            <w:tcBorders>
              <w:top w:val="nil"/>
              <w:left w:val="nil"/>
              <w:bottom w:val="nil"/>
              <w:right w:val="single" w:sz="4" w:space="0" w:color="auto"/>
            </w:tcBorders>
            <w:vAlign w:val="center"/>
            <w:hideMark/>
          </w:tcPr>
          <w:p w14:paraId="75C6DD2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920112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E3E6D6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E160F2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3590D3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A5C333F"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Labour Hire Licensing Act 2018</w:t>
            </w:r>
          </w:p>
        </w:tc>
        <w:tc>
          <w:tcPr>
            <w:tcW w:w="443" w:type="pct"/>
            <w:tcBorders>
              <w:top w:val="nil"/>
              <w:left w:val="nil"/>
              <w:bottom w:val="nil"/>
              <w:right w:val="single" w:sz="4" w:space="0" w:color="auto"/>
            </w:tcBorders>
            <w:vAlign w:val="center"/>
            <w:hideMark/>
          </w:tcPr>
          <w:p w14:paraId="5E26C9E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11DABB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A50854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164BB7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F4FDF2C"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63187E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Liquor Control Reform Act 1998</w:t>
            </w:r>
          </w:p>
        </w:tc>
        <w:tc>
          <w:tcPr>
            <w:tcW w:w="443" w:type="pct"/>
            <w:tcBorders>
              <w:top w:val="nil"/>
              <w:left w:val="nil"/>
              <w:bottom w:val="nil"/>
              <w:right w:val="single" w:sz="4" w:space="0" w:color="auto"/>
            </w:tcBorders>
            <w:vAlign w:val="center"/>
            <w:hideMark/>
          </w:tcPr>
          <w:p w14:paraId="1538938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67F476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BE3133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594201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078643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5A9CE0D"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Livestock Disease Control Act 1994</w:t>
            </w:r>
          </w:p>
        </w:tc>
        <w:tc>
          <w:tcPr>
            <w:tcW w:w="443" w:type="pct"/>
            <w:tcBorders>
              <w:top w:val="nil"/>
              <w:left w:val="nil"/>
              <w:bottom w:val="nil"/>
              <w:right w:val="single" w:sz="4" w:space="0" w:color="auto"/>
            </w:tcBorders>
            <w:vAlign w:val="center"/>
            <w:hideMark/>
          </w:tcPr>
          <w:p w14:paraId="6E529F9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2C0452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529F47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C095BF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EA1032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202CA5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Local Government Act 1989</w:t>
            </w:r>
            <w:r w:rsidRPr="00001083">
              <w:rPr>
                <w:rFonts w:ascii="Arial" w:hAnsi="Arial" w:cs="Arial"/>
                <w:color w:val="000000"/>
                <w:sz w:val="18"/>
                <w:szCs w:val="18"/>
                <w:lang w:eastAsia="ko-KR"/>
              </w:rPr>
              <w:t>, except sections 183, 185 and 185AA</w:t>
            </w:r>
          </w:p>
        </w:tc>
        <w:tc>
          <w:tcPr>
            <w:tcW w:w="443" w:type="pct"/>
            <w:tcBorders>
              <w:top w:val="nil"/>
              <w:left w:val="nil"/>
              <w:bottom w:val="nil"/>
              <w:right w:val="single" w:sz="4" w:space="0" w:color="auto"/>
            </w:tcBorders>
            <w:vAlign w:val="center"/>
            <w:hideMark/>
          </w:tcPr>
          <w:p w14:paraId="2019E11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BDC4B7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D485C4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5C727AD"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E1A383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EECAC1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Long Service Benefits Portability Act 2018</w:t>
            </w:r>
          </w:p>
        </w:tc>
        <w:tc>
          <w:tcPr>
            <w:tcW w:w="443" w:type="pct"/>
            <w:tcBorders>
              <w:top w:val="nil"/>
              <w:left w:val="nil"/>
              <w:bottom w:val="nil"/>
              <w:right w:val="single" w:sz="4" w:space="0" w:color="auto"/>
            </w:tcBorders>
            <w:vAlign w:val="center"/>
            <w:hideMark/>
          </w:tcPr>
          <w:p w14:paraId="4892DB1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4EB573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37EE29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2AB0CE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449DE8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0E9DFB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Major Events Act 2009</w:t>
            </w:r>
          </w:p>
        </w:tc>
        <w:tc>
          <w:tcPr>
            <w:tcW w:w="443" w:type="pct"/>
            <w:tcBorders>
              <w:top w:val="nil"/>
              <w:left w:val="nil"/>
              <w:bottom w:val="nil"/>
              <w:right w:val="single" w:sz="4" w:space="0" w:color="auto"/>
            </w:tcBorders>
            <w:vAlign w:val="center"/>
            <w:hideMark/>
          </w:tcPr>
          <w:p w14:paraId="07385C0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830402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E1910E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16F57F1"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71A7AE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DE9649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Meat Industry Act 1993</w:t>
            </w:r>
            <w:r w:rsidRPr="00001083">
              <w:rPr>
                <w:rFonts w:ascii="Arial" w:hAnsi="Arial" w:cs="Arial"/>
                <w:color w:val="000000"/>
                <w:sz w:val="18"/>
                <w:szCs w:val="18"/>
                <w:lang w:eastAsia="ko-KR"/>
              </w:rPr>
              <w:t>, section 24</w:t>
            </w:r>
          </w:p>
        </w:tc>
        <w:tc>
          <w:tcPr>
            <w:tcW w:w="443" w:type="pct"/>
            <w:tcBorders>
              <w:top w:val="nil"/>
              <w:left w:val="nil"/>
              <w:bottom w:val="nil"/>
              <w:right w:val="single" w:sz="4" w:space="0" w:color="auto"/>
            </w:tcBorders>
            <w:vAlign w:val="center"/>
            <w:hideMark/>
          </w:tcPr>
          <w:p w14:paraId="3DC557B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6C3C7C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FD4CAA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FBF2351"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78D61E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5F20BAD"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Melbourne Strategic Assessment (Environment Mitigation Levy) Act 2020</w:t>
            </w:r>
          </w:p>
        </w:tc>
        <w:tc>
          <w:tcPr>
            <w:tcW w:w="443" w:type="pct"/>
            <w:tcBorders>
              <w:top w:val="nil"/>
              <w:left w:val="nil"/>
              <w:bottom w:val="nil"/>
              <w:right w:val="single" w:sz="4" w:space="0" w:color="auto"/>
            </w:tcBorders>
            <w:vAlign w:val="center"/>
            <w:hideMark/>
          </w:tcPr>
          <w:p w14:paraId="31B6B23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8DF643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D15287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7B5674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2BAC77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282455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Metropolitan Fire Brigades Act 1958</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7AAB0E2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F4A7EB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7EC84F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3B0045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546B73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4EFEFA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Motor Car Traders Act 1986</w:t>
            </w:r>
            <w:r w:rsidRPr="00001083">
              <w:rPr>
                <w:rFonts w:ascii="Arial" w:hAnsi="Arial" w:cs="Arial"/>
                <w:color w:val="000000"/>
                <w:sz w:val="18"/>
                <w:szCs w:val="18"/>
                <w:lang w:eastAsia="ko-KR"/>
              </w:rPr>
              <w:t>, except section 45</w:t>
            </w:r>
          </w:p>
        </w:tc>
        <w:tc>
          <w:tcPr>
            <w:tcW w:w="443" w:type="pct"/>
            <w:tcBorders>
              <w:top w:val="nil"/>
              <w:left w:val="nil"/>
              <w:bottom w:val="nil"/>
              <w:right w:val="single" w:sz="4" w:space="0" w:color="auto"/>
            </w:tcBorders>
            <w:vAlign w:val="center"/>
            <w:hideMark/>
          </w:tcPr>
          <w:p w14:paraId="53C9D3B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0CC5C4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AFD54E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4959C4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2A2F5F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0C2CA5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Occupational Health and Safety Act 2004</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3BD93BA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7D1690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7B70DB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EECFEB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A98A96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DA8BACC"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Owners Corporations Act 2006</w:t>
            </w:r>
            <w:r w:rsidRPr="00001083">
              <w:rPr>
                <w:rFonts w:ascii="Arial" w:hAnsi="Arial" w:cs="Arial"/>
                <w:color w:val="000000"/>
                <w:sz w:val="18"/>
                <w:szCs w:val="18"/>
                <w:lang w:eastAsia="ko-KR"/>
              </w:rPr>
              <w:t>, section 191</w:t>
            </w:r>
          </w:p>
        </w:tc>
        <w:tc>
          <w:tcPr>
            <w:tcW w:w="443" w:type="pct"/>
            <w:tcBorders>
              <w:top w:val="nil"/>
              <w:left w:val="nil"/>
              <w:bottom w:val="nil"/>
              <w:right w:val="single" w:sz="4" w:space="0" w:color="auto"/>
            </w:tcBorders>
            <w:vAlign w:val="center"/>
            <w:hideMark/>
          </w:tcPr>
          <w:p w14:paraId="7D131C2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12B90F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F65C96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EF0625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4F47B1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222D53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Parliamentary Salaries and Superannuation Act 1968</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3D5A206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599FAA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F313CA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AC8680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6F908E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AD87930"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Pharmacy Regulation Act 2010</w:t>
            </w:r>
            <w:r w:rsidRPr="00001083">
              <w:rPr>
                <w:rFonts w:ascii="Arial" w:hAnsi="Arial" w:cs="Arial"/>
                <w:color w:val="000000"/>
                <w:sz w:val="18"/>
                <w:szCs w:val="18"/>
                <w:lang w:eastAsia="ko-KR"/>
              </w:rPr>
              <w:t>,</w:t>
            </w:r>
            <w:r w:rsidRPr="00001083">
              <w:rPr>
                <w:rFonts w:ascii="Arial" w:hAnsi="Arial" w:cs="Arial"/>
                <w:b/>
                <w:bCs/>
                <w:color w:val="000000"/>
                <w:sz w:val="18"/>
                <w:szCs w:val="18"/>
                <w:lang w:eastAsia="ko-KR"/>
              </w:rPr>
              <w:t xml:space="preserve"> </w:t>
            </w:r>
            <w:r w:rsidRPr="00001083">
              <w:rPr>
                <w:rFonts w:ascii="Arial" w:hAnsi="Arial" w:cs="Arial"/>
                <w:color w:val="000000"/>
                <w:sz w:val="18"/>
                <w:szCs w:val="18"/>
                <w:lang w:eastAsia="ko-KR"/>
              </w:rPr>
              <w:t xml:space="preserve">section 62 </w:t>
            </w:r>
          </w:p>
        </w:tc>
        <w:tc>
          <w:tcPr>
            <w:tcW w:w="443" w:type="pct"/>
            <w:tcBorders>
              <w:top w:val="nil"/>
              <w:left w:val="nil"/>
              <w:bottom w:val="nil"/>
              <w:right w:val="single" w:sz="4" w:space="0" w:color="auto"/>
            </w:tcBorders>
            <w:vAlign w:val="center"/>
            <w:hideMark/>
          </w:tcPr>
          <w:p w14:paraId="3DAE016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778938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7C063F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D6CA5F9"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54BB83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4E64655"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Pipelines Act 2005</w:t>
            </w:r>
            <w:r w:rsidRPr="00001083">
              <w:rPr>
                <w:rFonts w:ascii="Arial" w:hAnsi="Arial" w:cs="Arial"/>
                <w:color w:val="000000"/>
                <w:sz w:val="18"/>
                <w:szCs w:val="18"/>
                <w:lang w:eastAsia="ko-KR"/>
              </w:rPr>
              <w:t xml:space="preserve">, sections 64, 83 and 182 </w:t>
            </w:r>
          </w:p>
        </w:tc>
        <w:tc>
          <w:tcPr>
            <w:tcW w:w="443" w:type="pct"/>
            <w:tcBorders>
              <w:top w:val="nil"/>
              <w:left w:val="nil"/>
              <w:bottom w:val="nil"/>
              <w:right w:val="single" w:sz="4" w:space="0" w:color="auto"/>
            </w:tcBorders>
            <w:vAlign w:val="center"/>
            <w:hideMark/>
          </w:tcPr>
          <w:p w14:paraId="0125018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3B73E1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7D5500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A9E52F9"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C28123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84EC3F4"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Prevention of Cruelty to Animals Act 1986</w:t>
            </w:r>
            <w:r w:rsidRPr="00001083">
              <w:rPr>
                <w:rFonts w:ascii="Arial" w:hAnsi="Arial" w:cs="Arial"/>
                <w:color w:val="000000"/>
                <w:sz w:val="18"/>
                <w:szCs w:val="18"/>
                <w:lang w:eastAsia="ko-KR"/>
              </w:rPr>
              <w:t xml:space="preserve">, section 33 </w:t>
            </w:r>
          </w:p>
        </w:tc>
        <w:tc>
          <w:tcPr>
            <w:tcW w:w="443" w:type="pct"/>
            <w:tcBorders>
              <w:top w:val="nil"/>
              <w:left w:val="nil"/>
              <w:bottom w:val="nil"/>
              <w:right w:val="single" w:sz="4" w:space="0" w:color="auto"/>
            </w:tcBorders>
            <w:vAlign w:val="center"/>
            <w:hideMark/>
          </w:tcPr>
          <w:p w14:paraId="00C065E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011DE9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894AC2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78E1CA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6E21AD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B2B56E2"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Private Security Act 2004</w:t>
            </w:r>
            <w:r w:rsidRPr="00001083">
              <w:rPr>
                <w:rFonts w:ascii="Arial" w:hAnsi="Arial" w:cs="Arial"/>
                <w:color w:val="000000"/>
                <w:sz w:val="18"/>
                <w:szCs w:val="18"/>
                <w:lang w:eastAsia="ko-KR"/>
              </w:rPr>
              <w:t>, Part 7</w:t>
            </w:r>
          </w:p>
        </w:tc>
        <w:tc>
          <w:tcPr>
            <w:tcW w:w="443" w:type="pct"/>
            <w:tcBorders>
              <w:top w:val="nil"/>
              <w:left w:val="nil"/>
              <w:bottom w:val="nil"/>
              <w:right w:val="single" w:sz="4" w:space="0" w:color="auto"/>
            </w:tcBorders>
            <w:vAlign w:val="center"/>
            <w:hideMark/>
          </w:tcPr>
          <w:p w14:paraId="58B0F43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795D33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9D4109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83574A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1EDB5F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76A9E45"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Professional Boxing and Combat Sports Act 1985</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6046994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F740FD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28F8D8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7A1532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5C7C5EA"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C0066CA"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Professional Engineers Registration Act 2019</w:t>
            </w:r>
          </w:p>
        </w:tc>
        <w:tc>
          <w:tcPr>
            <w:tcW w:w="443" w:type="pct"/>
            <w:tcBorders>
              <w:top w:val="nil"/>
              <w:left w:val="nil"/>
              <w:bottom w:val="nil"/>
              <w:right w:val="single" w:sz="4" w:space="0" w:color="auto"/>
            </w:tcBorders>
            <w:vAlign w:val="center"/>
            <w:hideMark/>
          </w:tcPr>
          <w:p w14:paraId="167449D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641C3F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40825D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EE05F1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300883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675850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Property Law Act 1958</w:t>
            </w:r>
            <w:r w:rsidRPr="00001083">
              <w:rPr>
                <w:rFonts w:ascii="Arial" w:hAnsi="Arial" w:cs="Arial"/>
                <w:color w:val="000000"/>
                <w:sz w:val="18"/>
                <w:szCs w:val="18"/>
                <w:lang w:eastAsia="ko-KR"/>
              </w:rPr>
              <w:t>, Part IV</w:t>
            </w:r>
          </w:p>
        </w:tc>
        <w:tc>
          <w:tcPr>
            <w:tcW w:w="443" w:type="pct"/>
            <w:tcBorders>
              <w:top w:val="nil"/>
              <w:left w:val="nil"/>
              <w:bottom w:val="nil"/>
              <w:right w:val="single" w:sz="4" w:space="0" w:color="auto"/>
            </w:tcBorders>
            <w:vAlign w:val="center"/>
            <w:hideMark/>
          </w:tcPr>
          <w:p w14:paraId="557D7DD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A5082B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DB3340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385FED2"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0ADC28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50DDEC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Public Health and Wellbeing Act 2008</w:t>
            </w:r>
            <w:r w:rsidRPr="00001083">
              <w:rPr>
                <w:rFonts w:ascii="Arial" w:hAnsi="Arial" w:cs="Arial"/>
                <w:color w:val="000000"/>
                <w:sz w:val="18"/>
                <w:szCs w:val="18"/>
                <w:lang w:eastAsia="ko-KR"/>
              </w:rPr>
              <w:t>, section 207</w:t>
            </w:r>
          </w:p>
        </w:tc>
        <w:tc>
          <w:tcPr>
            <w:tcW w:w="443" w:type="pct"/>
            <w:tcBorders>
              <w:top w:val="nil"/>
              <w:left w:val="nil"/>
              <w:bottom w:val="nil"/>
              <w:right w:val="single" w:sz="4" w:space="0" w:color="auto"/>
            </w:tcBorders>
            <w:vAlign w:val="center"/>
            <w:hideMark/>
          </w:tcPr>
          <w:p w14:paraId="1028A22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1E1A9E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93FE6C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126C72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68D9F8C"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22E8ED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Racing Act 1958</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7F2B4EF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B81005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EF6123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C6B127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7B36CA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95C06B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Rail Safety (Local Operations) Act 2006</w:t>
            </w:r>
            <w:r w:rsidRPr="00001083">
              <w:rPr>
                <w:rFonts w:ascii="Arial" w:hAnsi="Arial" w:cs="Arial"/>
                <w:color w:val="000000"/>
                <w:sz w:val="18"/>
                <w:szCs w:val="18"/>
                <w:lang w:eastAsia="ko-KR"/>
              </w:rPr>
              <w:t>, Part 7</w:t>
            </w:r>
          </w:p>
        </w:tc>
        <w:tc>
          <w:tcPr>
            <w:tcW w:w="443" w:type="pct"/>
            <w:tcBorders>
              <w:top w:val="nil"/>
              <w:left w:val="nil"/>
              <w:bottom w:val="nil"/>
              <w:right w:val="single" w:sz="4" w:space="0" w:color="auto"/>
            </w:tcBorders>
            <w:vAlign w:val="center"/>
            <w:hideMark/>
          </w:tcPr>
          <w:p w14:paraId="0A79FE8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5268AC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2A62F2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E4C355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2AFC39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BEF03F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Rail Safety National Law (Victoria)</w:t>
            </w:r>
          </w:p>
        </w:tc>
        <w:tc>
          <w:tcPr>
            <w:tcW w:w="443" w:type="pct"/>
            <w:tcBorders>
              <w:top w:val="nil"/>
              <w:left w:val="nil"/>
              <w:bottom w:val="nil"/>
              <w:right w:val="single" w:sz="4" w:space="0" w:color="auto"/>
            </w:tcBorders>
            <w:vAlign w:val="center"/>
            <w:hideMark/>
          </w:tcPr>
          <w:p w14:paraId="2B79117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E9F2B0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B4201C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108377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CA848D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EFE4275"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Relationships Act 2008</w:t>
            </w:r>
            <w:r w:rsidRPr="00001083">
              <w:rPr>
                <w:rFonts w:ascii="Arial" w:hAnsi="Arial" w:cs="Arial"/>
                <w:color w:val="000000"/>
                <w:sz w:val="18"/>
                <w:szCs w:val="18"/>
                <w:lang w:eastAsia="ko-KR"/>
              </w:rPr>
              <w:t>, Part 2.4 of Chapter 2</w:t>
            </w:r>
          </w:p>
        </w:tc>
        <w:tc>
          <w:tcPr>
            <w:tcW w:w="443" w:type="pct"/>
            <w:tcBorders>
              <w:top w:val="nil"/>
              <w:left w:val="nil"/>
              <w:bottom w:val="nil"/>
              <w:right w:val="single" w:sz="4" w:space="0" w:color="auto"/>
            </w:tcBorders>
            <w:vAlign w:val="center"/>
            <w:hideMark/>
          </w:tcPr>
          <w:p w14:paraId="3B4855C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10E790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3459F9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863A81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345121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BD329B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Road Management Act 2004</w:t>
            </w:r>
          </w:p>
        </w:tc>
        <w:tc>
          <w:tcPr>
            <w:tcW w:w="443" w:type="pct"/>
            <w:tcBorders>
              <w:top w:val="nil"/>
              <w:left w:val="nil"/>
              <w:bottom w:val="nil"/>
              <w:right w:val="single" w:sz="4" w:space="0" w:color="auto"/>
            </w:tcBorders>
            <w:vAlign w:val="center"/>
            <w:hideMark/>
          </w:tcPr>
          <w:p w14:paraId="0EF3F78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06C73D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BA447D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A198F69"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23456AA"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CEDAF91"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Road Management (General) Regulations 2016</w:t>
            </w:r>
          </w:p>
        </w:tc>
        <w:tc>
          <w:tcPr>
            <w:tcW w:w="443" w:type="pct"/>
            <w:tcBorders>
              <w:top w:val="nil"/>
              <w:left w:val="nil"/>
              <w:bottom w:val="nil"/>
              <w:right w:val="single" w:sz="4" w:space="0" w:color="auto"/>
            </w:tcBorders>
            <w:vAlign w:val="center"/>
            <w:hideMark/>
          </w:tcPr>
          <w:p w14:paraId="2575389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D09272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32F569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41962C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19F7D9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EA227E0"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Road Safety Act 1986</w:t>
            </w:r>
          </w:p>
        </w:tc>
        <w:tc>
          <w:tcPr>
            <w:tcW w:w="443" w:type="pct"/>
            <w:tcBorders>
              <w:top w:val="nil"/>
              <w:left w:val="nil"/>
              <w:bottom w:val="nil"/>
              <w:right w:val="single" w:sz="4" w:space="0" w:color="auto"/>
            </w:tcBorders>
            <w:vAlign w:val="center"/>
            <w:hideMark/>
          </w:tcPr>
          <w:p w14:paraId="5DE0BF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225262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634D69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3AE58B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CF04DA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9DFF130"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Road Safety (Vehicles) Regulations 2009, regulations 128 and 215</w:t>
            </w:r>
          </w:p>
        </w:tc>
        <w:tc>
          <w:tcPr>
            <w:tcW w:w="443" w:type="pct"/>
            <w:tcBorders>
              <w:top w:val="nil"/>
              <w:left w:val="nil"/>
              <w:bottom w:val="nil"/>
              <w:right w:val="single" w:sz="4" w:space="0" w:color="auto"/>
            </w:tcBorders>
            <w:vAlign w:val="center"/>
            <w:hideMark/>
          </w:tcPr>
          <w:p w14:paraId="0F34791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B16E34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819751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A6C51B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28E180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03CC38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Seafood Safety Act 2003</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1626A72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3E66B9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9BA481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B83BA13"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8882F5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B8C6C6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Second-Hand Dealers and Pawnbrokers Act 1989</w:t>
            </w:r>
            <w:r w:rsidRPr="00001083">
              <w:rPr>
                <w:rFonts w:ascii="Arial" w:hAnsi="Arial" w:cs="Arial"/>
                <w:color w:val="000000"/>
                <w:sz w:val="18"/>
                <w:szCs w:val="18"/>
                <w:lang w:eastAsia="ko-KR"/>
              </w:rPr>
              <w:t>, sections 9B, 14 and 18A</w:t>
            </w:r>
          </w:p>
        </w:tc>
        <w:tc>
          <w:tcPr>
            <w:tcW w:w="443" w:type="pct"/>
            <w:tcBorders>
              <w:top w:val="nil"/>
              <w:left w:val="nil"/>
              <w:bottom w:val="nil"/>
              <w:right w:val="single" w:sz="4" w:space="0" w:color="auto"/>
            </w:tcBorders>
            <w:vAlign w:val="center"/>
            <w:hideMark/>
          </w:tcPr>
          <w:p w14:paraId="4528734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BDC4BC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D54065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99C284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7866AE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ABF1CD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Sentencing Act 1991</w:t>
            </w:r>
            <w:r w:rsidRPr="00001083">
              <w:rPr>
                <w:rFonts w:ascii="Arial" w:hAnsi="Arial" w:cs="Arial"/>
                <w:color w:val="000000"/>
                <w:sz w:val="18"/>
                <w:szCs w:val="18"/>
                <w:lang w:eastAsia="ko-KR"/>
              </w:rPr>
              <w:t>, section 105L</w:t>
            </w:r>
          </w:p>
        </w:tc>
        <w:tc>
          <w:tcPr>
            <w:tcW w:w="443" w:type="pct"/>
            <w:tcBorders>
              <w:top w:val="nil"/>
              <w:left w:val="nil"/>
              <w:bottom w:val="nil"/>
              <w:right w:val="single" w:sz="4" w:space="0" w:color="auto"/>
            </w:tcBorders>
            <w:vAlign w:val="center"/>
            <w:hideMark/>
          </w:tcPr>
          <w:p w14:paraId="50C3566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0D67A8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F2716A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5BD2E3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6C22D7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25824B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Service Victoria Act 2018</w:t>
            </w:r>
          </w:p>
        </w:tc>
        <w:tc>
          <w:tcPr>
            <w:tcW w:w="443" w:type="pct"/>
            <w:tcBorders>
              <w:top w:val="nil"/>
              <w:left w:val="nil"/>
              <w:bottom w:val="nil"/>
              <w:right w:val="single" w:sz="4" w:space="0" w:color="auto"/>
            </w:tcBorders>
            <w:vAlign w:val="center"/>
            <w:hideMark/>
          </w:tcPr>
          <w:p w14:paraId="6A85A0E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37A93A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07EA64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2AC868D"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5A2873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72AFCCA"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Sex Work Act 1994</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17308BC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C6E31B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A75578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9234FD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FB2B04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5209012"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Small Business Commission Act 2017</w:t>
            </w:r>
            <w:r w:rsidRPr="00001083">
              <w:rPr>
                <w:rFonts w:ascii="Arial" w:hAnsi="Arial" w:cs="Arial"/>
                <w:color w:val="000000"/>
                <w:sz w:val="18"/>
                <w:szCs w:val="18"/>
                <w:lang w:eastAsia="ko-KR"/>
              </w:rPr>
              <w:t>,</w:t>
            </w:r>
            <w:r w:rsidRPr="00001083">
              <w:rPr>
                <w:rFonts w:ascii="Arial" w:hAnsi="Arial" w:cs="Arial"/>
                <w:b/>
                <w:bCs/>
                <w:color w:val="000000"/>
                <w:sz w:val="18"/>
                <w:szCs w:val="18"/>
                <w:lang w:eastAsia="ko-KR"/>
              </w:rPr>
              <w:t xml:space="preserve"> </w:t>
            </w:r>
            <w:r w:rsidRPr="00001083">
              <w:rPr>
                <w:rFonts w:ascii="Arial" w:hAnsi="Arial" w:cs="Arial"/>
                <w:color w:val="000000"/>
                <w:sz w:val="18"/>
                <w:szCs w:val="18"/>
                <w:lang w:eastAsia="ko-KR"/>
              </w:rPr>
              <w:t>section 13</w:t>
            </w:r>
          </w:p>
        </w:tc>
        <w:tc>
          <w:tcPr>
            <w:tcW w:w="443" w:type="pct"/>
            <w:tcBorders>
              <w:top w:val="nil"/>
              <w:left w:val="nil"/>
              <w:bottom w:val="nil"/>
              <w:right w:val="single" w:sz="4" w:space="0" w:color="auto"/>
            </w:tcBorders>
            <w:vAlign w:val="center"/>
            <w:hideMark/>
          </w:tcPr>
          <w:p w14:paraId="6D43CFF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D8D1C6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986883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C84B0D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ABA99A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3A4D45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State Employees Retirement Benefits Act 1979</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7572C41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ED90F2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826332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A56BDF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981DE8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642F5ED"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State Superannuation Act 1988</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11E15BD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D8E142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EA851C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3A4705F"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CC2E28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B78620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Superannuation (Portability) Act 1989</w:t>
            </w:r>
          </w:p>
        </w:tc>
        <w:tc>
          <w:tcPr>
            <w:tcW w:w="443" w:type="pct"/>
            <w:tcBorders>
              <w:top w:val="nil"/>
              <w:left w:val="nil"/>
              <w:bottom w:val="nil"/>
              <w:right w:val="single" w:sz="4" w:space="0" w:color="auto"/>
            </w:tcBorders>
            <w:vAlign w:val="center"/>
            <w:hideMark/>
          </w:tcPr>
          <w:p w14:paraId="6455875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036553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F712B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D54298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677CA1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C90F5E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Supported Residential Services (Private Proprietors) Act 2010</w:t>
            </w:r>
            <w:r w:rsidRPr="00001083">
              <w:rPr>
                <w:rFonts w:ascii="Arial" w:hAnsi="Arial" w:cs="Arial"/>
                <w:color w:val="000000"/>
                <w:sz w:val="18"/>
                <w:szCs w:val="18"/>
                <w:lang w:eastAsia="ko-KR"/>
              </w:rPr>
              <w:t>, section 206</w:t>
            </w:r>
          </w:p>
        </w:tc>
        <w:tc>
          <w:tcPr>
            <w:tcW w:w="443" w:type="pct"/>
            <w:tcBorders>
              <w:top w:val="nil"/>
              <w:left w:val="nil"/>
              <w:bottom w:val="nil"/>
              <w:right w:val="single" w:sz="4" w:space="0" w:color="auto"/>
            </w:tcBorders>
            <w:vAlign w:val="center"/>
            <w:hideMark/>
          </w:tcPr>
          <w:p w14:paraId="60366A1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290159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C98648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854D40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0CA5EF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EA9D650"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Surveying Act 2004</w:t>
            </w:r>
            <w:r w:rsidRPr="00001083">
              <w:rPr>
                <w:rFonts w:ascii="Arial" w:hAnsi="Arial" w:cs="Arial"/>
                <w:color w:val="000000"/>
                <w:sz w:val="18"/>
                <w:szCs w:val="18"/>
                <w:lang w:eastAsia="ko-KR"/>
              </w:rPr>
              <w:t>, section 33</w:t>
            </w:r>
          </w:p>
        </w:tc>
        <w:tc>
          <w:tcPr>
            <w:tcW w:w="443" w:type="pct"/>
            <w:tcBorders>
              <w:top w:val="nil"/>
              <w:left w:val="nil"/>
              <w:bottom w:val="nil"/>
              <w:right w:val="single" w:sz="4" w:space="0" w:color="auto"/>
            </w:tcBorders>
            <w:vAlign w:val="center"/>
            <w:hideMark/>
          </w:tcPr>
          <w:p w14:paraId="348F97D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3C04E8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39222F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14C5803"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9569FA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B38A436" w14:textId="19FF1AB4"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taxing Act</w:t>
            </w:r>
          </w:p>
        </w:tc>
        <w:tc>
          <w:tcPr>
            <w:tcW w:w="443" w:type="pct"/>
            <w:tcBorders>
              <w:top w:val="nil"/>
              <w:left w:val="nil"/>
              <w:bottom w:val="nil"/>
              <w:right w:val="single" w:sz="4" w:space="0" w:color="auto"/>
            </w:tcBorders>
            <w:vAlign w:val="center"/>
            <w:hideMark/>
          </w:tcPr>
          <w:p w14:paraId="270088D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A8E055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57053D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393BBF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8D931D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F59311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Therapeutic Goods (Victoria) Act 2010</w:t>
            </w:r>
            <w:r w:rsidRPr="00001083">
              <w:rPr>
                <w:rFonts w:ascii="Arial" w:hAnsi="Arial" w:cs="Arial"/>
                <w:color w:val="000000"/>
                <w:sz w:val="18"/>
                <w:szCs w:val="18"/>
                <w:lang w:eastAsia="ko-KR"/>
              </w:rPr>
              <w:t>, section 30</w:t>
            </w:r>
          </w:p>
        </w:tc>
        <w:tc>
          <w:tcPr>
            <w:tcW w:w="443" w:type="pct"/>
            <w:tcBorders>
              <w:top w:val="nil"/>
              <w:left w:val="nil"/>
              <w:bottom w:val="nil"/>
              <w:right w:val="single" w:sz="4" w:space="0" w:color="auto"/>
            </w:tcBorders>
            <w:vAlign w:val="center"/>
            <w:hideMark/>
          </w:tcPr>
          <w:p w14:paraId="1BBDE7A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F6BA0B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F008F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10BF733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59F5C8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DACB64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Transport Accident Act 1986</w:t>
            </w:r>
          </w:p>
        </w:tc>
        <w:tc>
          <w:tcPr>
            <w:tcW w:w="443" w:type="pct"/>
            <w:tcBorders>
              <w:top w:val="nil"/>
              <w:left w:val="nil"/>
              <w:bottom w:val="nil"/>
              <w:right w:val="single" w:sz="4" w:space="0" w:color="auto"/>
            </w:tcBorders>
            <w:vAlign w:val="center"/>
            <w:hideMark/>
          </w:tcPr>
          <w:p w14:paraId="15D98D7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615201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37DEB7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0B1588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BB42BA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9FA4B6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Transport (Compliance and Miscellaneous) Act 1983</w:t>
            </w:r>
          </w:p>
        </w:tc>
        <w:tc>
          <w:tcPr>
            <w:tcW w:w="443" w:type="pct"/>
            <w:tcBorders>
              <w:top w:val="nil"/>
              <w:left w:val="nil"/>
              <w:bottom w:val="nil"/>
              <w:right w:val="single" w:sz="4" w:space="0" w:color="auto"/>
            </w:tcBorders>
            <w:vAlign w:val="center"/>
            <w:hideMark/>
          </w:tcPr>
          <w:p w14:paraId="422B83B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A67C58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A12075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C89A41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E9DC91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637A0D0"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Transport Superannuation Act 1988</w:t>
            </w:r>
          </w:p>
        </w:tc>
        <w:tc>
          <w:tcPr>
            <w:tcW w:w="443" w:type="pct"/>
            <w:tcBorders>
              <w:top w:val="nil"/>
              <w:left w:val="nil"/>
              <w:bottom w:val="nil"/>
              <w:right w:val="single" w:sz="4" w:space="0" w:color="auto"/>
            </w:tcBorders>
            <w:vAlign w:val="center"/>
            <w:hideMark/>
          </w:tcPr>
          <w:p w14:paraId="0F212D5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6D5646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378CE2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0326A5D"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76975E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3DCED7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Veterinary Practice Act 1997</w:t>
            </w:r>
            <w:r w:rsidRPr="00001083">
              <w:rPr>
                <w:rFonts w:ascii="Arial" w:hAnsi="Arial" w:cs="Arial"/>
                <w:color w:val="000000"/>
                <w:sz w:val="18"/>
                <w:szCs w:val="18"/>
                <w:lang w:eastAsia="ko-KR"/>
              </w:rPr>
              <w:t>, section 55</w:t>
            </w:r>
          </w:p>
        </w:tc>
        <w:tc>
          <w:tcPr>
            <w:tcW w:w="443" w:type="pct"/>
            <w:tcBorders>
              <w:top w:val="nil"/>
              <w:left w:val="nil"/>
              <w:bottom w:val="nil"/>
              <w:right w:val="single" w:sz="4" w:space="0" w:color="auto"/>
            </w:tcBorders>
            <w:vAlign w:val="center"/>
            <w:hideMark/>
          </w:tcPr>
          <w:p w14:paraId="0D8DEFA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930A1B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9B858C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44BF87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92741B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2119BDF"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Vexatious Proceedings Act 2014</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489573E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88D5AF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1E75F9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B0CCA9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188567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66A97A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Victims of Crime Assistance Act 1996</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0249D6B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5BFD30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B104AA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066B7A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4C538E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D25EB2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Victoria State Emergency Service Act 2005</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52BA6E0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51C44A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883B94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F08A4A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F9F33C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991BA59"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 xml:space="preserve">Victoria State Emergency Service Regulations 2006 </w:t>
            </w:r>
          </w:p>
        </w:tc>
        <w:tc>
          <w:tcPr>
            <w:tcW w:w="443" w:type="pct"/>
            <w:tcBorders>
              <w:top w:val="nil"/>
              <w:left w:val="nil"/>
              <w:bottom w:val="nil"/>
              <w:right w:val="single" w:sz="4" w:space="0" w:color="auto"/>
            </w:tcBorders>
            <w:vAlign w:val="center"/>
            <w:hideMark/>
          </w:tcPr>
          <w:p w14:paraId="76A6C19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65CE4B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4BE2E7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550A91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9A1815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3EAFAF0"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Victorian Plantations Corporation Act 1993</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68A97BF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906789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84D375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CF90A6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273E92A"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3C4DC3C"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Wildlife Act 1975</w:t>
            </w:r>
          </w:p>
        </w:tc>
        <w:tc>
          <w:tcPr>
            <w:tcW w:w="443" w:type="pct"/>
            <w:tcBorders>
              <w:top w:val="nil"/>
              <w:left w:val="nil"/>
              <w:bottom w:val="nil"/>
              <w:right w:val="single" w:sz="4" w:space="0" w:color="auto"/>
            </w:tcBorders>
            <w:vAlign w:val="center"/>
            <w:hideMark/>
          </w:tcPr>
          <w:p w14:paraId="0241937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8C2C90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3A7872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C2DB92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91121C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14AB68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Worker Screening Act 2020</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2A481E1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BB7778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8706DB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255AE71B"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1124905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2C13F0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Workplace Injury Rehabilitation and Compensation Act 2013</w:t>
            </w:r>
            <w:r w:rsidRPr="00001083">
              <w:rPr>
                <w:rFonts w:ascii="Arial" w:hAnsi="Arial" w:cs="Arial"/>
                <w:color w:val="000000"/>
                <w:sz w:val="18"/>
                <w:szCs w:val="18"/>
                <w:lang w:eastAsia="ko-KR"/>
              </w:rPr>
              <w:t xml:space="preserve"> </w:t>
            </w:r>
          </w:p>
        </w:tc>
        <w:tc>
          <w:tcPr>
            <w:tcW w:w="443" w:type="pct"/>
            <w:tcBorders>
              <w:top w:val="nil"/>
              <w:left w:val="nil"/>
              <w:bottom w:val="single" w:sz="4" w:space="0" w:color="auto"/>
              <w:right w:val="single" w:sz="4" w:space="0" w:color="auto"/>
            </w:tcBorders>
            <w:vAlign w:val="center"/>
            <w:hideMark/>
          </w:tcPr>
          <w:p w14:paraId="0A9BD3F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71ED40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4B9576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59310B" w:rsidRPr="00001083" w14:paraId="1E877890" w14:textId="77777777" w:rsidTr="0070715F">
        <w:trPr>
          <w:trHeight w:val="290"/>
        </w:trPr>
        <w:tc>
          <w:tcPr>
            <w:tcW w:w="284" w:type="pct"/>
            <w:vMerge w:val="restart"/>
            <w:tcBorders>
              <w:top w:val="nil"/>
              <w:left w:val="single" w:sz="4" w:space="0" w:color="auto"/>
              <w:bottom w:val="single" w:sz="4" w:space="0" w:color="auto"/>
              <w:right w:val="nil"/>
            </w:tcBorders>
            <w:hideMark/>
          </w:tcPr>
          <w:p w14:paraId="2B60C4B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w:t>
            </w:r>
          </w:p>
        </w:tc>
        <w:tc>
          <w:tcPr>
            <w:tcW w:w="3385" w:type="pct"/>
            <w:gridSpan w:val="2"/>
            <w:tcBorders>
              <w:top w:val="single" w:sz="4" w:space="0" w:color="auto"/>
              <w:left w:val="single" w:sz="4" w:space="0" w:color="auto"/>
              <w:bottom w:val="nil"/>
              <w:right w:val="single" w:sz="4" w:space="0" w:color="auto"/>
            </w:tcBorders>
            <w:vAlign w:val="center"/>
            <w:hideMark/>
          </w:tcPr>
          <w:p w14:paraId="3A68368A"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commencement of a proceeding under the following enabling enactments—</w:t>
            </w:r>
          </w:p>
        </w:tc>
        <w:tc>
          <w:tcPr>
            <w:tcW w:w="443" w:type="pct"/>
            <w:tcBorders>
              <w:top w:val="nil"/>
              <w:left w:val="nil"/>
              <w:right w:val="single" w:sz="4" w:space="0" w:color="auto"/>
            </w:tcBorders>
            <w:vAlign w:val="center"/>
            <w:hideMark/>
          </w:tcPr>
          <w:p w14:paraId="4B01289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$1,412.0</w:t>
            </w:r>
          </w:p>
        </w:tc>
        <w:tc>
          <w:tcPr>
            <w:tcW w:w="443" w:type="pct"/>
            <w:gridSpan w:val="2"/>
            <w:tcBorders>
              <w:top w:val="single" w:sz="4" w:space="0" w:color="auto"/>
              <w:left w:val="nil"/>
              <w:bottom w:val="nil"/>
              <w:right w:val="single" w:sz="4" w:space="0" w:color="auto"/>
            </w:tcBorders>
            <w:noWrap/>
            <w:vAlign w:val="center"/>
            <w:hideMark/>
          </w:tcPr>
          <w:p w14:paraId="067F2E9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$988.4</w:t>
            </w:r>
          </w:p>
        </w:tc>
        <w:tc>
          <w:tcPr>
            <w:tcW w:w="443" w:type="pct"/>
            <w:tcBorders>
              <w:top w:val="single" w:sz="4" w:space="0" w:color="auto"/>
              <w:left w:val="nil"/>
              <w:bottom w:val="nil"/>
              <w:right w:val="single" w:sz="4" w:space="0" w:color="auto"/>
            </w:tcBorders>
            <w:noWrap/>
            <w:vAlign w:val="center"/>
            <w:hideMark/>
          </w:tcPr>
          <w:p w14:paraId="582BAC8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70B9AC0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E28EFE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3881E4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Aboriginal Heritage Act 2006</w:t>
            </w:r>
          </w:p>
        </w:tc>
        <w:tc>
          <w:tcPr>
            <w:tcW w:w="443" w:type="pct"/>
            <w:tcBorders>
              <w:top w:val="nil"/>
              <w:left w:val="nil"/>
              <w:bottom w:val="nil"/>
              <w:right w:val="single" w:sz="4" w:space="0" w:color="auto"/>
            </w:tcBorders>
            <w:vAlign w:val="center"/>
            <w:hideMark/>
          </w:tcPr>
          <w:p w14:paraId="67FD52F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C64C62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11228F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DF6C3C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E0A23E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610ED6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Catchment and Land Protection Act 1994</w:t>
            </w:r>
            <w:r w:rsidRPr="00001083">
              <w:rPr>
                <w:rFonts w:ascii="Arial" w:hAnsi="Arial" w:cs="Arial"/>
                <w:color w:val="000000"/>
                <w:sz w:val="18"/>
                <w:szCs w:val="18"/>
                <w:lang w:eastAsia="ko-KR"/>
              </w:rPr>
              <w:t>, section 48</w:t>
            </w:r>
          </w:p>
        </w:tc>
        <w:tc>
          <w:tcPr>
            <w:tcW w:w="443" w:type="pct"/>
            <w:tcBorders>
              <w:top w:val="nil"/>
              <w:left w:val="nil"/>
              <w:bottom w:val="nil"/>
              <w:right w:val="single" w:sz="4" w:space="0" w:color="auto"/>
            </w:tcBorders>
            <w:vAlign w:val="center"/>
            <w:hideMark/>
          </w:tcPr>
          <w:p w14:paraId="526F512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388C70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148B9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B3DD57D"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EC2989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A64CD9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Climate Change Act 2010</w:t>
            </w:r>
          </w:p>
        </w:tc>
        <w:tc>
          <w:tcPr>
            <w:tcW w:w="443" w:type="pct"/>
            <w:tcBorders>
              <w:top w:val="nil"/>
              <w:left w:val="nil"/>
              <w:bottom w:val="nil"/>
              <w:right w:val="single" w:sz="4" w:space="0" w:color="auto"/>
            </w:tcBorders>
            <w:vAlign w:val="center"/>
            <w:hideMark/>
          </w:tcPr>
          <w:p w14:paraId="383019E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85EC36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67A41D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6415D0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E33EF34"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96C9315"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Conservation, Forests and Lands Act 1987</w:t>
            </w:r>
            <w:r w:rsidRPr="00001083">
              <w:rPr>
                <w:rFonts w:ascii="Arial" w:hAnsi="Arial" w:cs="Arial"/>
                <w:color w:val="000000"/>
                <w:sz w:val="18"/>
                <w:szCs w:val="18"/>
                <w:lang w:eastAsia="ko-KR"/>
              </w:rPr>
              <w:t>, section 76</w:t>
            </w:r>
          </w:p>
        </w:tc>
        <w:tc>
          <w:tcPr>
            <w:tcW w:w="443" w:type="pct"/>
            <w:tcBorders>
              <w:top w:val="nil"/>
              <w:left w:val="nil"/>
              <w:bottom w:val="nil"/>
              <w:right w:val="single" w:sz="4" w:space="0" w:color="auto"/>
            </w:tcBorders>
            <w:vAlign w:val="center"/>
            <w:hideMark/>
          </w:tcPr>
          <w:p w14:paraId="4553436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64D97C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9C5044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E9D6F2F"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49B85F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D6FA1E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Education and Training Reform Act 2006</w:t>
            </w:r>
            <w:r w:rsidRPr="00001083">
              <w:rPr>
                <w:rFonts w:ascii="Arial" w:hAnsi="Arial" w:cs="Arial"/>
                <w:color w:val="000000"/>
                <w:sz w:val="18"/>
                <w:szCs w:val="18"/>
                <w:lang w:eastAsia="ko-KR"/>
              </w:rPr>
              <w:t>, except Division 14 of Part 2.6 and Part 4.8</w:t>
            </w:r>
          </w:p>
        </w:tc>
        <w:tc>
          <w:tcPr>
            <w:tcW w:w="443" w:type="pct"/>
            <w:tcBorders>
              <w:top w:val="nil"/>
              <w:left w:val="nil"/>
              <w:bottom w:val="nil"/>
              <w:right w:val="single" w:sz="4" w:space="0" w:color="auto"/>
            </w:tcBorders>
            <w:vAlign w:val="center"/>
            <w:hideMark/>
          </w:tcPr>
          <w:p w14:paraId="0EA241D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1C43CF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064304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1B9E36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8BF48E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D5D607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Flora and Fauna Guarantee Act 1988</w:t>
            </w:r>
          </w:p>
        </w:tc>
        <w:tc>
          <w:tcPr>
            <w:tcW w:w="443" w:type="pct"/>
            <w:tcBorders>
              <w:top w:val="nil"/>
              <w:left w:val="nil"/>
              <w:bottom w:val="nil"/>
              <w:right w:val="single" w:sz="4" w:space="0" w:color="auto"/>
            </w:tcBorders>
            <w:vAlign w:val="center"/>
            <w:hideMark/>
          </w:tcPr>
          <w:p w14:paraId="624ADA9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CB0F4D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BAE1DC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FD593C3"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3563E3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E9D7C40"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Gambling Regulation Act 2003</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2AB48CE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B8E31E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91CC59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85CE41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F92927A"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50A4F39"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Health Services Act 1988</w:t>
            </w:r>
            <w:r w:rsidRPr="00001083">
              <w:rPr>
                <w:rFonts w:ascii="Arial" w:hAnsi="Arial" w:cs="Arial"/>
                <w:color w:val="000000"/>
                <w:sz w:val="18"/>
                <w:szCs w:val="18"/>
                <w:lang w:eastAsia="ko-KR"/>
              </w:rPr>
              <w:t xml:space="preserve">, section 67 </w:t>
            </w:r>
          </w:p>
        </w:tc>
        <w:tc>
          <w:tcPr>
            <w:tcW w:w="443" w:type="pct"/>
            <w:tcBorders>
              <w:top w:val="nil"/>
              <w:left w:val="nil"/>
              <w:bottom w:val="nil"/>
              <w:right w:val="single" w:sz="4" w:space="0" w:color="auto"/>
            </w:tcBorders>
            <w:vAlign w:val="center"/>
            <w:hideMark/>
          </w:tcPr>
          <w:p w14:paraId="578E361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5BEF2C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974293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ACCD601"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EA61A8C"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555337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Heritage Act 1995</w:t>
            </w:r>
          </w:p>
        </w:tc>
        <w:tc>
          <w:tcPr>
            <w:tcW w:w="443" w:type="pct"/>
            <w:tcBorders>
              <w:top w:val="nil"/>
              <w:left w:val="nil"/>
              <w:bottom w:val="nil"/>
              <w:right w:val="single" w:sz="4" w:space="0" w:color="auto"/>
            </w:tcBorders>
            <w:vAlign w:val="center"/>
            <w:hideMark/>
          </w:tcPr>
          <w:p w14:paraId="20A353F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4D7E88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59FFF0F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1BB4291"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F3AB1C4"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9C27807"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Land Acquisition and Compensation Act 1986</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34839DD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84B910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607BBC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F57E833"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77F591E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2EA89CF"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Legal Profession Uniform Law Application Act 2014</w:t>
            </w:r>
            <w:r w:rsidRPr="00001083">
              <w:rPr>
                <w:rFonts w:ascii="Arial" w:hAnsi="Arial" w:cs="Arial"/>
                <w:color w:val="000000"/>
                <w:sz w:val="18"/>
                <w:szCs w:val="18"/>
                <w:lang w:eastAsia="ko-KR"/>
              </w:rPr>
              <w:t>, section 91</w:t>
            </w:r>
          </w:p>
        </w:tc>
        <w:tc>
          <w:tcPr>
            <w:tcW w:w="443" w:type="pct"/>
            <w:tcBorders>
              <w:top w:val="nil"/>
              <w:left w:val="nil"/>
              <w:bottom w:val="nil"/>
              <w:right w:val="single" w:sz="4" w:space="0" w:color="auto"/>
            </w:tcBorders>
            <w:vAlign w:val="center"/>
            <w:hideMark/>
          </w:tcPr>
          <w:p w14:paraId="1AB583A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0891D2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73109F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D3A502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A73D17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83742A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Legal Profession Uniform Law (Victoria)</w:t>
            </w:r>
          </w:p>
        </w:tc>
        <w:tc>
          <w:tcPr>
            <w:tcW w:w="443" w:type="pct"/>
            <w:tcBorders>
              <w:top w:val="nil"/>
              <w:left w:val="nil"/>
              <w:bottom w:val="nil"/>
              <w:right w:val="single" w:sz="4" w:space="0" w:color="auto"/>
            </w:tcBorders>
            <w:vAlign w:val="center"/>
            <w:hideMark/>
          </w:tcPr>
          <w:p w14:paraId="5B05EA7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D01E97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D65960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EFD9BE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122DE4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1B66DBC"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Local Government Act 1989</w:t>
            </w:r>
            <w:r w:rsidRPr="00001083">
              <w:rPr>
                <w:rFonts w:ascii="Arial" w:hAnsi="Arial" w:cs="Arial"/>
                <w:color w:val="000000"/>
                <w:sz w:val="18"/>
                <w:szCs w:val="18"/>
                <w:lang w:eastAsia="ko-KR"/>
              </w:rPr>
              <w:t>, sections 183, 185 and 185AA</w:t>
            </w:r>
          </w:p>
        </w:tc>
        <w:tc>
          <w:tcPr>
            <w:tcW w:w="443" w:type="pct"/>
            <w:tcBorders>
              <w:top w:val="nil"/>
              <w:left w:val="nil"/>
              <w:bottom w:val="nil"/>
              <w:right w:val="single" w:sz="4" w:space="0" w:color="auto"/>
            </w:tcBorders>
            <w:vAlign w:val="center"/>
            <w:hideMark/>
          </w:tcPr>
          <w:p w14:paraId="5E9CAF9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C0A36F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EEA564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BB994D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252647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DE47BD3"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Petroleum Act 1998</w:t>
            </w:r>
          </w:p>
        </w:tc>
        <w:tc>
          <w:tcPr>
            <w:tcW w:w="443" w:type="pct"/>
            <w:tcBorders>
              <w:top w:val="nil"/>
              <w:left w:val="nil"/>
              <w:bottom w:val="nil"/>
              <w:right w:val="single" w:sz="4" w:space="0" w:color="auto"/>
            </w:tcBorders>
            <w:vAlign w:val="center"/>
            <w:hideMark/>
          </w:tcPr>
          <w:p w14:paraId="016F24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FDDA35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4D0DCF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A12565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99082B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7F29C6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Pipelines Act 2005</w:t>
            </w:r>
            <w:r w:rsidRPr="00001083">
              <w:rPr>
                <w:rFonts w:ascii="Arial" w:hAnsi="Arial" w:cs="Arial"/>
                <w:color w:val="000000"/>
                <w:sz w:val="18"/>
                <w:szCs w:val="18"/>
                <w:lang w:eastAsia="ko-KR"/>
              </w:rPr>
              <w:t>, section 154</w:t>
            </w:r>
          </w:p>
        </w:tc>
        <w:tc>
          <w:tcPr>
            <w:tcW w:w="443" w:type="pct"/>
            <w:tcBorders>
              <w:top w:val="nil"/>
              <w:left w:val="nil"/>
              <w:bottom w:val="nil"/>
              <w:right w:val="single" w:sz="4" w:space="0" w:color="auto"/>
            </w:tcBorders>
            <w:vAlign w:val="center"/>
            <w:hideMark/>
          </w:tcPr>
          <w:p w14:paraId="0167D4C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75BC4C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699EC7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4B0524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C874D2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DA6B8B1"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Plant Biosecurity Act 2010</w:t>
            </w:r>
            <w:r w:rsidRPr="00001083">
              <w:rPr>
                <w:rFonts w:ascii="Arial" w:hAnsi="Arial" w:cs="Arial"/>
                <w:color w:val="000000"/>
                <w:sz w:val="18"/>
                <w:szCs w:val="18"/>
                <w:lang w:eastAsia="ko-KR"/>
              </w:rPr>
              <w:t>, section 59</w:t>
            </w:r>
          </w:p>
        </w:tc>
        <w:tc>
          <w:tcPr>
            <w:tcW w:w="443" w:type="pct"/>
            <w:tcBorders>
              <w:top w:val="nil"/>
              <w:left w:val="nil"/>
              <w:bottom w:val="nil"/>
              <w:right w:val="single" w:sz="4" w:space="0" w:color="auto"/>
            </w:tcBorders>
            <w:vAlign w:val="center"/>
            <w:hideMark/>
          </w:tcPr>
          <w:p w14:paraId="20081FB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72B578E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6EC5CC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D317B6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B513DA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6B794BA"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Major Transport Projects Facilitation Act 2009</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1BD1619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A9A86C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53213E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E256859"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E58D28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09134EB"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Mineral Resources (Sustainable Development) Act 1990</w:t>
            </w:r>
          </w:p>
        </w:tc>
        <w:tc>
          <w:tcPr>
            <w:tcW w:w="443" w:type="pct"/>
            <w:tcBorders>
              <w:top w:val="nil"/>
              <w:left w:val="nil"/>
              <w:bottom w:val="nil"/>
              <w:right w:val="single" w:sz="4" w:space="0" w:color="auto"/>
            </w:tcBorders>
            <w:vAlign w:val="center"/>
            <w:hideMark/>
          </w:tcPr>
          <w:p w14:paraId="0DA81E3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59B43B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080F43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67A875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C21090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A64448E"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Subdivision Act 1988</w:t>
            </w:r>
            <w:r w:rsidRPr="00001083">
              <w:rPr>
                <w:rFonts w:ascii="Arial" w:hAnsi="Arial" w:cs="Arial"/>
                <w:color w:val="000000"/>
                <w:sz w:val="18"/>
                <w:szCs w:val="18"/>
                <w:lang w:eastAsia="ko-KR"/>
              </w:rPr>
              <w:t>, except Part 5</w:t>
            </w:r>
          </w:p>
        </w:tc>
        <w:tc>
          <w:tcPr>
            <w:tcW w:w="443" w:type="pct"/>
            <w:tcBorders>
              <w:top w:val="nil"/>
              <w:left w:val="nil"/>
              <w:bottom w:val="nil"/>
              <w:right w:val="single" w:sz="4" w:space="0" w:color="auto"/>
            </w:tcBorders>
            <w:vAlign w:val="center"/>
            <w:hideMark/>
          </w:tcPr>
          <w:p w14:paraId="73A6F4D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70AF2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9FBA87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445669D"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5A6F19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08F17A8"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Traditional Owner Settlement Act 2010</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4C8B4DC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7341C5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5302D4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74AE10A"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57E77D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FC94986"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Urban Renewal Authority Victoria Act 2003</w:t>
            </w:r>
            <w:r w:rsidRPr="00001083">
              <w:rPr>
                <w:rFonts w:ascii="Arial" w:hAnsi="Arial" w:cs="Arial"/>
                <w:color w:val="000000"/>
                <w:sz w:val="18"/>
                <w:szCs w:val="18"/>
                <w:lang w:eastAsia="ko-KR"/>
              </w:rPr>
              <w:t xml:space="preserve"> </w:t>
            </w:r>
          </w:p>
        </w:tc>
        <w:tc>
          <w:tcPr>
            <w:tcW w:w="443" w:type="pct"/>
            <w:tcBorders>
              <w:top w:val="nil"/>
              <w:left w:val="nil"/>
              <w:bottom w:val="nil"/>
              <w:right w:val="single" w:sz="4" w:space="0" w:color="auto"/>
            </w:tcBorders>
            <w:vAlign w:val="center"/>
            <w:hideMark/>
          </w:tcPr>
          <w:p w14:paraId="18169DA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6A9FE6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290C7B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B482C5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EA83ED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right w:val="single" w:sz="4" w:space="0" w:color="auto"/>
            </w:tcBorders>
            <w:vAlign w:val="center"/>
            <w:hideMark/>
          </w:tcPr>
          <w:p w14:paraId="67804C12" w14:textId="77777777" w:rsidR="00001083" w:rsidRPr="00001083" w:rsidRDefault="00001083" w:rsidP="00001083">
            <w:pPr>
              <w:ind w:firstLineChars="200" w:firstLine="361"/>
              <w:rPr>
                <w:rFonts w:ascii="Arial" w:hAnsi="Arial" w:cs="Arial"/>
                <w:b/>
                <w:bCs/>
                <w:color w:val="000000"/>
                <w:sz w:val="18"/>
                <w:szCs w:val="18"/>
                <w:lang w:eastAsia="ko-KR"/>
              </w:rPr>
            </w:pPr>
            <w:r w:rsidRPr="00001083">
              <w:rPr>
                <w:rFonts w:ascii="Arial" w:hAnsi="Arial" w:cs="Arial"/>
                <w:b/>
                <w:bCs/>
                <w:color w:val="000000"/>
                <w:sz w:val="18"/>
                <w:szCs w:val="18"/>
                <w:lang w:eastAsia="ko-KR"/>
              </w:rPr>
              <w:t>Valuation of Land Act 1960</w:t>
            </w:r>
            <w:r w:rsidRPr="00001083">
              <w:rPr>
                <w:rFonts w:ascii="Arial" w:hAnsi="Arial" w:cs="Arial"/>
                <w:color w:val="000000"/>
                <w:sz w:val="18"/>
                <w:szCs w:val="18"/>
                <w:lang w:eastAsia="ko-KR"/>
              </w:rPr>
              <w:t xml:space="preserve"> </w:t>
            </w:r>
          </w:p>
        </w:tc>
        <w:tc>
          <w:tcPr>
            <w:tcW w:w="443" w:type="pct"/>
            <w:tcBorders>
              <w:top w:val="nil"/>
              <w:left w:val="nil"/>
              <w:right w:val="single" w:sz="4" w:space="0" w:color="auto"/>
            </w:tcBorders>
            <w:vAlign w:val="center"/>
            <w:hideMark/>
          </w:tcPr>
          <w:p w14:paraId="3FF339B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right w:val="single" w:sz="4" w:space="0" w:color="auto"/>
            </w:tcBorders>
            <w:noWrap/>
            <w:vAlign w:val="center"/>
            <w:hideMark/>
          </w:tcPr>
          <w:p w14:paraId="70F8E50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right w:val="single" w:sz="4" w:space="0" w:color="auto"/>
            </w:tcBorders>
            <w:noWrap/>
            <w:vAlign w:val="center"/>
            <w:hideMark/>
          </w:tcPr>
          <w:p w14:paraId="17776AC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59310B" w:rsidRPr="00001083" w14:paraId="445F7610"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7AD9A32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single" w:sz="4" w:space="0" w:color="auto"/>
              <w:right w:val="single" w:sz="4" w:space="0" w:color="auto"/>
            </w:tcBorders>
            <w:vAlign w:val="center"/>
            <w:hideMark/>
          </w:tcPr>
          <w:p w14:paraId="791FB409" w14:textId="77777777" w:rsidR="00001083" w:rsidRDefault="00001083" w:rsidP="00001083">
            <w:pPr>
              <w:ind w:firstLineChars="200" w:firstLine="361"/>
              <w:rPr>
                <w:rFonts w:ascii="Arial" w:hAnsi="Arial" w:cs="Arial"/>
                <w:color w:val="000000"/>
                <w:sz w:val="18"/>
                <w:szCs w:val="18"/>
                <w:lang w:eastAsia="ko-KR"/>
              </w:rPr>
            </w:pPr>
            <w:r w:rsidRPr="00001083">
              <w:rPr>
                <w:rFonts w:ascii="Arial" w:hAnsi="Arial" w:cs="Arial"/>
                <w:b/>
                <w:bCs/>
                <w:color w:val="000000"/>
                <w:sz w:val="18"/>
                <w:szCs w:val="18"/>
                <w:lang w:eastAsia="ko-KR"/>
              </w:rPr>
              <w:t>Water Act 1989</w:t>
            </w:r>
            <w:r w:rsidRPr="00001083">
              <w:rPr>
                <w:rFonts w:ascii="Arial" w:hAnsi="Arial" w:cs="Arial"/>
                <w:color w:val="000000"/>
                <w:sz w:val="18"/>
                <w:szCs w:val="18"/>
                <w:lang w:eastAsia="ko-KR"/>
              </w:rPr>
              <w:t xml:space="preserve">, except section 19 </w:t>
            </w:r>
          </w:p>
          <w:p w14:paraId="6D081140" w14:textId="77777777" w:rsidR="003013A9" w:rsidRDefault="003013A9" w:rsidP="00001083">
            <w:pPr>
              <w:ind w:firstLineChars="200" w:firstLine="360"/>
              <w:rPr>
                <w:rFonts w:ascii="Arial" w:hAnsi="Arial" w:cs="Arial"/>
                <w:color w:val="000000"/>
                <w:sz w:val="18"/>
                <w:szCs w:val="18"/>
                <w:lang w:eastAsia="ko-KR"/>
              </w:rPr>
            </w:pPr>
          </w:p>
          <w:p w14:paraId="0A53F232" w14:textId="1F9E5240" w:rsidR="00001083" w:rsidRPr="00001083" w:rsidRDefault="00001083" w:rsidP="00001083">
            <w:pPr>
              <w:ind w:firstLineChars="200" w:firstLine="361"/>
              <w:rPr>
                <w:rFonts w:ascii="Arial" w:hAnsi="Arial" w:cs="Arial"/>
                <w:b/>
                <w:bCs/>
                <w:color w:val="000000"/>
                <w:sz w:val="18"/>
                <w:szCs w:val="18"/>
                <w:lang w:eastAsia="ko-KR"/>
              </w:rPr>
            </w:pPr>
          </w:p>
        </w:tc>
        <w:tc>
          <w:tcPr>
            <w:tcW w:w="443" w:type="pct"/>
            <w:tcBorders>
              <w:top w:val="nil"/>
              <w:left w:val="nil"/>
              <w:bottom w:val="single" w:sz="4" w:space="0" w:color="auto"/>
              <w:right w:val="single" w:sz="4" w:space="0" w:color="auto"/>
            </w:tcBorders>
            <w:vAlign w:val="center"/>
            <w:hideMark/>
          </w:tcPr>
          <w:p w14:paraId="517F2D7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single" w:sz="4" w:space="0" w:color="auto"/>
              <w:right w:val="single" w:sz="4" w:space="0" w:color="auto"/>
            </w:tcBorders>
            <w:noWrap/>
            <w:vAlign w:val="center"/>
            <w:hideMark/>
          </w:tcPr>
          <w:p w14:paraId="1700557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single" w:sz="4" w:space="0" w:color="auto"/>
              <w:right w:val="single" w:sz="4" w:space="0" w:color="auto"/>
            </w:tcBorders>
            <w:noWrap/>
            <w:vAlign w:val="center"/>
            <w:hideMark/>
          </w:tcPr>
          <w:p w14:paraId="02DBC69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9DE932F" w14:textId="77777777" w:rsidTr="001761B8">
        <w:trPr>
          <w:trHeight w:val="290"/>
        </w:trPr>
        <w:tc>
          <w:tcPr>
            <w:tcW w:w="284" w:type="pct"/>
            <w:vMerge w:val="restart"/>
            <w:tcBorders>
              <w:top w:val="single" w:sz="4" w:space="0" w:color="auto"/>
              <w:left w:val="single" w:sz="4" w:space="0" w:color="auto"/>
              <w:bottom w:val="single" w:sz="4" w:space="0" w:color="auto"/>
              <w:right w:val="nil"/>
            </w:tcBorders>
            <w:hideMark/>
          </w:tcPr>
          <w:p w14:paraId="1D41156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6</w:t>
            </w:r>
          </w:p>
        </w:tc>
        <w:tc>
          <w:tcPr>
            <w:tcW w:w="3385" w:type="pct"/>
            <w:gridSpan w:val="2"/>
            <w:tcBorders>
              <w:top w:val="single" w:sz="4" w:space="0" w:color="auto"/>
              <w:left w:val="single" w:sz="4" w:space="0" w:color="auto"/>
              <w:bottom w:val="nil"/>
              <w:right w:val="single" w:sz="4" w:space="0" w:color="auto"/>
            </w:tcBorders>
            <w:vAlign w:val="center"/>
            <w:hideMark/>
          </w:tcPr>
          <w:p w14:paraId="64DF4691"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commencement of a proceeding under—</w:t>
            </w:r>
          </w:p>
        </w:tc>
        <w:tc>
          <w:tcPr>
            <w:tcW w:w="443" w:type="pct"/>
            <w:tcBorders>
              <w:top w:val="single" w:sz="4" w:space="0" w:color="auto"/>
              <w:left w:val="single" w:sz="4" w:space="0" w:color="auto"/>
              <w:bottom w:val="nil"/>
              <w:right w:val="single" w:sz="4" w:space="0" w:color="auto"/>
            </w:tcBorders>
            <w:vAlign w:val="center"/>
            <w:hideMark/>
          </w:tcPr>
          <w:p w14:paraId="64A3185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5FE8CDF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013358B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BD1A8B6" w14:textId="77777777" w:rsidTr="001761B8">
        <w:trPr>
          <w:trHeight w:val="460"/>
        </w:trPr>
        <w:tc>
          <w:tcPr>
            <w:tcW w:w="284" w:type="pct"/>
            <w:vMerge/>
            <w:tcBorders>
              <w:top w:val="single" w:sz="4" w:space="0" w:color="auto"/>
              <w:left w:val="single" w:sz="4" w:space="0" w:color="auto"/>
              <w:bottom w:val="single" w:sz="4" w:space="0" w:color="auto"/>
              <w:right w:val="nil"/>
            </w:tcBorders>
            <w:vAlign w:val="center"/>
            <w:hideMark/>
          </w:tcPr>
          <w:p w14:paraId="5AC148D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414527C"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 xml:space="preserve">(a) the </w:t>
            </w:r>
            <w:r w:rsidRPr="00001083">
              <w:rPr>
                <w:rFonts w:ascii="Arial" w:hAnsi="Arial" w:cs="Arial"/>
                <w:b/>
                <w:bCs/>
                <w:color w:val="000000"/>
                <w:sz w:val="18"/>
                <w:szCs w:val="18"/>
                <w:lang w:eastAsia="ko-KR"/>
              </w:rPr>
              <w:t>Australian Consumer Law and Fair Trading Act 2012</w:t>
            </w:r>
            <w:r w:rsidRPr="00001083">
              <w:rPr>
                <w:rFonts w:ascii="Arial" w:hAnsi="Arial" w:cs="Arial"/>
                <w:color w:val="000000"/>
                <w:sz w:val="18"/>
                <w:szCs w:val="18"/>
                <w:lang w:eastAsia="ko-KR"/>
              </w:rPr>
              <w:t>, except a proceeding allocated to the residential tenancies division;</w:t>
            </w:r>
          </w:p>
        </w:tc>
        <w:tc>
          <w:tcPr>
            <w:tcW w:w="443" w:type="pct"/>
            <w:tcBorders>
              <w:top w:val="nil"/>
              <w:left w:val="single" w:sz="4" w:space="0" w:color="auto"/>
              <w:bottom w:val="nil"/>
              <w:right w:val="single" w:sz="4" w:space="0" w:color="auto"/>
            </w:tcBorders>
            <w:vAlign w:val="center"/>
            <w:hideMark/>
          </w:tcPr>
          <w:p w14:paraId="5AAD304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1219D0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41913CA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9C0E8B6" w14:textId="77777777" w:rsidTr="001761B8">
        <w:trPr>
          <w:trHeight w:val="460"/>
        </w:trPr>
        <w:tc>
          <w:tcPr>
            <w:tcW w:w="284" w:type="pct"/>
            <w:vMerge/>
            <w:tcBorders>
              <w:top w:val="single" w:sz="4" w:space="0" w:color="auto"/>
              <w:left w:val="single" w:sz="4" w:space="0" w:color="auto"/>
              <w:bottom w:val="single" w:sz="4" w:space="0" w:color="auto"/>
              <w:right w:val="nil"/>
            </w:tcBorders>
            <w:vAlign w:val="center"/>
            <w:hideMark/>
          </w:tcPr>
          <w:p w14:paraId="3542559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CDA44EA"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 xml:space="preserve">(b) the </w:t>
            </w:r>
            <w:r w:rsidRPr="00001083">
              <w:rPr>
                <w:rFonts w:ascii="Arial" w:hAnsi="Arial" w:cs="Arial"/>
                <w:b/>
                <w:bCs/>
                <w:color w:val="000000"/>
                <w:sz w:val="18"/>
                <w:szCs w:val="18"/>
                <w:lang w:eastAsia="ko-KR"/>
              </w:rPr>
              <w:t>Domestic Building Contracts Act 1995</w:t>
            </w:r>
            <w:r w:rsidRPr="00001083">
              <w:rPr>
                <w:rFonts w:ascii="Arial" w:hAnsi="Arial" w:cs="Arial"/>
                <w:color w:val="000000"/>
                <w:sz w:val="18"/>
                <w:szCs w:val="18"/>
                <w:lang w:eastAsia="ko-KR"/>
              </w:rPr>
              <w:t>, except a proceeding under sections 45F, 46E, 63, 65, 66, 67 and 67A</w:t>
            </w:r>
          </w:p>
        </w:tc>
        <w:tc>
          <w:tcPr>
            <w:tcW w:w="443" w:type="pct"/>
            <w:tcBorders>
              <w:top w:val="nil"/>
              <w:left w:val="single" w:sz="4" w:space="0" w:color="auto"/>
              <w:bottom w:val="nil"/>
              <w:right w:val="single" w:sz="4" w:space="0" w:color="auto"/>
            </w:tcBorders>
            <w:vAlign w:val="center"/>
            <w:hideMark/>
          </w:tcPr>
          <w:p w14:paraId="6C92B4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32936D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6F2AD88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034941CC"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58AC872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DC8BDE0"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(c) section 99 of the</w:t>
            </w:r>
            <w:r w:rsidRPr="00001083">
              <w:rPr>
                <w:rFonts w:ascii="Arial" w:hAnsi="Arial" w:cs="Arial"/>
                <w:b/>
                <w:bCs/>
                <w:color w:val="000000"/>
                <w:sz w:val="18"/>
                <w:szCs w:val="18"/>
                <w:lang w:eastAsia="ko-KR"/>
              </w:rPr>
              <w:t xml:space="preserve"> Legal Profession Uniform Law Application Act 2014</w:t>
            </w:r>
            <w:r w:rsidRPr="00001083">
              <w:rPr>
                <w:rFonts w:ascii="Arial" w:hAnsi="Arial" w:cs="Arial"/>
                <w:color w:val="000000"/>
                <w:sz w:val="18"/>
                <w:szCs w:val="18"/>
                <w:lang w:eastAsia="ko-KR"/>
              </w:rPr>
              <w:t>—</w:t>
            </w:r>
          </w:p>
        </w:tc>
        <w:tc>
          <w:tcPr>
            <w:tcW w:w="443" w:type="pct"/>
            <w:tcBorders>
              <w:top w:val="nil"/>
              <w:left w:val="single" w:sz="4" w:space="0" w:color="auto"/>
              <w:bottom w:val="nil"/>
              <w:right w:val="single" w:sz="4" w:space="0" w:color="auto"/>
            </w:tcBorders>
            <w:vAlign w:val="center"/>
            <w:hideMark/>
          </w:tcPr>
          <w:p w14:paraId="49291FC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49B3FFD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9699A1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0E4F0CB"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2C6DCFA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BC326E4" w14:textId="77777777" w:rsidR="00001083" w:rsidRPr="00001083" w:rsidRDefault="00001083" w:rsidP="00001083">
            <w:pPr>
              <w:ind w:firstLineChars="100" w:firstLine="180"/>
              <w:rPr>
                <w:rFonts w:ascii="Arial" w:hAnsi="Arial" w:cs="Arial"/>
                <w:color w:val="000000"/>
                <w:sz w:val="18"/>
                <w:szCs w:val="18"/>
                <w:lang w:eastAsia="ko-KR"/>
              </w:rPr>
            </w:pPr>
            <w:r w:rsidRPr="00001083">
              <w:rPr>
                <w:rFonts w:ascii="Arial" w:hAnsi="Arial" w:cs="Arial"/>
                <w:color w:val="000000"/>
                <w:sz w:val="18"/>
                <w:szCs w:val="18"/>
                <w:lang w:eastAsia="ko-KR"/>
              </w:rPr>
              <w:t>if the claim is—</w:t>
            </w:r>
          </w:p>
        </w:tc>
        <w:tc>
          <w:tcPr>
            <w:tcW w:w="443" w:type="pct"/>
            <w:tcBorders>
              <w:top w:val="nil"/>
              <w:left w:val="single" w:sz="4" w:space="0" w:color="auto"/>
              <w:bottom w:val="nil"/>
              <w:right w:val="single" w:sz="4" w:space="0" w:color="auto"/>
            </w:tcBorders>
            <w:vAlign w:val="center"/>
            <w:hideMark/>
          </w:tcPr>
          <w:p w14:paraId="58B7A35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8010D8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B70C93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EEDEDB6"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59F6681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D046471"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(d) for a sum that is specified, but is not more than $3000</w:t>
            </w:r>
          </w:p>
        </w:tc>
        <w:tc>
          <w:tcPr>
            <w:tcW w:w="443" w:type="pct"/>
            <w:tcBorders>
              <w:top w:val="nil"/>
              <w:left w:val="single" w:sz="4" w:space="0" w:color="auto"/>
              <w:bottom w:val="nil"/>
              <w:right w:val="single" w:sz="4" w:space="0" w:color="auto"/>
            </w:tcBorders>
            <w:vAlign w:val="center"/>
            <w:hideMark/>
          </w:tcPr>
          <w:p w14:paraId="0C8E295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$105.9</w:t>
            </w:r>
          </w:p>
        </w:tc>
        <w:tc>
          <w:tcPr>
            <w:tcW w:w="443" w:type="pct"/>
            <w:gridSpan w:val="2"/>
            <w:tcBorders>
              <w:top w:val="nil"/>
              <w:left w:val="nil"/>
              <w:bottom w:val="nil"/>
              <w:right w:val="single" w:sz="4" w:space="0" w:color="auto"/>
            </w:tcBorders>
            <w:noWrap/>
            <w:vAlign w:val="center"/>
            <w:hideMark/>
          </w:tcPr>
          <w:p w14:paraId="44D4530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$74.1</w:t>
            </w:r>
          </w:p>
        </w:tc>
        <w:tc>
          <w:tcPr>
            <w:tcW w:w="443" w:type="pct"/>
            <w:tcBorders>
              <w:top w:val="nil"/>
              <w:left w:val="nil"/>
              <w:bottom w:val="nil"/>
              <w:right w:val="single" w:sz="4" w:space="0" w:color="auto"/>
            </w:tcBorders>
            <w:noWrap/>
            <w:vAlign w:val="center"/>
            <w:hideMark/>
          </w:tcPr>
          <w:p w14:paraId="208239B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$37.1</w:t>
            </w:r>
          </w:p>
        </w:tc>
      </w:tr>
      <w:tr w:rsidR="00001083" w:rsidRPr="00001083" w14:paraId="1DFC66ED"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48C5481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36B868D"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(e) for a sum that is more than $3000 but not more than $15 000</w:t>
            </w:r>
          </w:p>
        </w:tc>
        <w:tc>
          <w:tcPr>
            <w:tcW w:w="443" w:type="pct"/>
            <w:tcBorders>
              <w:top w:val="nil"/>
              <w:left w:val="single" w:sz="4" w:space="0" w:color="auto"/>
              <w:bottom w:val="nil"/>
              <w:right w:val="single" w:sz="4" w:space="0" w:color="auto"/>
            </w:tcBorders>
            <w:vAlign w:val="center"/>
            <w:hideMark/>
          </w:tcPr>
          <w:p w14:paraId="5F15B42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$353.0</w:t>
            </w:r>
          </w:p>
        </w:tc>
        <w:tc>
          <w:tcPr>
            <w:tcW w:w="443" w:type="pct"/>
            <w:gridSpan w:val="2"/>
            <w:tcBorders>
              <w:top w:val="nil"/>
              <w:left w:val="nil"/>
              <w:bottom w:val="nil"/>
              <w:right w:val="single" w:sz="4" w:space="0" w:color="auto"/>
            </w:tcBorders>
            <w:noWrap/>
            <w:vAlign w:val="center"/>
            <w:hideMark/>
          </w:tcPr>
          <w:p w14:paraId="5EAD095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$247.1</w:t>
            </w:r>
          </w:p>
        </w:tc>
        <w:tc>
          <w:tcPr>
            <w:tcW w:w="443" w:type="pct"/>
            <w:tcBorders>
              <w:top w:val="nil"/>
              <w:left w:val="nil"/>
              <w:bottom w:val="nil"/>
              <w:right w:val="single" w:sz="4" w:space="0" w:color="auto"/>
            </w:tcBorders>
            <w:noWrap/>
            <w:vAlign w:val="center"/>
            <w:hideMark/>
          </w:tcPr>
          <w:p w14:paraId="2F4C524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$123.6</w:t>
            </w:r>
          </w:p>
        </w:tc>
      </w:tr>
      <w:tr w:rsidR="00001083" w:rsidRPr="00001083" w14:paraId="596E3841"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7705475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08FE6F9"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(f) not for a sum, or is for a sum that is—</w:t>
            </w:r>
          </w:p>
        </w:tc>
        <w:tc>
          <w:tcPr>
            <w:tcW w:w="443" w:type="pct"/>
            <w:tcBorders>
              <w:top w:val="nil"/>
              <w:left w:val="single" w:sz="4" w:space="0" w:color="auto"/>
              <w:bottom w:val="nil"/>
              <w:right w:val="single" w:sz="4" w:space="0" w:color="auto"/>
            </w:tcBorders>
            <w:vAlign w:val="center"/>
            <w:hideMark/>
          </w:tcPr>
          <w:p w14:paraId="4B9CA1D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2F8B41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A21455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860334F"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7470F60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C9BFB6F"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 not specified; or</w:t>
            </w:r>
          </w:p>
        </w:tc>
        <w:tc>
          <w:tcPr>
            <w:tcW w:w="443" w:type="pct"/>
            <w:tcBorders>
              <w:top w:val="nil"/>
              <w:left w:val="single" w:sz="4" w:space="0" w:color="auto"/>
              <w:bottom w:val="nil"/>
              <w:right w:val="single" w:sz="4" w:space="0" w:color="auto"/>
            </w:tcBorders>
            <w:vAlign w:val="center"/>
            <w:hideMark/>
          </w:tcPr>
          <w:p w14:paraId="7709997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$790.1</w:t>
            </w:r>
          </w:p>
        </w:tc>
        <w:tc>
          <w:tcPr>
            <w:tcW w:w="443" w:type="pct"/>
            <w:gridSpan w:val="2"/>
            <w:tcBorders>
              <w:top w:val="nil"/>
              <w:left w:val="nil"/>
              <w:bottom w:val="nil"/>
              <w:right w:val="single" w:sz="4" w:space="0" w:color="auto"/>
            </w:tcBorders>
            <w:noWrap/>
            <w:vAlign w:val="center"/>
            <w:hideMark/>
          </w:tcPr>
          <w:p w14:paraId="4651DA7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$553.0</w:t>
            </w:r>
          </w:p>
        </w:tc>
        <w:tc>
          <w:tcPr>
            <w:tcW w:w="443" w:type="pct"/>
            <w:tcBorders>
              <w:top w:val="nil"/>
              <w:left w:val="nil"/>
              <w:bottom w:val="nil"/>
              <w:right w:val="single" w:sz="4" w:space="0" w:color="auto"/>
            </w:tcBorders>
            <w:noWrap/>
            <w:vAlign w:val="center"/>
            <w:hideMark/>
          </w:tcPr>
          <w:p w14:paraId="4D3654C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158B1BBA"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5D9D3AA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3E1355F"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(ii) more than $15 000 but not more than $100 000</w:t>
            </w:r>
          </w:p>
        </w:tc>
        <w:tc>
          <w:tcPr>
            <w:tcW w:w="443" w:type="pct"/>
            <w:tcBorders>
              <w:top w:val="nil"/>
              <w:left w:val="single" w:sz="4" w:space="0" w:color="auto"/>
              <w:bottom w:val="nil"/>
              <w:right w:val="single" w:sz="4" w:space="0" w:color="auto"/>
            </w:tcBorders>
            <w:vAlign w:val="center"/>
            <w:hideMark/>
          </w:tcPr>
          <w:p w14:paraId="21C969A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$790.1</w:t>
            </w:r>
          </w:p>
        </w:tc>
        <w:tc>
          <w:tcPr>
            <w:tcW w:w="443" w:type="pct"/>
            <w:gridSpan w:val="2"/>
            <w:tcBorders>
              <w:top w:val="nil"/>
              <w:left w:val="nil"/>
              <w:bottom w:val="nil"/>
              <w:right w:val="single" w:sz="4" w:space="0" w:color="auto"/>
            </w:tcBorders>
            <w:noWrap/>
            <w:vAlign w:val="center"/>
            <w:hideMark/>
          </w:tcPr>
          <w:p w14:paraId="46E649E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$553.0</w:t>
            </w:r>
          </w:p>
        </w:tc>
        <w:tc>
          <w:tcPr>
            <w:tcW w:w="443" w:type="pct"/>
            <w:tcBorders>
              <w:top w:val="nil"/>
              <w:left w:val="nil"/>
              <w:bottom w:val="nil"/>
              <w:right w:val="single" w:sz="4" w:space="0" w:color="auto"/>
            </w:tcBorders>
            <w:noWrap/>
            <w:vAlign w:val="center"/>
            <w:hideMark/>
          </w:tcPr>
          <w:p w14:paraId="0BAD61B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D85356B"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14B36B6A"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22C87D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(g) for a sum that is more than $100 000 but not more than $500 000</w:t>
            </w:r>
          </w:p>
        </w:tc>
        <w:tc>
          <w:tcPr>
            <w:tcW w:w="443" w:type="pct"/>
            <w:tcBorders>
              <w:top w:val="nil"/>
              <w:left w:val="single" w:sz="4" w:space="0" w:color="auto"/>
              <w:bottom w:val="nil"/>
              <w:right w:val="single" w:sz="4" w:space="0" w:color="auto"/>
            </w:tcBorders>
            <w:vAlign w:val="center"/>
            <w:hideMark/>
          </w:tcPr>
          <w:p w14:paraId="416518A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$1,294.4</w:t>
            </w:r>
          </w:p>
        </w:tc>
        <w:tc>
          <w:tcPr>
            <w:tcW w:w="443" w:type="pct"/>
            <w:gridSpan w:val="2"/>
            <w:tcBorders>
              <w:top w:val="nil"/>
              <w:left w:val="nil"/>
              <w:bottom w:val="nil"/>
              <w:right w:val="single" w:sz="4" w:space="0" w:color="auto"/>
            </w:tcBorders>
            <w:noWrap/>
            <w:vAlign w:val="center"/>
            <w:hideMark/>
          </w:tcPr>
          <w:p w14:paraId="5E6EAF2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$906.1</w:t>
            </w:r>
          </w:p>
        </w:tc>
        <w:tc>
          <w:tcPr>
            <w:tcW w:w="443" w:type="pct"/>
            <w:tcBorders>
              <w:top w:val="nil"/>
              <w:left w:val="nil"/>
              <w:bottom w:val="nil"/>
              <w:right w:val="single" w:sz="4" w:space="0" w:color="auto"/>
            </w:tcBorders>
            <w:noWrap/>
            <w:vAlign w:val="center"/>
            <w:hideMark/>
          </w:tcPr>
          <w:p w14:paraId="5743579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65CDE3F4"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0A5F2EBA"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0905BC8"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(h) for a sum that is more than $500 000 but not more than $1 million</w:t>
            </w:r>
          </w:p>
        </w:tc>
        <w:tc>
          <w:tcPr>
            <w:tcW w:w="443" w:type="pct"/>
            <w:tcBorders>
              <w:top w:val="nil"/>
              <w:left w:val="single" w:sz="4" w:space="0" w:color="auto"/>
              <w:bottom w:val="nil"/>
              <w:right w:val="single" w:sz="4" w:space="0" w:color="auto"/>
            </w:tcBorders>
            <w:vAlign w:val="center"/>
            <w:hideMark/>
          </w:tcPr>
          <w:p w14:paraId="3D1DC2B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$1,765.1</w:t>
            </w:r>
          </w:p>
        </w:tc>
        <w:tc>
          <w:tcPr>
            <w:tcW w:w="443" w:type="pct"/>
            <w:gridSpan w:val="2"/>
            <w:tcBorders>
              <w:top w:val="nil"/>
              <w:left w:val="nil"/>
              <w:bottom w:val="nil"/>
              <w:right w:val="single" w:sz="4" w:space="0" w:color="auto"/>
            </w:tcBorders>
            <w:noWrap/>
            <w:vAlign w:val="center"/>
            <w:hideMark/>
          </w:tcPr>
          <w:p w14:paraId="39C32BF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$1,235.5</w:t>
            </w:r>
          </w:p>
        </w:tc>
        <w:tc>
          <w:tcPr>
            <w:tcW w:w="443" w:type="pct"/>
            <w:tcBorders>
              <w:top w:val="nil"/>
              <w:left w:val="nil"/>
              <w:bottom w:val="nil"/>
              <w:right w:val="single" w:sz="4" w:space="0" w:color="auto"/>
            </w:tcBorders>
            <w:noWrap/>
            <w:vAlign w:val="center"/>
            <w:hideMark/>
          </w:tcPr>
          <w:p w14:paraId="0F7A66F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24CAE99B"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26AF04F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35F800F"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(i) for a sum that is more than $1 million but not more than $5 million</w:t>
            </w:r>
          </w:p>
        </w:tc>
        <w:tc>
          <w:tcPr>
            <w:tcW w:w="443" w:type="pct"/>
            <w:tcBorders>
              <w:top w:val="nil"/>
              <w:left w:val="single" w:sz="4" w:space="0" w:color="auto"/>
              <w:bottom w:val="nil"/>
              <w:right w:val="single" w:sz="4" w:space="0" w:color="auto"/>
            </w:tcBorders>
            <w:vAlign w:val="center"/>
            <w:hideMark/>
          </w:tcPr>
          <w:p w14:paraId="21C075A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$2,235.7</w:t>
            </w:r>
          </w:p>
        </w:tc>
        <w:tc>
          <w:tcPr>
            <w:tcW w:w="443" w:type="pct"/>
            <w:gridSpan w:val="2"/>
            <w:tcBorders>
              <w:top w:val="nil"/>
              <w:left w:val="nil"/>
              <w:bottom w:val="nil"/>
              <w:right w:val="single" w:sz="4" w:space="0" w:color="auto"/>
            </w:tcBorders>
            <w:noWrap/>
            <w:vAlign w:val="center"/>
            <w:hideMark/>
          </w:tcPr>
          <w:p w14:paraId="6F6D3B1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$1,565.0</w:t>
            </w:r>
          </w:p>
        </w:tc>
        <w:tc>
          <w:tcPr>
            <w:tcW w:w="443" w:type="pct"/>
            <w:tcBorders>
              <w:top w:val="nil"/>
              <w:left w:val="nil"/>
              <w:bottom w:val="nil"/>
              <w:right w:val="single" w:sz="4" w:space="0" w:color="auto"/>
            </w:tcBorders>
            <w:noWrap/>
            <w:vAlign w:val="center"/>
            <w:hideMark/>
          </w:tcPr>
          <w:p w14:paraId="4C81A60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5A3FABAB" w14:textId="77777777" w:rsidTr="001761B8">
        <w:trPr>
          <w:trHeight w:val="290"/>
        </w:trPr>
        <w:tc>
          <w:tcPr>
            <w:tcW w:w="284" w:type="pct"/>
            <w:vMerge/>
            <w:tcBorders>
              <w:top w:val="single" w:sz="4" w:space="0" w:color="auto"/>
              <w:left w:val="single" w:sz="4" w:space="0" w:color="auto"/>
              <w:bottom w:val="single" w:sz="4" w:space="0" w:color="auto"/>
              <w:right w:val="nil"/>
            </w:tcBorders>
            <w:vAlign w:val="center"/>
            <w:hideMark/>
          </w:tcPr>
          <w:p w14:paraId="1770A65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7AA38F0"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(j) for a sum that is more than $5 million</w:t>
            </w:r>
          </w:p>
        </w:tc>
        <w:tc>
          <w:tcPr>
            <w:tcW w:w="443" w:type="pct"/>
            <w:tcBorders>
              <w:top w:val="nil"/>
              <w:left w:val="single" w:sz="4" w:space="0" w:color="auto"/>
              <w:bottom w:val="nil"/>
              <w:right w:val="single" w:sz="4" w:space="0" w:color="auto"/>
            </w:tcBorders>
            <w:vAlign w:val="center"/>
            <w:hideMark/>
          </w:tcPr>
          <w:p w14:paraId="3857272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$2,706.4</w:t>
            </w:r>
          </w:p>
        </w:tc>
        <w:tc>
          <w:tcPr>
            <w:tcW w:w="443" w:type="pct"/>
            <w:gridSpan w:val="2"/>
            <w:tcBorders>
              <w:top w:val="nil"/>
              <w:left w:val="nil"/>
              <w:bottom w:val="nil"/>
              <w:right w:val="single" w:sz="4" w:space="0" w:color="auto"/>
            </w:tcBorders>
            <w:noWrap/>
            <w:vAlign w:val="center"/>
            <w:hideMark/>
          </w:tcPr>
          <w:p w14:paraId="0285E67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$1,894.5</w:t>
            </w:r>
          </w:p>
        </w:tc>
        <w:tc>
          <w:tcPr>
            <w:tcW w:w="443" w:type="pct"/>
            <w:tcBorders>
              <w:top w:val="nil"/>
              <w:left w:val="nil"/>
              <w:bottom w:val="nil"/>
              <w:right w:val="single" w:sz="4" w:space="0" w:color="auto"/>
            </w:tcBorders>
            <w:noWrap/>
            <w:vAlign w:val="center"/>
            <w:hideMark/>
          </w:tcPr>
          <w:p w14:paraId="65E6971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5AC1C97C" w14:textId="77777777" w:rsidTr="001761B8">
        <w:trPr>
          <w:trHeight w:val="660"/>
        </w:trPr>
        <w:tc>
          <w:tcPr>
            <w:tcW w:w="284" w:type="pct"/>
            <w:vMerge w:val="restart"/>
            <w:tcBorders>
              <w:top w:val="nil"/>
              <w:left w:val="single" w:sz="4" w:space="0" w:color="auto"/>
              <w:bottom w:val="single" w:sz="4" w:space="0" w:color="auto"/>
              <w:right w:val="nil"/>
            </w:tcBorders>
            <w:hideMark/>
          </w:tcPr>
          <w:p w14:paraId="57A9AD3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w:t>
            </w:r>
          </w:p>
        </w:tc>
        <w:tc>
          <w:tcPr>
            <w:tcW w:w="3385" w:type="pct"/>
            <w:gridSpan w:val="2"/>
            <w:tcBorders>
              <w:top w:val="single" w:sz="4" w:space="0" w:color="auto"/>
              <w:left w:val="single" w:sz="4" w:space="0" w:color="auto"/>
              <w:bottom w:val="nil"/>
              <w:right w:val="single" w:sz="4" w:space="0" w:color="auto"/>
            </w:tcBorders>
            <w:vAlign w:val="center"/>
            <w:hideMark/>
          </w:tcPr>
          <w:p w14:paraId="23660420"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xml:space="preserve">For the commencement of a proceeding under the </w:t>
            </w:r>
            <w:r w:rsidRPr="00001083">
              <w:rPr>
                <w:rFonts w:ascii="Arial" w:hAnsi="Arial" w:cs="Arial"/>
                <w:b/>
                <w:bCs/>
                <w:color w:val="000000"/>
                <w:sz w:val="18"/>
                <w:szCs w:val="18"/>
                <w:lang w:eastAsia="ko-KR"/>
              </w:rPr>
              <w:t>Australian Consumer Law and Fair Trading Act 2012</w:t>
            </w:r>
            <w:r w:rsidRPr="00001083">
              <w:rPr>
                <w:rFonts w:ascii="Arial" w:hAnsi="Arial" w:cs="Arial"/>
                <w:color w:val="000000"/>
                <w:sz w:val="18"/>
                <w:szCs w:val="18"/>
                <w:lang w:eastAsia="ko-KR"/>
              </w:rPr>
              <w:t>, if the proceeding is allocated to the residential tenancies division and the claim is—</w:t>
            </w:r>
          </w:p>
        </w:tc>
        <w:tc>
          <w:tcPr>
            <w:tcW w:w="443" w:type="pct"/>
            <w:tcBorders>
              <w:top w:val="single" w:sz="4" w:space="0" w:color="auto"/>
              <w:left w:val="nil"/>
              <w:bottom w:val="nil"/>
              <w:right w:val="single" w:sz="4" w:space="0" w:color="auto"/>
            </w:tcBorders>
            <w:vAlign w:val="center"/>
            <w:hideMark/>
          </w:tcPr>
          <w:p w14:paraId="1BB8F28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213BFF2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15B84F2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6CA7E7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75B81F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C9604D2"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 for a sum that is not more than $15 000 or not for a sum</w:t>
            </w:r>
          </w:p>
        </w:tc>
        <w:tc>
          <w:tcPr>
            <w:tcW w:w="443" w:type="pct"/>
            <w:tcBorders>
              <w:top w:val="nil"/>
              <w:left w:val="single" w:sz="4" w:space="0" w:color="auto"/>
              <w:bottom w:val="nil"/>
              <w:right w:val="single" w:sz="4" w:space="0" w:color="auto"/>
            </w:tcBorders>
            <w:vAlign w:val="center"/>
            <w:hideMark/>
          </w:tcPr>
          <w:p w14:paraId="5243E48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$105.9</w:t>
            </w:r>
          </w:p>
        </w:tc>
        <w:tc>
          <w:tcPr>
            <w:tcW w:w="443" w:type="pct"/>
            <w:gridSpan w:val="2"/>
            <w:tcBorders>
              <w:top w:val="nil"/>
              <w:left w:val="nil"/>
              <w:bottom w:val="nil"/>
              <w:right w:val="single" w:sz="4" w:space="0" w:color="auto"/>
            </w:tcBorders>
            <w:noWrap/>
            <w:vAlign w:val="center"/>
            <w:hideMark/>
          </w:tcPr>
          <w:p w14:paraId="11A3BD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$74.1</w:t>
            </w:r>
          </w:p>
        </w:tc>
        <w:tc>
          <w:tcPr>
            <w:tcW w:w="443" w:type="pct"/>
            <w:tcBorders>
              <w:top w:val="nil"/>
              <w:left w:val="nil"/>
              <w:bottom w:val="nil"/>
              <w:right w:val="single" w:sz="4" w:space="0" w:color="auto"/>
            </w:tcBorders>
            <w:noWrap/>
            <w:vAlign w:val="center"/>
            <w:hideMark/>
          </w:tcPr>
          <w:p w14:paraId="519F494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$37.1</w:t>
            </w:r>
          </w:p>
        </w:tc>
      </w:tr>
      <w:tr w:rsidR="00001083" w:rsidRPr="00001083" w14:paraId="2234A7A1"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16236A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FD790F1"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for a sum that is not specified or is more than $15 000</w:t>
            </w:r>
          </w:p>
        </w:tc>
        <w:tc>
          <w:tcPr>
            <w:tcW w:w="443" w:type="pct"/>
            <w:tcBorders>
              <w:top w:val="nil"/>
              <w:left w:val="single" w:sz="4" w:space="0" w:color="auto"/>
              <w:bottom w:val="nil"/>
              <w:right w:val="single" w:sz="4" w:space="0" w:color="auto"/>
            </w:tcBorders>
            <w:vAlign w:val="center"/>
            <w:hideMark/>
          </w:tcPr>
          <w:p w14:paraId="7BE0331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$353.0</w:t>
            </w:r>
          </w:p>
        </w:tc>
        <w:tc>
          <w:tcPr>
            <w:tcW w:w="443" w:type="pct"/>
            <w:gridSpan w:val="2"/>
            <w:tcBorders>
              <w:top w:val="nil"/>
              <w:left w:val="nil"/>
              <w:bottom w:val="nil"/>
              <w:right w:val="single" w:sz="4" w:space="0" w:color="auto"/>
            </w:tcBorders>
            <w:noWrap/>
            <w:vAlign w:val="center"/>
            <w:hideMark/>
          </w:tcPr>
          <w:p w14:paraId="6314A78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$247.1</w:t>
            </w:r>
          </w:p>
        </w:tc>
        <w:tc>
          <w:tcPr>
            <w:tcW w:w="443" w:type="pct"/>
            <w:tcBorders>
              <w:top w:val="nil"/>
              <w:left w:val="nil"/>
              <w:bottom w:val="nil"/>
              <w:right w:val="single" w:sz="4" w:space="0" w:color="auto"/>
            </w:tcBorders>
            <w:noWrap/>
            <w:vAlign w:val="center"/>
            <w:hideMark/>
          </w:tcPr>
          <w:p w14:paraId="2A6C924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$123.6</w:t>
            </w:r>
          </w:p>
        </w:tc>
      </w:tr>
      <w:tr w:rsidR="00001083" w:rsidRPr="00001083" w14:paraId="0BF428C4" w14:textId="77777777" w:rsidTr="001761B8">
        <w:trPr>
          <w:trHeight w:val="290"/>
        </w:trPr>
        <w:tc>
          <w:tcPr>
            <w:tcW w:w="284" w:type="pct"/>
            <w:vMerge w:val="restart"/>
            <w:tcBorders>
              <w:top w:val="nil"/>
              <w:left w:val="single" w:sz="4" w:space="0" w:color="auto"/>
              <w:bottom w:val="single" w:sz="4" w:space="0" w:color="auto"/>
              <w:right w:val="nil"/>
            </w:tcBorders>
            <w:hideMark/>
          </w:tcPr>
          <w:p w14:paraId="590F8C4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8</w:t>
            </w:r>
          </w:p>
        </w:tc>
        <w:tc>
          <w:tcPr>
            <w:tcW w:w="3385" w:type="pct"/>
            <w:gridSpan w:val="2"/>
            <w:tcBorders>
              <w:top w:val="single" w:sz="4" w:space="0" w:color="auto"/>
              <w:left w:val="single" w:sz="4" w:space="0" w:color="auto"/>
              <w:bottom w:val="nil"/>
              <w:right w:val="single" w:sz="4" w:space="0" w:color="auto"/>
            </w:tcBorders>
            <w:vAlign w:val="center"/>
            <w:hideMark/>
          </w:tcPr>
          <w:p w14:paraId="44864462"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xml:space="preserve">For the commencement of a proceeding under the </w:t>
            </w:r>
            <w:r w:rsidRPr="00001083">
              <w:rPr>
                <w:rFonts w:ascii="Arial" w:hAnsi="Arial" w:cs="Arial"/>
                <w:b/>
                <w:bCs/>
                <w:color w:val="000000"/>
                <w:sz w:val="18"/>
                <w:szCs w:val="18"/>
                <w:lang w:eastAsia="ko-KR"/>
              </w:rPr>
              <w:t>Retail Leases Act 2003</w:t>
            </w:r>
            <w:r w:rsidRPr="00001083">
              <w:rPr>
                <w:rFonts w:ascii="Arial" w:hAnsi="Arial" w:cs="Arial"/>
                <w:color w:val="000000"/>
                <w:sz w:val="18"/>
                <w:szCs w:val="18"/>
                <w:lang w:eastAsia="ko-KR"/>
              </w:rPr>
              <w:t>, if the claim is—</w:t>
            </w:r>
          </w:p>
        </w:tc>
        <w:tc>
          <w:tcPr>
            <w:tcW w:w="443" w:type="pct"/>
            <w:tcBorders>
              <w:top w:val="single" w:sz="4" w:space="0" w:color="auto"/>
              <w:left w:val="single" w:sz="4" w:space="0" w:color="auto"/>
              <w:bottom w:val="nil"/>
              <w:right w:val="single" w:sz="4" w:space="0" w:color="auto"/>
            </w:tcBorders>
            <w:vAlign w:val="center"/>
            <w:hideMark/>
          </w:tcPr>
          <w:p w14:paraId="6DFA385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3350728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3046172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721765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0CC8DA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262AD63" w14:textId="77777777" w:rsidR="00001083" w:rsidRPr="00001083" w:rsidRDefault="00001083" w:rsidP="00001083">
            <w:pPr>
              <w:ind w:firstLineChars="200" w:firstLine="360"/>
              <w:rPr>
                <w:rFonts w:ascii="Arial" w:hAnsi="Arial" w:cs="Arial"/>
                <w:color w:val="000000"/>
                <w:sz w:val="18"/>
                <w:szCs w:val="18"/>
                <w:lang w:eastAsia="ko-KR"/>
              </w:rPr>
            </w:pPr>
            <w:bookmarkStart w:id="129" w:name="RANGE!C186"/>
            <w:r w:rsidRPr="00001083">
              <w:rPr>
                <w:rFonts w:ascii="Arial" w:hAnsi="Arial" w:cs="Arial"/>
                <w:color w:val="000000"/>
                <w:sz w:val="18"/>
                <w:szCs w:val="18"/>
                <w:lang w:eastAsia="ko-KR"/>
              </w:rPr>
              <w:t>(a) for a sum that is not specified or is not more than $100 000 or not for a sum</w:t>
            </w:r>
            <w:bookmarkEnd w:id="129"/>
          </w:p>
        </w:tc>
        <w:tc>
          <w:tcPr>
            <w:tcW w:w="443" w:type="pct"/>
            <w:tcBorders>
              <w:top w:val="nil"/>
              <w:left w:val="single" w:sz="4" w:space="0" w:color="auto"/>
              <w:bottom w:val="nil"/>
              <w:right w:val="single" w:sz="4" w:space="0" w:color="auto"/>
            </w:tcBorders>
            <w:vAlign w:val="center"/>
            <w:hideMark/>
          </w:tcPr>
          <w:p w14:paraId="0EA27C8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$790.1</w:t>
            </w:r>
          </w:p>
        </w:tc>
        <w:tc>
          <w:tcPr>
            <w:tcW w:w="443" w:type="pct"/>
            <w:gridSpan w:val="2"/>
            <w:tcBorders>
              <w:top w:val="nil"/>
              <w:left w:val="nil"/>
              <w:bottom w:val="nil"/>
              <w:right w:val="single" w:sz="4" w:space="0" w:color="auto"/>
            </w:tcBorders>
            <w:noWrap/>
            <w:vAlign w:val="center"/>
            <w:hideMark/>
          </w:tcPr>
          <w:p w14:paraId="0A8FADB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$553.0</w:t>
            </w:r>
          </w:p>
        </w:tc>
        <w:tc>
          <w:tcPr>
            <w:tcW w:w="443" w:type="pct"/>
            <w:tcBorders>
              <w:top w:val="nil"/>
              <w:left w:val="nil"/>
              <w:bottom w:val="nil"/>
              <w:right w:val="single" w:sz="4" w:space="0" w:color="auto"/>
            </w:tcBorders>
            <w:noWrap/>
            <w:vAlign w:val="center"/>
            <w:hideMark/>
          </w:tcPr>
          <w:p w14:paraId="4508368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3540734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9C6E85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ECD0710"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for a sum that is more than $100 000 but not more than $500 000</w:t>
            </w:r>
          </w:p>
        </w:tc>
        <w:tc>
          <w:tcPr>
            <w:tcW w:w="443" w:type="pct"/>
            <w:tcBorders>
              <w:top w:val="nil"/>
              <w:left w:val="single" w:sz="4" w:space="0" w:color="auto"/>
              <w:bottom w:val="nil"/>
              <w:right w:val="single" w:sz="4" w:space="0" w:color="auto"/>
            </w:tcBorders>
            <w:vAlign w:val="center"/>
            <w:hideMark/>
          </w:tcPr>
          <w:p w14:paraId="0A94AB0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$1,294.4</w:t>
            </w:r>
          </w:p>
        </w:tc>
        <w:tc>
          <w:tcPr>
            <w:tcW w:w="443" w:type="pct"/>
            <w:gridSpan w:val="2"/>
            <w:tcBorders>
              <w:top w:val="nil"/>
              <w:left w:val="nil"/>
              <w:bottom w:val="nil"/>
              <w:right w:val="single" w:sz="4" w:space="0" w:color="auto"/>
            </w:tcBorders>
            <w:noWrap/>
            <w:vAlign w:val="center"/>
            <w:hideMark/>
          </w:tcPr>
          <w:p w14:paraId="047230E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$906.1</w:t>
            </w:r>
          </w:p>
        </w:tc>
        <w:tc>
          <w:tcPr>
            <w:tcW w:w="443" w:type="pct"/>
            <w:tcBorders>
              <w:top w:val="nil"/>
              <w:left w:val="nil"/>
              <w:bottom w:val="nil"/>
              <w:right w:val="single" w:sz="4" w:space="0" w:color="auto"/>
            </w:tcBorders>
            <w:noWrap/>
            <w:vAlign w:val="center"/>
            <w:hideMark/>
          </w:tcPr>
          <w:p w14:paraId="2BCB672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76325FAB"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493EC5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9DDEB18"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(c) for a sum that is more than $500 000 but not more than $1 million</w:t>
            </w:r>
          </w:p>
        </w:tc>
        <w:tc>
          <w:tcPr>
            <w:tcW w:w="443" w:type="pct"/>
            <w:tcBorders>
              <w:top w:val="nil"/>
              <w:left w:val="single" w:sz="4" w:space="0" w:color="auto"/>
              <w:bottom w:val="nil"/>
              <w:right w:val="single" w:sz="4" w:space="0" w:color="auto"/>
            </w:tcBorders>
            <w:vAlign w:val="center"/>
            <w:hideMark/>
          </w:tcPr>
          <w:p w14:paraId="1190C16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$1,765.1</w:t>
            </w:r>
          </w:p>
        </w:tc>
        <w:tc>
          <w:tcPr>
            <w:tcW w:w="443" w:type="pct"/>
            <w:gridSpan w:val="2"/>
            <w:tcBorders>
              <w:top w:val="nil"/>
              <w:left w:val="nil"/>
              <w:bottom w:val="nil"/>
              <w:right w:val="single" w:sz="4" w:space="0" w:color="auto"/>
            </w:tcBorders>
            <w:noWrap/>
            <w:vAlign w:val="center"/>
            <w:hideMark/>
          </w:tcPr>
          <w:p w14:paraId="7957488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$1,235.5</w:t>
            </w:r>
          </w:p>
        </w:tc>
        <w:tc>
          <w:tcPr>
            <w:tcW w:w="443" w:type="pct"/>
            <w:tcBorders>
              <w:top w:val="nil"/>
              <w:left w:val="nil"/>
              <w:bottom w:val="nil"/>
              <w:right w:val="single" w:sz="4" w:space="0" w:color="auto"/>
            </w:tcBorders>
            <w:noWrap/>
            <w:vAlign w:val="center"/>
            <w:hideMark/>
          </w:tcPr>
          <w:p w14:paraId="248750C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7B46C8F6"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58D159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082F07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(d) for a sum that is more than $1 million but not more than $5 million</w:t>
            </w:r>
          </w:p>
        </w:tc>
        <w:tc>
          <w:tcPr>
            <w:tcW w:w="443" w:type="pct"/>
            <w:tcBorders>
              <w:top w:val="nil"/>
              <w:left w:val="single" w:sz="4" w:space="0" w:color="auto"/>
              <w:bottom w:val="nil"/>
              <w:right w:val="single" w:sz="4" w:space="0" w:color="auto"/>
            </w:tcBorders>
            <w:vAlign w:val="center"/>
            <w:hideMark/>
          </w:tcPr>
          <w:p w14:paraId="0A50DE0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$2,235.7</w:t>
            </w:r>
          </w:p>
        </w:tc>
        <w:tc>
          <w:tcPr>
            <w:tcW w:w="443" w:type="pct"/>
            <w:gridSpan w:val="2"/>
            <w:tcBorders>
              <w:top w:val="nil"/>
              <w:left w:val="nil"/>
              <w:bottom w:val="nil"/>
              <w:right w:val="single" w:sz="4" w:space="0" w:color="auto"/>
            </w:tcBorders>
            <w:noWrap/>
            <w:vAlign w:val="center"/>
            <w:hideMark/>
          </w:tcPr>
          <w:p w14:paraId="5B636F1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$1,565.0</w:t>
            </w:r>
          </w:p>
        </w:tc>
        <w:tc>
          <w:tcPr>
            <w:tcW w:w="443" w:type="pct"/>
            <w:tcBorders>
              <w:top w:val="nil"/>
              <w:left w:val="nil"/>
              <w:bottom w:val="nil"/>
              <w:right w:val="single" w:sz="4" w:space="0" w:color="auto"/>
            </w:tcBorders>
            <w:noWrap/>
            <w:vAlign w:val="center"/>
            <w:hideMark/>
          </w:tcPr>
          <w:p w14:paraId="10AA95F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0E294E5"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65988F1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8B61370"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(e) for a sum that is more than $5 million</w:t>
            </w:r>
          </w:p>
        </w:tc>
        <w:tc>
          <w:tcPr>
            <w:tcW w:w="443" w:type="pct"/>
            <w:tcBorders>
              <w:top w:val="nil"/>
              <w:left w:val="single" w:sz="4" w:space="0" w:color="auto"/>
              <w:bottom w:val="nil"/>
              <w:right w:val="single" w:sz="4" w:space="0" w:color="auto"/>
            </w:tcBorders>
            <w:vAlign w:val="center"/>
            <w:hideMark/>
          </w:tcPr>
          <w:p w14:paraId="6C147E5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$2,706.4</w:t>
            </w:r>
          </w:p>
        </w:tc>
        <w:tc>
          <w:tcPr>
            <w:tcW w:w="443" w:type="pct"/>
            <w:gridSpan w:val="2"/>
            <w:tcBorders>
              <w:top w:val="nil"/>
              <w:left w:val="nil"/>
              <w:bottom w:val="nil"/>
              <w:right w:val="single" w:sz="4" w:space="0" w:color="auto"/>
            </w:tcBorders>
            <w:noWrap/>
            <w:vAlign w:val="center"/>
            <w:hideMark/>
          </w:tcPr>
          <w:p w14:paraId="694084F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$1,894.5</w:t>
            </w:r>
          </w:p>
        </w:tc>
        <w:tc>
          <w:tcPr>
            <w:tcW w:w="443" w:type="pct"/>
            <w:tcBorders>
              <w:top w:val="nil"/>
              <w:left w:val="nil"/>
              <w:bottom w:val="nil"/>
              <w:right w:val="single" w:sz="4" w:space="0" w:color="auto"/>
            </w:tcBorders>
            <w:noWrap/>
            <w:vAlign w:val="center"/>
            <w:hideMark/>
          </w:tcPr>
          <w:p w14:paraId="6B3A913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2EFC4DAF" w14:textId="77777777" w:rsidTr="001761B8">
        <w:trPr>
          <w:trHeight w:val="460"/>
        </w:trPr>
        <w:tc>
          <w:tcPr>
            <w:tcW w:w="284" w:type="pct"/>
            <w:vMerge w:val="restart"/>
            <w:tcBorders>
              <w:top w:val="nil"/>
              <w:left w:val="single" w:sz="4" w:space="0" w:color="auto"/>
              <w:bottom w:val="single" w:sz="4" w:space="0" w:color="auto"/>
              <w:right w:val="nil"/>
            </w:tcBorders>
            <w:hideMark/>
          </w:tcPr>
          <w:p w14:paraId="4F76F6D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9</w:t>
            </w:r>
          </w:p>
        </w:tc>
        <w:tc>
          <w:tcPr>
            <w:tcW w:w="3385" w:type="pct"/>
            <w:gridSpan w:val="2"/>
            <w:tcBorders>
              <w:top w:val="single" w:sz="4" w:space="0" w:color="auto"/>
              <w:left w:val="single" w:sz="4" w:space="0" w:color="auto"/>
              <w:bottom w:val="nil"/>
              <w:right w:val="single" w:sz="4" w:space="0" w:color="auto"/>
            </w:tcBorders>
            <w:vAlign w:val="center"/>
            <w:hideMark/>
          </w:tcPr>
          <w:p w14:paraId="21E7CA21"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xml:space="preserve">For the commencement of a proceeding under the </w:t>
            </w:r>
            <w:r w:rsidRPr="00001083">
              <w:rPr>
                <w:rFonts w:ascii="Arial" w:hAnsi="Arial" w:cs="Arial"/>
                <w:b/>
                <w:bCs/>
                <w:color w:val="000000"/>
                <w:sz w:val="18"/>
                <w:szCs w:val="18"/>
                <w:lang w:eastAsia="ko-KR"/>
              </w:rPr>
              <w:t>Owners Corporations Act 2006</w:t>
            </w:r>
            <w:r w:rsidRPr="00001083">
              <w:rPr>
                <w:rFonts w:ascii="Arial" w:hAnsi="Arial" w:cs="Arial"/>
                <w:color w:val="000000"/>
                <w:sz w:val="18"/>
                <w:szCs w:val="18"/>
                <w:lang w:eastAsia="ko-KR"/>
              </w:rPr>
              <w:t>, except section 191, if the claim is—</w:t>
            </w:r>
          </w:p>
        </w:tc>
        <w:tc>
          <w:tcPr>
            <w:tcW w:w="443" w:type="pct"/>
            <w:tcBorders>
              <w:top w:val="single" w:sz="4" w:space="0" w:color="auto"/>
              <w:left w:val="nil"/>
              <w:bottom w:val="nil"/>
              <w:right w:val="single" w:sz="4" w:space="0" w:color="auto"/>
            </w:tcBorders>
            <w:vAlign w:val="center"/>
            <w:hideMark/>
          </w:tcPr>
          <w:p w14:paraId="544226C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08D6BBD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30F12A9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7E0B8093"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203CF01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CD38110"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 not for a sum, or is for a sum that is specified, but is not more than $3000</w:t>
            </w:r>
          </w:p>
        </w:tc>
        <w:tc>
          <w:tcPr>
            <w:tcW w:w="443" w:type="pct"/>
            <w:tcBorders>
              <w:top w:val="nil"/>
              <w:left w:val="single" w:sz="4" w:space="0" w:color="auto"/>
              <w:bottom w:val="nil"/>
              <w:right w:val="single" w:sz="4" w:space="0" w:color="auto"/>
            </w:tcBorders>
            <w:vAlign w:val="center"/>
            <w:hideMark/>
          </w:tcPr>
          <w:p w14:paraId="390B336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$105.9</w:t>
            </w:r>
          </w:p>
        </w:tc>
        <w:tc>
          <w:tcPr>
            <w:tcW w:w="443" w:type="pct"/>
            <w:gridSpan w:val="2"/>
            <w:tcBorders>
              <w:top w:val="nil"/>
              <w:left w:val="nil"/>
              <w:bottom w:val="nil"/>
              <w:right w:val="single" w:sz="4" w:space="0" w:color="auto"/>
            </w:tcBorders>
            <w:noWrap/>
            <w:vAlign w:val="center"/>
            <w:hideMark/>
          </w:tcPr>
          <w:p w14:paraId="7DC0DD0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$74.1</w:t>
            </w:r>
          </w:p>
        </w:tc>
        <w:tc>
          <w:tcPr>
            <w:tcW w:w="443" w:type="pct"/>
            <w:tcBorders>
              <w:top w:val="nil"/>
              <w:left w:val="nil"/>
              <w:bottom w:val="nil"/>
              <w:right w:val="single" w:sz="4" w:space="0" w:color="auto"/>
            </w:tcBorders>
            <w:noWrap/>
            <w:vAlign w:val="center"/>
            <w:hideMark/>
          </w:tcPr>
          <w:p w14:paraId="6AEC15C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$37.1</w:t>
            </w:r>
          </w:p>
        </w:tc>
      </w:tr>
      <w:tr w:rsidR="00001083" w:rsidRPr="00001083" w14:paraId="681A252C"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A50842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DEADD02"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for a sum that is more than $3000 but not more than $15 000</w:t>
            </w:r>
          </w:p>
        </w:tc>
        <w:tc>
          <w:tcPr>
            <w:tcW w:w="443" w:type="pct"/>
            <w:tcBorders>
              <w:top w:val="nil"/>
              <w:left w:val="single" w:sz="4" w:space="0" w:color="auto"/>
              <w:bottom w:val="nil"/>
              <w:right w:val="single" w:sz="4" w:space="0" w:color="auto"/>
            </w:tcBorders>
            <w:vAlign w:val="center"/>
            <w:hideMark/>
          </w:tcPr>
          <w:p w14:paraId="562D4D7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$353.0</w:t>
            </w:r>
          </w:p>
        </w:tc>
        <w:tc>
          <w:tcPr>
            <w:tcW w:w="443" w:type="pct"/>
            <w:gridSpan w:val="2"/>
            <w:tcBorders>
              <w:top w:val="nil"/>
              <w:left w:val="nil"/>
              <w:bottom w:val="nil"/>
              <w:right w:val="single" w:sz="4" w:space="0" w:color="auto"/>
            </w:tcBorders>
            <w:noWrap/>
            <w:vAlign w:val="center"/>
            <w:hideMark/>
          </w:tcPr>
          <w:p w14:paraId="2301FA3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$247.1</w:t>
            </w:r>
          </w:p>
        </w:tc>
        <w:tc>
          <w:tcPr>
            <w:tcW w:w="443" w:type="pct"/>
            <w:tcBorders>
              <w:top w:val="nil"/>
              <w:left w:val="nil"/>
              <w:bottom w:val="nil"/>
              <w:right w:val="single" w:sz="4" w:space="0" w:color="auto"/>
            </w:tcBorders>
            <w:noWrap/>
            <w:vAlign w:val="center"/>
            <w:hideMark/>
          </w:tcPr>
          <w:p w14:paraId="1DE7FE7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$123.6</w:t>
            </w:r>
          </w:p>
        </w:tc>
      </w:tr>
      <w:tr w:rsidR="00001083" w:rsidRPr="00001083" w14:paraId="1E6B4DF3" w14:textId="77777777" w:rsidTr="001761B8">
        <w:trPr>
          <w:trHeight w:val="493"/>
        </w:trPr>
        <w:tc>
          <w:tcPr>
            <w:tcW w:w="284" w:type="pct"/>
            <w:vMerge/>
            <w:tcBorders>
              <w:top w:val="nil"/>
              <w:left w:val="single" w:sz="4" w:space="0" w:color="auto"/>
              <w:bottom w:val="single" w:sz="4" w:space="0" w:color="auto"/>
              <w:right w:val="nil"/>
            </w:tcBorders>
            <w:vAlign w:val="center"/>
            <w:hideMark/>
          </w:tcPr>
          <w:p w14:paraId="4E10F22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B27CFCF"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(c) for a sum that is not specified or for a sum that is more than $15 000 but not more than $100 000</w:t>
            </w:r>
          </w:p>
        </w:tc>
        <w:tc>
          <w:tcPr>
            <w:tcW w:w="443" w:type="pct"/>
            <w:tcBorders>
              <w:top w:val="nil"/>
              <w:left w:val="single" w:sz="4" w:space="0" w:color="auto"/>
              <w:bottom w:val="nil"/>
              <w:right w:val="single" w:sz="4" w:space="0" w:color="auto"/>
            </w:tcBorders>
            <w:vAlign w:val="center"/>
            <w:hideMark/>
          </w:tcPr>
          <w:p w14:paraId="415C372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$790.1</w:t>
            </w:r>
          </w:p>
        </w:tc>
        <w:tc>
          <w:tcPr>
            <w:tcW w:w="443" w:type="pct"/>
            <w:gridSpan w:val="2"/>
            <w:tcBorders>
              <w:top w:val="nil"/>
              <w:left w:val="nil"/>
              <w:bottom w:val="nil"/>
              <w:right w:val="single" w:sz="4" w:space="0" w:color="auto"/>
            </w:tcBorders>
            <w:noWrap/>
            <w:vAlign w:val="center"/>
            <w:hideMark/>
          </w:tcPr>
          <w:p w14:paraId="09BBBB7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$553.0</w:t>
            </w:r>
          </w:p>
        </w:tc>
        <w:tc>
          <w:tcPr>
            <w:tcW w:w="443" w:type="pct"/>
            <w:tcBorders>
              <w:top w:val="nil"/>
              <w:left w:val="nil"/>
              <w:bottom w:val="nil"/>
              <w:right w:val="single" w:sz="4" w:space="0" w:color="auto"/>
            </w:tcBorders>
            <w:noWrap/>
            <w:vAlign w:val="center"/>
            <w:hideMark/>
          </w:tcPr>
          <w:p w14:paraId="0212985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45384C4"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159A1EE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54A124B1"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(d) for a sum that is more than $100 000 but not more than $500 000</w:t>
            </w:r>
          </w:p>
        </w:tc>
        <w:tc>
          <w:tcPr>
            <w:tcW w:w="443" w:type="pct"/>
            <w:tcBorders>
              <w:top w:val="nil"/>
              <w:left w:val="single" w:sz="4" w:space="0" w:color="auto"/>
              <w:bottom w:val="nil"/>
              <w:right w:val="single" w:sz="4" w:space="0" w:color="auto"/>
            </w:tcBorders>
            <w:vAlign w:val="center"/>
            <w:hideMark/>
          </w:tcPr>
          <w:p w14:paraId="450975C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$1,294.4</w:t>
            </w:r>
          </w:p>
        </w:tc>
        <w:tc>
          <w:tcPr>
            <w:tcW w:w="443" w:type="pct"/>
            <w:gridSpan w:val="2"/>
            <w:tcBorders>
              <w:top w:val="nil"/>
              <w:left w:val="nil"/>
              <w:bottom w:val="nil"/>
              <w:right w:val="single" w:sz="4" w:space="0" w:color="auto"/>
            </w:tcBorders>
            <w:noWrap/>
            <w:vAlign w:val="center"/>
            <w:hideMark/>
          </w:tcPr>
          <w:p w14:paraId="16F897E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$906.1</w:t>
            </w:r>
          </w:p>
        </w:tc>
        <w:tc>
          <w:tcPr>
            <w:tcW w:w="443" w:type="pct"/>
            <w:tcBorders>
              <w:top w:val="nil"/>
              <w:left w:val="nil"/>
              <w:bottom w:val="nil"/>
              <w:right w:val="single" w:sz="4" w:space="0" w:color="auto"/>
            </w:tcBorders>
            <w:noWrap/>
            <w:vAlign w:val="center"/>
            <w:hideMark/>
          </w:tcPr>
          <w:p w14:paraId="59E86AB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3220FCB7"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3191E35"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5A8AA47"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(e) for a sum that is more than $500 000 but not more than $1 million</w:t>
            </w:r>
          </w:p>
        </w:tc>
        <w:tc>
          <w:tcPr>
            <w:tcW w:w="443" w:type="pct"/>
            <w:tcBorders>
              <w:top w:val="nil"/>
              <w:left w:val="single" w:sz="4" w:space="0" w:color="auto"/>
              <w:bottom w:val="nil"/>
              <w:right w:val="single" w:sz="4" w:space="0" w:color="auto"/>
            </w:tcBorders>
            <w:vAlign w:val="center"/>
            <w:hideMark/>
          </w:tcPr>
          <w:p w14:paraId="3299232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$1,765.1</w:t>
            </w:r>
          </w:p>
        </w:tc>
        <w:tc>
          <w:tcPr>
            <w:tcW w:w="443" w:type="pct"/>
            <w:gridSpan w:val="2"/>
            <w:tcBorders>
              <w:top w:val="nil"/>
              <w:left w:val="nil"/>
              <w:bottom w:val="nil"/>
              <w:right w:val="single" w:sz="4" w:space="0" w:color="auto"/>
            </w:tcBorders>
            <w:noWrap/>
            <w:vAlign w:val="center"/>
            <w:hideMark/>
          </w:tcPr>
          <w:p w14:paraId="37E6ACA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$1,235.5</w:t>
            </w:r>
          </w:p>
        </w:tc>
        <w:tc>
          <w:tcPr>
            <w:tcW w:w="443" w:type="pct"/>
            <w:tcBorders>
              <w:top w:val="nil"/>
              <w:left w:val="nil"/>
              <w:bottom w:val="nil"/>
              <w:right w:val="single" w:sz="4" w:space="0" w:color="auto"/>
            </w:tcBorders>
            <w:noWrap/>
            <w:vAlign w:val="center"/>
            <w:hideMark/>
          </w:tcPr>
          <w:p w14:paraId="277AEE9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2DED121F"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368BBFB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A478589"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(f) for a sum that is more than $1 million but not more than $5 million</w:t>
            </w:r>
          </w:p>
        </w:tc>
        <w:tc>
          <w:tcPr>
            <w:tcW w:w="443" w:type="pct"/>
            <w:tcBorders>
              <w:top w:val="nil"/>
              <w:left w:val="single" w:sz="4" w:space="0" w:color="auto"/>
              <w:bottom w:val="nil"/>
              <w:right w:val="single" w:sz="4" w:space="0" w:color="auto"/>
            </w:tcBorders>
            <w:vAlign w:val="center"/>
            <w:hideMark/>
          </w:tcPr>
          <w:p w14:paraId="14DAA46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$2,235.7</w:t>
            </w:r>
          </w:p>
        </w:tc>
        <w:tc>
          <w:tcPr>
            <w:tcW w:w="443" w:type="pct"/>
            <w:gridSpan w:val="2"/>
            <w:tcBorders>
              <w:top w:val="nil"/>
              <w:left w:val="nil"/>
              <w:bottom w:val="nil"/>
              <w:right w:val="single" w:sz="4" w:space="0" w:color="auto"/>
            </w:tcBorders>
            <w:noWrap/>
            <w:vAlign w:val="center"/>
            <w:hideMark/>
          </w:tcPr>
          <w:p w14:paraId="22E0B4E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$1,565.0</w:t>
            </w:r>
          </w:p>
        </w:tc>
        <w:tc>
          <w:tcPr>
            <w:tcW w:w="443" w:type="pct"/>
            <w:tcBorders>
              <w:top w:val="nil"/>
              <w:left w:val="nil"/>
              <w:bottom w:val="nil"/>
              <w:right w:val="single" w:sz="4" w:space="0" w:color="auto"/>
            </w:tcBorders>
            <w:noWrap/>
            <w:vAlign w:val="center"/>
            <w:hideMark/>
          </w:tcPr>
          <w:p w14:paraId="21895E2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77866884" w14:textId="77777777" w:rsidTr="009B659C">
        <w:trPr>
          <w:trHeight w:val="850"/>
        </w:trPr>
        <w:tc>
          <w:tcPr>
            <w:tcW w:w="284" w:type="pct"/>
            <w:vMerge/>
            <w:tcBorders>
              <w:top w:val="nil"/>
              <w:left w:val="single" w:sz="4" w:space="0" w:color="auto"/>
              <w:bottom w:val="single" w:sz="4" w:space="0" w:color="auto"/>
              <w:right w:val="nil"/>
            </w:tcBorders>
            <w:vAlign w:val="center"/>
            <w:hideMark/>
          </w:tcPr>
          <w:p w14:paraId="7ADD0BF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D203735"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(g) for a sum that is more than $5 million</w:t>
            </w:r>
          </w:p>
        </w:tc>
        <w:tc>
          <w:tcPr>
            <w:tcW w:w="443" w:type="pct"/>
            <w:tcBorders>
              <w:top w:val="nil"/>
              <w:left w:val="single" w:sz="4" w:space="0" w:color="auto"/>
              <w:bottom w:val="single" w:sz="4" w:space="0" w:color="auto"/>
              <w:right w:val="single" w:sz="4" w:space="0" w:color="auto"/>
            </w:tcBorders>
            <w:vAlign w:val="center"/>
            <w:hideMark/>
          </w:tcPr>
          <w:p w14:paraId="27F29C2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$2,706.4</w:t>
            </w:r>
          </w:p>
        </w:tc>
        <w:tc>
          <w:tcPr>
            <w:tcW w:w="443" w:type="pct"/>
            <w:gridSpan w:val="2"/>
            <w:tcBorders>
              <w:top w:val="nil"/>
              <w:left w:val="nil"/>
              <w:bottom w:val="nil"/>
              <w:right w:val="single" w:sz="4" w:space="0" w:color="auto"/>
            </w:tcBorders>
            <w:noWrap/>
            <w:vAlign w:val="center"/>
            <w:hideMark/>
          </w:tcPr>
          <w:p w14:paraId="215CA0D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$1,894.5</w:t>
            </w:r>
          </w:p>
        </w:tc>
        <w:tc>
          <w:tcPr>
            <w:tcW w:w="443" w:type="pct"/>
            <w:tcBorders>
              <w:top w:val="nil"/>
              <w:left w:val="nil"/>
              <w:bottom w:val="nil"/>
              <w:right w:val="single" w:sz="4" w:space="0" w:color="auto"/>
            </w:tcBorders>
            <w:noWrap/>
            <w:vAlign w:val="center"/>
            <w:hideMark/>
          </w:tcPr>
          <w:p w14:paraId="79922AF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9B395A0" w14:textId="77777777" w:rsidTr="001761B8">
        <w:trPr>
          <w:trHeight w:val="460"/>
        </w:trPr>
        <w:tc>
          <w:tcPr>
            <w:tcW w:w="284" w:type="pct"/>
            <w:vMerge w:val="restart"/>
            <w:tcBorders>
              <w:top w:val="single" w:sz="4" w:space="0" w:color="auto"/>
              <w:left w:val="single" w:sz="4" w:space="0" w:color="auto"/>
              <w:right w:val="nil"/>
            </w:tcBorders>
            <w:hideMark/>
          </w:tcPr>
          <w:p w14:paraId="7A6491A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lastRenderedPageBreak/>
              <w:t>10</w:t>
            </w:r>
          </w:p>
        </w:tc>
        <w:tc>
          <w:tcPr>
            <w:tcW w:w="3385" w:type="pct"/>
            <w:gridSpan w:val="2"/>
            <w:tcBorders>
              <w:top w:val="single" w:sz="4" w:space="0" w:color="auto"/>
              <w:left w:val="single" w:sz="4" w:space="0" w:color="auto"/>
              <w:bottom w:val="nil"/>
              <w:right w:val="single" w:sz="4" w:space="0" w:color="auto"/>
            </w:tcBorders>
            <w:vAlign w:val="center"/>
            <w:hideMark/>
          </w:tcPr>
          <w:p w14:paraId="7F349DB0"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xml:space="preserve">For the commencement of a proceeding under section 77 or 79 of the </w:t>
            </w:r>
            <w:r w:rsidRPr="00001083">
              <w:rPr>
                <w:rFonts w:ascii="Arial" w:hAnsi="Arial" w:cs="Arial"/>
                <w:b/>
                <w:bCs/>
                <w:color w:val="000000"/>
                <w:sz w:val="18"/>
                <w:szCs w:val="18"/>
                <w:lang w:eastAsia="ko-KR"/>
              </w:rPr>
              <w:t>Planning and Environment Act 1987</w:t>
            </w:r>
            <w:r w:rsidRPr="00001083">
              <w:rPr>
                <w:rFonts w:ascii="Arial" w:hAnsi="Arial" w:cs="Arial"/>
                <w:color w:val="000000"/>
                <w:sz w:val="18"/>
                <w:szCs w:val="18"/>
                <w:lang w:eastAsia="ko-KR"/>
              </w:rPr>
              <w:t xml:space="preserve"> if the proceeding is not a major case and relates to—</w:t>
            </w:r>
          </w:p>
        </w:tc>
        <w:tc>
          <w:tcPr>
            <w:tcW w:w="443" w:type="pct"/>
            <w:tcBorders>
              <w:top w:val="single" w:sz="4" w:space="0" w:color="auto"/>
              <w:left w:val="nil"/>
              <w:bottom w:val="nil"/>
              <w:right w:val="single" w:sz="4" w:space="0" w:color="auto"/>
            </w:tcBorders>
            <w:vAlign w:val="center"/>
            <w:hideMark/>
          </w:tcPr>
          <w:p w14:paraId="20926A0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2BFADA4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519484B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2E3F86C2" w14:textId="77777777" w:rsidTr="001761B8">
        <w:trPr>
          <w:trHeight w:val="290"/>
        </w:trPr>
        <w:tc>
          <w:tcPr>
            <w:tcW w:w="284" w:type="pct"/>
            <w:vMerge/>
            <w:tcBorders>
              <w:top w:val="single" w:sz="4" w:space="0" w:color="auto"/>
              <w:left w:val="single" w:sz="4" w:space="0" w:color="auto"/>
              <w:right w:val="nil"/>
            </w:tcBorders>
            <w:vAlign w:val="center"/>
            <w:hideMark/>
          </w:tcPr>
          <w:p w14:paraId="098009B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001B595"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 a VicSmart proceeding or a development that is solely a single dwelling</w:t>
            </w:r>
          </w:p>
        </w:tc>
        <w:tc>
          <w:tcPr>
            <w:tcW w:w="443" w:type="pct"/>
            <w:tcBorders>
              <w:top w:val="nil"/>
              <w:left w:val="single" w:sz="4" w:space="0" w:color="auto"/>
              <w:bottom w:val="nil"/>
              <w:right w:val="single" w:sz="4" w:space="0" w:color="auto"/>
            </w:tcBorders>
            <w:vAlign w:val="center"/>
            <w:hideMark/>
          </w:tcPr>
          <w:p w14:paraId="2C9FD18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$1,412.0</w:t>
            </w:r>
          </w:p>
        </w:tc>
        <w:tc>
          <w:tcPr>
            <w:tcW w:w="443" w:type="pct"/>
            <w:gridSpan w:val="2"/>
            <w:tcBorders>
              <w:top w:val="nil"/>
              <w:left w:val="nil"/>
              <w:bottom w:val="nil"/>
              <w:right w:val="single" w:sz="4" w:space="0" w:color="auto"/>
            </w:tcBorders>
            <w:noWrap/>
            <w:vAlign w:val="center"/>
            <w:hideMark/>
          </w:tcPr>
          <w:p w14:paraId="0A35C49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$988.4</w:t>
            </w:r>
          </w:p>
        </w:tc>
        <w:tc>
          <w:tcPr>
            <w:tcW w:w="443" w:type="pct"/>
            <w:tcBorders>
              <w:top w:val="nil"/>
              <w:left w:val="nil"/>
              <w:bottom w:val="nil"/>
              <w:right w:val="single" w:sz="4" w:space="0" w:color="auto"/>
            </w:tcBorders>
            <w:noWrap/>
            <w:vAlign w:val="center"/>
            <w:hideMark/>
          </w:tcPr>
          <w:p w14:paraId="4BC3B69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18545CF0" w14:textId="77777777" w:rsidTr="001761B8">
        <w:trPr>
          <w:trHeight w:val="290"/>
        </w:trPr>
        <w:tc>
          <w:tcPr>
            <w:tcW w:w="284" w:type="pct"/>
            <w:vMerge/>
            <w:tcBorders>
              <w:top w:val="single" w:sz="4" w:space="0" w:color="auto"/>
              <w:left w:val="single" w:sz="4" w:space="0" w:color="auto"/>
              <w:right w:val="nil"/>
            </w:tcBorders>
            <w:vAlign w:val="center"/>
            <w:hideMark/>
          </w:tcPr>
          <w:p w14:paraId="56218F2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607D9A5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a development of a kind not referred to in paragraph (a) having an estimated cost of—</w:t>
            </w:r>
          </w:p>
        </w:tc>
        <w:tc>
          <w:tcPr>
            <w:tcW w:w="443" w:type="pct"/>
            <w:tcBorders>
              <w:top w:val="nil"/>
              <w:left w:val="single" w:sz="4" w:space="0" w:color="auto"/>
              <w:bottom w:val="nil"/>
              <w:right w:val="single" w:sz="4" w:space="0" w:color="auto"/>
            </w:tcBorders>
            <w:vAlign w:val="center"/>
            <w:hideMark/>
          </w:tcPr>
          <w:p w14:paraId="4D97E1C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56BCD8F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25DC87D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5FCDCFFC" w14:textId="77777777" w:rsidTr="001761B8">
        <w:trPr>
          <w:trHeight w:val="290"/>
        </w:trPr>
        <w:tc>
          <w:tcPr>
            <w:tcW w:w="284" w:type="pct"/>
            <w:vMerge/>
            <w:tcBorders>
              <w:top w:val="single" w:sz="4" w:space="0" w:color="auto"/>
              <w:left w:val="single" w:sz="4" w:space="0" w:color="auto"/>
              <w:right w:val="nil"/>
            </w:tcBorders>
            <w:vAlign w:val="center"/>
            <w:hideMark/>
          </w:tcPr>
          <w:p w14:paraId="777E132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AB12F82"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 nil</w:t>
            </w:r>
          </w:p>
        </w:tc>
        <w:tc>
          <w:tcPr>
            <w:tcW w:w="443" w:type="pct"/>
            <w:tcBorders>
              <w:top w:val="nil"/>
              <w:left w:val="single" w:sz="4" w:space="0" w:color="auto"/>
              <w:bottom w:val="nil"/>
              <w:right w:val="single" w:sz="4" w:space="0" w:color="auto"/>
            </w:tcBorders>
            <w:vAlign w:val="center"/>
            <w:hideMark/>
          </w:tcPr>
          <w:p w14:paraId="3A78699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$1,865.9</w:t>
            </w:r>
          </w:p>
        </w:tc>
        <w:tc>
          <w:tcPr>
            <w:tcW w:w="443" w:type="pct"/>
            <w:gridSpan w:val="2"/>
            <w:tcBorders>
              <w:top w:val="nil"/>
              <w:left w:val="nil"/>
              <w:bottom w:val="nil"/>
              <w:right w:val="single" w:sz="4" w:space="0" w:color="auto"/>
            </w:tcBorders>
            <w:noWrap/>
            <w:vAlign w:val="center"/>
            <w:hideMark/>
          </w:tcPr>
          <w:p w14:paraId="3876A34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$1,306.1</w:t>
            </w:r>
          </w:p>
        </w:tc>
        <w:tc>
          <w:tcPr>
            <w:tcW w:w="443" w:type="pct"/>
            <w:tcBorders>
              <w:top w:val="nil"/>
              <w:left w:val="nil"/>
              <w:bottom w:val="nil"/>
              <w:right w:val="single" w:sz="4" w:space="0" w:color="auto"/>
            </w:tcBorders>
            <w:noWrap/>
            <w:vAlign w:val="center"/>
            <w:hideMark/>
          </w:tcPr>
          <w:p w14:paraId="3A62150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5AF896B5" w14:textId="77777777" w:rsidTr="001761B8">
        <w:trPr>
          <w:trHeight w:val="290"/>
        </w:trPr>
        <w:tc>
          <w:tcPr>
            <w:tcW w:w="284" w:type="pct"/>
            <w:vMerge/>
            <w:tcBorders>
              <w:top w:val="single" w:sz="4" w:space="0" w:color="auto"/>
              <w:left w:val="single" w:sz="4" w:space="0" w:color="auto"/>
              <w:right w:val="nil"/>
            </w:tcBorders>
            <w:vAlign w:val="center"/>
            <w:hideMark/>
          </w:tcPr>
          <w:p w14:paraId="75B0EEF4"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FCC02E0"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(ii) more than nil but is not more than $1 million</w:t>
            </w:r>
          </w:p>
        </w:tc>
        <w:tc>
          <w:tcPr>
            <w:tcW w:w="443" w:type="pct"/>
            <w:tcBorders>
              <w:top w:val="nil"/>
              <w:left w:val="single" w:sz="4" w:space="0" w:color="auto"/>
              <w:bottom w:val="nil"/>
              <w:right w:val="single" w:sz="4" w:space="0" w:color="auto"/>
            </w:tcBorders>
            <w:vAlign w:val="center"/>
            <w:hideMark/>
          </w:tcPr>
          <w:p w14:paraId="7097052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$1,580.1</w:t>
            </w:r>
          </w:p>
        </w:tc>
        <w:tc>
          <w:tcPr>
            <w:tcW w:w="443" w:type="pct"/>
            <w:gridSpan w:val="2"/>
            <w:tcBorders>
              <w:top w:val="nil"/>
              <w:left w:val="nil"/>
              <w:bottom w:val="nil"/>
              <w:right w:val="single" w:sz="4" w:space="0" w:color="auto"/>
            </w:tcBorders>
            <w:noWrap/>
            <w:vAlign w:val="center"/>
            <w:hideMark/>
          </w:tcPr>
          <w:p w14:paraId="6CAD380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$1,106.1</w:t>
            </w:r>
          </w:p>
        </w:tc>
        <w:tc>
          <w:tcPr>
            <w:tcW w:w="443" w:type="pct"/>
            <w:tcBorders>
              <w:top w:val="nil"/>
              <w:left w:val="nil"/>
              <w:bottom w:val="nil"/>
              <w:right w:val="single" w:sz="4" w:space="0" w:color="auto"/>
            </w:tcBorders>
            <w:noWrap/>
            <w:vAlign w:val="center"/>
            <w:hideMark/>
          </w:tcPr>
          <w:p w14:paraId="4C4A570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55E46ED" w14:textId="77777777" w:rsidTr="001761B8">
        <w:trPr>
          <w:trHeight w:val="290"/>
        </w:trPr>
        <w:tc>
          <w:tcPr>
            <w:tcW w:w="284" w:type="pct"/>
            <w:vMerge/>
            <w:tcBorders>
              <w:top w:val="single" w:sz="4" w:space="0" w:color="auto"/>
              <w:left w:val="single" w:sz="4" w:space="0" w:color="auto"/>
              <w:right w:val="nil"/>
            </w:tcBorders>
            <w:vAlign w:val="center"/>
            <w:hideMark/>
          </w:tcPr>
          <w:p w14:paraId="0DBA735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4E6FB43"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(iii) more than $1 million but is not more than $5 million</w:t>
            </w:r>
          </w:p>
        </w:tc>
        <w:tc>
          <w:tcPr>
            <w:tcW w:w="443" w:type="pct"/>
            <w:tcBorders>
              <w:top w:val="nil"/>
              <w:left w:val="single" w:sz="4" w:space="0" w:color="auto"/>
              <w:bottom w:val="nil"/>
              <w:right w:val="single" w:sz="4" w:space="0" w:color="auto"/>
            </w:tcBorders>
            <w:vAlign w:val="center"/>
            <w:hideMark/>
          </w:tcPr>
          <w:p w14:paraId="6C42177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$1,865.9</w:t>
            </w:r>
          </w:p>
        </w:tc>
        <w:tc>
          <w:tcPr>
            <w:tcW w:w="443" w:type="pct"/>
            <w:gridSpan w:val="2"/>
            <w:tcBorders>
              <w:top w:val="nil"/>
              <w:left w:val="nil"/>
              <w:bottom w:val="nil"/>
              <w:right w:val="single" w:sz="4" w:space="0" w:color="auto"/>
            </w:tcBorders>
            <w:noWrap/>
            <w:vAlign w:val="center"/>
            <w:hideMark/>
          </w:tcPr>
          <w:p w14:paraId="3E8A760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$1,306.1</w:t>
            </w:r>
          </w:p>
        </w:tc>
        <w:tc>
          <w:tcPr>
            <w:tcW w:w="443" w:type="pct"/>
            <w:tcBorders>
              <w:top w:val="nil"/>
              <w:left w:val="nil"/>
              <w:bottom w:val="nil"/>
              <w:right w:val="single" w:sz="4" w:space="0" w:color="auto"/>
            </w:tcBorders>
            <w:noWrap/>
            <w:vAlign w:val="center"/>
            <w:hideMark/>
          </w:tcPr>
          <w:p w14:paraId="60DE25D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6E887FEB" w14:textId="77777777" w:rsidTr="001761B8">
        <w:trPr>
          <w:trHeight w:val="290"/>
        </w:trPr>
        <w:tc>
          <w:tcPr>
            <w:tcW w:w="284" w:type="pct"/>
            <w:vMerge/>
            <w:tcBorders>
              <w:top w:val="single" w:sz="4" w:space="0" w:color="auto"/>
              <w:left w:val="single" w:sz="4" w:space="0" w:color="auto"/>
              <w:right w:val="nil"/>
            </w:tcBorders>
            <w:vAlign w:val="center"/>
            <w:hideMark/>
          </w:tcPr>
          <w:p w14:paraId="4CD3D72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5F2B475"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(iv) more than $5 million but is not more than $15 million</w:t>
            </w:r>
          </w:p>
        </w:tc>
        <w:tc>
          <w:tcPr>
            <w:tcW w:w="443" w:type="pct"/>
            <w:tcBorders>
              <w:top w:val="nil"/>
              <w:left w:val="single" w:sz="4" w:space="0" w:color="auto"/>
              <w:bottom w:val="nil"/>
              <w:right w:val="single" w:sz="4" w:space="0" w:color="auto"/>
            </w:tcBorders>
            <w:vAlign w:val="center"/>
            <w:hideMark/>
          </w:tcPr>
          <w:p w14:paraId="7B01E7E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$2,336.6</w:t>
            </w:r>
          </w:p>
        </w:tc>
        <w:tc>
          <w:tcPr>
            <w:tcW w:w="443" w:type="pct"/>
            <w:gridSpan w:val="2"/>
            <w:tcBorders>
              <w:top w:val="nil"/>
              <w:left w:val="nil"/>
              <w:bottom w:val="nil"/>
              <w:right w:val="single" w:sz="4" w:space="0" w:color="auto"/>
            </w:tcBorders>
            <w:noWrap/>
            <w:vAlign w:val="center"/>
            <w:hideMark/>
          </w:tcPr>
          <w:p w14:paraId="132AB5C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$1,635.6</w:t>
            </w:r>
          </w:p>
        </w:tc>
        <w:tc>
          <w:tcPr>
            <w:tcW w:w="443" w:type="pct"/>
            <w:tcBorders>
              <w:top w:val="nil"/>
              <w:left w:val="nil"/>
              <w:bottom w:val="nil"/>
              <w:right w:val="single" w:sz="4" w:space="0" w:color="auto"/>
            </w:tcBorders>
            <w:noWrap/>
            <w:vAlign w:val="center"/>
            <w:hideMark/>
          </w:tcPr>
          <w:p w14:paraId="688C6EE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563E8C97" w14:textId="77777777" w:rsidTr="001761B8">
        <w:trPr>
          <w:trHeight w:val="290"/>
        </w:trPr>
        <w:tc>
          <w:tcPr>
            <w:tcW w:w="284" w:type="pct"/>
            <w:vMerge/>
            <w:tcBorders>
              <w:top w:val="single" w:sz="4" w:space="0" w:color="auto"/>
              <w:left w:val="single" w:sz="4" w:space="0" w:color="auto"/>
              <w:right w:val="nil"/>
            </w:tcBorders>
            <w:vAlign w:val="center"/>
            <w:hideMark/>
          </w:tcPr>
          <w:p w14:paraId="05A043F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05B7234"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(v) more than $15 million but is not more than $50 million</w:t>
            </w:r>
          </w:p>
        </w:tc>
        <w:tc>
          <w:tcPr>
            <w:tcW w:w="443" w:type="pct"/>
            <w:tcBorders>
              <w:top w:val="nil"/>
              <w:left w:val="single" w:sz="4" w:space="0" w:color="auto"/>
              <w:bottom w:val="nil"/>
              <w:right w:val="single" w:sz="4" w:space="0" w:color="auto"/>
            </w:tcBorders>
            <w:vAlign w:val="center"/>
            <w:hideMark/>
          </w:tcPr>
          <w:p w14:paraId="7F39262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$2,807.3</w:t>
            </w:r>
          </w:p>
        </w:tc>
        <w:tc>
          <w:tcPr>
            <w:tcW w:w="443" w:type="pct"/>
            <w:gridSpan w:val="2"/>
            <w:tcBorders>
              <w:top w:val="nil"/>
              <w:left w:val="nil"/>
              <w:bottom w:val="nil"/>
              <w:right w:val="single" w:sz="4" w:space="0" w:color="auto"/>
            </w:tcBorders>
            <w:noWrap/>
            <w:vAlign w:val="center"/>
            <w:hideMark/>
          </w:tcPr>
          <w:p w14:paraId="4E7AA52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$1,965.1</w:t>
            </w:r>
          </w:p>
        </w:tc>
        <w:tc>
          <w:tcPr>
            <w:tcW w:w="443" w:type="pct"/>
            <w:tcBorders>
              <w:top w:val="nil"/>
              <w:left w:val="nil"/>
              <w:bottom w:val="nil"/>
              <w:right w:val="single" w:sz="4" w:space="0" w:color="auto"/>
            </w:tcBorders>
            <w:noWrap/>
            <w:vAlign w:val="center"/>
            <w:hideMark/>
          </w:tcPr>
          <w:p w14:paraId="521DA48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21CF3BB7" w14:textId="77777777" w:rsidTr="001761B8">
        <w:trPr>
          <w:trHeight w:val="290"/>
        </w:trPr>
        <w:tc>
          <w:tcPr>
            <w:tcW w:w="284" w:type="pct"/>
            <w:vMerge/>
            <w:tcBorders>
              <w:top w:val="single" w:sz="4" w:space="0" w:color="auto"/>
              <w:left w:val="single" w:sz="4" w:space="0" w:color="auto"/>
              <w:right w:val="nil"/>
            </w:tcBorders>
            <w:vAlign w:val="center"/>
            <w:hideMark/>
          </w:tcPr>
          <w:p w14:paraId="38A44EC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26E0A0C"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(vi) more than $50 million or is not specified</w:t>
            </w:r>
          </w:p>
        </w:tc>
        <w:tc>
          <w:tcPr>
            <w:tcW w:w="443" w:type="pct"/>
            <w:tcBorders>
              <w:top w:val="nil"/>
              <w:left w:val="single" w:sz="4" w:space="0" w:color="auto"/>
              <w:bottom w:val="single" w:sz="4" w:space="0" w:color="auto"/>
              <w:right w:val="single" w:sz="4" w:space="0" w:color="auto"/>
            </w:tcBorders>
            <w:vAlign w:val="center"/>
            <w:hideMark/>
          </w:tcPr>
          <w:p w14:paraId="2284303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$3,278.0</w:t>
            </w:r>
          </w:p>
        </w:tc>
        <w:tc>
          <w:tcPr>
            <w:tcW w:w="443" w:type="pct"/>
            <w:gridSpan w:val="2"/>
            <w:tcBorders>
              <w:top w:val="nil"/>
              <w:left w:val="nil"/>
              <w:bottom w:val="nil"/>
              <w:right w:val="single" w:sz="4" w:space="0" w:color="auto"/>
            </w:tcBorders>
            <w:noWrap/>
            <w:vAlign w:val="center"/>
            <w:hideMark/>
          </w:tcPr>
          <w:p w14:paraId="443AC79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$2,294.6</w:t>
            </w:r>
          </w:p>
        </w:tc>
        <w:tc>
          <w:tcPr>
            <w:tcW w:w="443" w:type="pct"/>
            <w:tcBorders>
              <w:top w:val="nil"/>
              <w:left w:val="nil"/>
              <w:bottom w:val="nil"/>
              <w:right w:val="single" w:sz="4" w:space="0" w:color="auto"/>
            </w:tcBorders>
            <w:noWrap/>
            <w:vAlign w:val="center"/>
            <w:hideMark/>
          </w:tcPr>
          <w:p w14:paraId="1E0786E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A8BAF56" w14:textId="77777777" w:rsidTr="001761B8">
        <w:trPr>
          <w:trHeight w:val="460"/>
        </w:trPr>
        <w:tc>
          <w:tcPr>
            <w:tcW w:w="284" w:type="pct"/>
            <w:tcBorders>
              <w:top w:val="single" w:sz="4" w:space="0" w:color="auto"/>
              <w:left w:val="single" w:sz="4" w:space="0" w:color="auto"/>
              <w:right w:val="single" w:sz="4" w:space="0" w:color="auto"/>
            </w:tcBorders>
            <w:vAlign w:val="center"/>
            <w:hideMark/>
          </w:tcPr>
          <w:p w14:paraId="26328F4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11</w:t>
            </w:r>
          </w:p>
        </w:tc>
        <w:tc>
          <w:tcPr>
            <w:tcW w:w="3385" w:type="pct"/>
            <w:gridSpan w:val="2"/>
            <w:tcBorders>
              <w:top w:val="single" w:sz="4" w:space="0" w:color="auto"/>
              <w:left w:val="nil"/>
              <w:bottom w:val="single" w:sz="4" w:space="0" w:color="auto"/>
              <w:right w:val="single" w:sz="4" w:space="0" w:color="auto"/>
            </w:tcBorders>
            <w:vAlign w:val="center"/>
            <w:hideMark/>
          </w:tcPr>
          <w:p w14:paraId="7CAE9E28"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xml:space="preserve">For the commencement of a proceeding under the </w:t>
            </w:r>
            <w:r w:rsidRPr="00001083">
              <w:rPr>
                <w:rFonts w:ascii="Arial" w:hAnsi="Arial" w:cs="Arial"/>
                <w:b/>
                <w:bCs/>
                <w:color w:val="000000"/>
                <w:sz w:val="18"/>
                <w:szCs w:val="18"/>
                <w:lang w:eastAsia="ko-KR"/>
              </w:rPr>
              <w:t>Planning and Environment Act 1987</w:t>
            </w:r>
            <w:r w:rsidRPr="00001083">
              <w:rPr>
                <w:rFonts w:ascii="Arial" w:hAnsi="Arial" w:cs="Arial"/>
                <w:color w:val="000000"/>
                <w:sz w:val="18"/>
                <w:szCs w:val="18"/>
                <w:lang w:eastAsia="ko-KR"/>
              </w:rPr>
              <w:t>, sections 87, 89 or 93</w:t>
            </w:r>
          </w:p>
        </w:tc>
        <w:tc>
          <w:tcPr>
            <w:tcW w:w="443" w:type="pct"/>
            <w:tcBorders>
              <w:top w:val="single" w:sz="4" w:space="0" w:color="auto"/>
              <w:left w:val="nil"/>
              <w:bottom w:val="single" w:sz="4" w:space="0" w:color="auto"/>
              <w:right w:val="single" w:sz="4" w:space="0" w:color="auto"/>
            </w:tcBorders>
            <w:vAlign w:val="center"/>
            <w:hideMark/>
          </w:tcPr>
          <w:p w14:paraId="51F653C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$285.8</w:t>
            </w:r>
          </w:p>
        </w:tc>
        <w:tc>
          <w:tcPr>
            <w:tcW w:w="443" w:type="pct"/>
            <w:gridSpan w:val="2"/>
            <w:tcBorders>
              <w:top w:val="single" w:sz="4" w:space="0" w:color="auto"/>
              <w:left w:val="nil"/>
              <w:bottom w:val="nil"/>
              <w:right w:val="single" w:sz="4" w:space="0" w:color="auto"/>
            </w:tcBorders>
            <w:noWrap/>
            <w:vAlign w:val="center"/>
            <w:hideMark/>
          </w:tcPr>
          <w:p w14:paraId="71F9AF4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$200.0</w:t>
            </w:r>
          </w:p>
        </w:tc>
        <w:tc>
          <w:tcPr>
            <w:tcW w:w="443" w:type="pct"/>
            <w:tcBorders>
              <w:top w:val="single" w:sz="4" w:space="0" w:color="auto"/>
              <w:left w:val="nil"/>
              <w:bottom w:val="nil"/>
              <w:right w:val="single" w:sz="4" w:space="0" w:color="auto"/>
            </w:tcBorders>
            <w:noWrap/>
            <w:vAlign w:val="center"/>
            <w:hideMark/>
          </w:tcPr>
          <w:p w14:paraId="12C5D51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$100.0</w:t>
            </w:r>
          </w:p>
        </w:tc>
      </w:tr>
      <w:tr w:rsidR="00316614" w:rsidRPr="00001083" w14:paraId="31A91338" w14:textId="77777777" w:rsidTr="0070715F">
        <w:trPr>
          <w:trHeight w:val="460"/>
        </w:trPr>
        <w:tc>
          <w:tcPr>
            <w:tcW w:w="284" w:type="pct"/>
            <w:vMerge w:val="restart"/>
            <w:tcBorders>
              <w:top w:val="single" w:sz="4" w:space="0" w:color="auto"/>
              <w:left w:val="single" w:sz="4" w:space="0" w:color="auto"/>
              <w:right w:val="nil"/>
            </w:tcBorders>
            <w:hideMark/>
          </w:tcPr>
          <w:p w14:paraId="6BD25EF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w:t>
            </w:r>
          </w:p>
        </w:tc>
        <w:tc>
          <w:tcPr>
            <w:tcW w:w="3385" w:type="pct"/>
            <w:gridSpan w:val="2"/>
            <w:tcBorders>
              <w:top w:val="single" w:sz="4" w:space="0" w:color="auto"/>
              <w:left w:val="single" w:sz="4" w:space="0" w:color="auto"/>
              <w:bottom w:val="nil"/>
              <w:right w:val="single" w:sz="4" w:space="0" w:color="auto"/>
            </w:tcBorders>
            <w:vAlign w:val="center"/>
            <w:hideMark/>
          </w:tcPr>
          <w:p w14:paraId="00930D92"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commencement of a proceeding that is a major case, if the proceeding relates to a development having an estimated cost of—</w:t>
            </w:r>
          </w:p>
        </w:tc>
        <w:tc>
          <w:tcPr>
            <w:tcW w:w="443" w:type="pct"/>
            <w:tcBorders>
              <w:top w:val="nil"/>
              <w:left w:val="nil"/>
              <w:bottom w:val="nil"/>
              <w:right w:val="single" w:sz="4" w:space="0" w:color="auto"/>
            </w:tcBorders>
            <w:vAlign w:val="center"/>
            <w:hideMark/>
          </w:tcPr>
          <w:p w14:paraId="247C3EA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4D7D6C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5FAE02A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6BF2F7D8" w14:textId="77777777" w:rsidTr="001761B8">
        <w:trPr>
          <w:trHeight w:val="290"/>
        </w:trPr>
        <w:tc>
          <w:tcPr>
            <w:tcW w:w="284" w:type="pct"/>
            <w:vMerge/>
            <w:tcBorders>
              <w:top w:val="single" w:sz="4" w:space="0" w:color="auto"/>
              <w:left w:val="single" w:sz="4" w:space="0" w:color="auto"/>
              <w:right w:val="nil"/>
            </w:tcBorders>
            <w:vAlign w:val="center"/>
            <w:hideMark/>
          </w:tcPr>
          <w:p w14:paraId="3E530E8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36234C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 nil</w:t>
            </w:r>
          </w:p>
        </w:tc>
        <w:tc>
          <w:tcPr>
            <w:tcW w:w="443" w:type="pct"/>
            <w:tcBorders>
              <w:top w:val="nil"/>
              <w:left w:val="single" w:sz="4" w:space="0" w:color="auto"/>
              <w:bottom w:val="nil"/>
              <w:right w:val="single" w:sz="4" w:space="0" w:color="auto"/>
            </w:tcBorders>
            <w:vAlign w:val="center"/>
            <w:hideMark/>
          </w:tcPr>
          <w:p w14:paraId="399086C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$3,748.6</w:t>
            </w:r>
          </w:p>
        </w:tc>
        <w:tc>
          <w:tcPr>
            <w:tcW w:w="443" w:type="pct"/>
            <w:gridSpan w:val="2"/>
            <w:tcBorders>
              <w:top w:val="nil"/>
              <w:left w:val="nil"/>
              <w:bottom w:val="nil"/>
              <w:right w:val="single" w:sz="4" w:space="0" w:color="auto"/>
            </w:tcBorders>
            <w:noWrap/>
            <w:vAlign w:val="center"/>
            <w:hideMark/>
          </w:tcPr>
          <w:p w14:paraId="7890104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$3,748.6</w:t>
            </w:r>
          </w:p>
        </w:tc>
        <w:tc>
          <w:tcPr>
            <w:tcW w:w="443" w:type="pct"/>
            <w:tcBorders>
              <w:top w:val="nil"/>
              <w:left w:val="nil"/>
              <w:bottom w:val="nil"/>
              <w:right w:val="single" w:sz="4" w:space="0" w:color="auto"/>
            </w:tcBorders>
            <w:noWrap/>
            <w:vAlign w:val="center"/>
            <w:hideMark/>
          </w:tcPr>
          <w:p w14:paraId="49CD81A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$3,748.6</w:t>
            </w:r>
          </w:p>
        </w:tc>
      </w:tr>
      <w:tr w:rsidR="00001083" w:rsidRPr="00001083" w14:paraId="7D50127B" w14:textId="77777777" w:rsidTr="001761B8">
        <w:trPr>
          <w:trHeight w:val="290"/>
        </w:trPr>
        <w:tc>
          <w:tcPr>
            <w:tcW w:w="284" w:type="pct"/>
            <w:vMerge/>
            <w:tcBorders>
              <w:top w:val="single" w:sz="4" w:space="0" w:color="auto"/>
              <w:left w:val="single" w:sz="4" w:space="0" w:color="auto"/>
              <w:right w:val="nil"/>
            </w:tcBorders>
            <w:vAlign w:val="center"/>
            <w:hideMark/>
          </w:tcPr>
          <w:p w14:paraId="631B0B0F"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F842661"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more than nil but not more than $1 million</w:t>
            </w:r>
          </w:p>
        </w:tc>
        <w:tc>
          <w:tcPr>
            <w:tcW w:w="443" w:type="pct"/>
            <w:tcBorders>
              <w:top w:val="nil"/>
              <w:left w:val="single" w:sz="4" w:space="0" w:color="auto"/>
              <w:bottom w:val="nil"/>
              <w:right w:val="single" w:sz="4" w:space="0" w:color="auto"/>
            </w:tcBorders>
            <w:vAlign w:val="center"/>
            <w:hideMark/>
          </w:tcPr>
          <w:p w14:paraId="2BC1083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$3,462.9</w:t>
            </w:r>
          </w:p>
        </w:tc>
        <w:tc>
          <w:tcPr>
            <w:tcW w:w="443" w:type="pct"/>
            <w:gridSpan w:val="2"/>
            <w:tcBorders>
              <w:top w:val="nil"/>
              <w:left w:val="nil"/>
              <w:bottom w:val="nil"/>
              <w:right w:val="single" w:sz="4" w:space="0" w:color="auto"/>
            </w:tcBorders>
            <w:noWrap/>
            <w:vAlign w:val="center"/>
            <w:hideMark/>
          </w:tcPr>
          <w:p w14:paraId="2766046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$3,462.9</w:t>
            </w:r>
          </w:p>
        </w:tc>
        <w:tc>
          <w:tcPr>
            <w:tcW w:w="443" w:type="pct"/>
            <w:tcBorders>
              <w:top w:val="nil"/>
              <w:left w:val="nil"/>
              <w:bottom w:val="nil"/>
              <w:right w:val="single" w:sz="4" w:space="0" w:color="auto"/>
            </w:tcBorders>
            <w:noWrap/>
            <w:vAlign w:val="center"/>
            <w:hideMark/>
          </w:tcPr>
          <w:p w14:paraId="0FC46B2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$3,462.9</w:t>
            </w:r>
          </w:p>
        </w:tc>
      </w:tr>
      <w:tr w:rsidR="00001083" w:rsidRPr="00001083" w14:paraId="55C68B14" w14:textId="77777777" w:rsidTr="001761B8">
        <w:trPr>
          <w:trHeight w:val="290"/>
        </w:trPr>
        <w:tc>
          <w:tcPr>
            <w:tcW w:w="284" w:type="pct"/>
            <w:vMerge/>
            <w:tcBorders>
              <w:top w:val="single" w:sz="4" w:space="0" w:color="auto"/>
              <w:left w:val="single" w:sz="4" w:space="0" w:color="auto"/>
              <w:right w:val="nil"/>
            </w:tcBorders>
            <w:vAlign w:val="center"/>
            <w:hideMark/>
          </w:tcPr>
          <w:p w14:paraId="03E1EBED"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D24A4AA"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(c) more than $1 million but not more than $5 million</w:t>
            </w:r>
          </w:p>
        </w:tc>
        <w:tc>
          <w:tcPr>
            <w:tcW w:w="443" w:type="pct"/>
            <w:tcBorders>
              <w:top w:val="nil"/>
              <w:left w:val="single" w:sz="4" w:space="0" w:color="auto"/>
              <w:bottom w:val="nil"/>
              <w:right w:val="single" w:sz="4" w:space="0" w:color="auto"/>
            </w:tcBorders>
            <w:vAlign w:val="center"/>
            <w:hideMark/>
          </w:tcPr>
          <w:p w14:paraId="51CDBEC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$3,748.6</w:t>
            </w:r>
          </w:p>
        </w:tc>
        <w:tc>
          <w:tcPr>
            <w:tcW w:w="443" w:type="pct"/>
            <w:gridSpan w:val="2"/>
            <w:tcBorders>
              <w:top w:val="nil"/>
              <w:left w:val="nil"/>
              <w:bottom w:val="nil"/>
              <w:right w:val="single" w:sz="4" w:space="0" w:color="auto"/>
            </w:tcBorders>
            <w:noWrap/>
            <w:vAlign w:val="center"/>
            <w:hideMark/>
          </w:tcPr>
          <w:p w14:paraId="5D1C10B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$3,748.6</w:t>
            </w:r>
          </w:p>
        </w:tc>
        <w:tc>
          <w:tcPr>
            <w:tcW w:w="443" w:type="pct"/>
            <w:tcBorders>
              <w:top w:val="nil"/>
              <w:left w:val="nil"/>
              <w:bottom w:val="nil"/>
              <w:right w:val="single" w:sz="4" w:space="0" w:color="auto"/>
            </w:tcBorders>
            <w:noWrap/>
            <w:vAlign w:val="center"/>
            <w:hideMark/>
          </w:tcPr>
          <w:p w14:paraId="18BAEA9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$3,748.6</w:t>
            </w:r>
          </w:p>
        </w:tc>
      </w:tr>
      <w:tr w:rsidR="00001083" w:rsidRPr="00001083" w14:paraId="418FF349" w14:textId="77777777" w:rsidTr="001761B8">
        <w:trPr>
          <w:trHeight w:val="290"/>
        </w:trPr>
        <w:tc>
          <w:tcPr>
            <w:tcW w:w="284" w:type="pct"/>
            <w:vMerge/>
            <w:tcBorders>
              <w:top w:val="single" w:sz="4" w:space="0" w:color="auto"/>
              <w:left w:val="single" w:sz="4" w:space="0" w:color="auto"/>
              <w:right w:val="nil"/>
            </w:tcBorders>
            <w:vAlign w:val="center"/>
            <w:hideMark/>
          </w:tcPr>
          <w:p w14:paraId="3CD2718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705949A3"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(d) more than $5 million but not more than $15 million</w:t>
            </w:r>
          </w:p>
        </w:tc>
        <w:tc>
          <w:tcPr>
            <w:tcW w:w="443" w:type="pct"/>
            <w:tcBorders>
              <w:top w:val="nil"/>
              <w:left w:val="single" w:sz="4" w:space="0" w:color="auto"/>
              <w:bottom w:val="nil"/>
              <w:right w:val="single" w:sz="4" w:space="0" w:color="auto"/>
            </w:tcBorders>
            <w:vAlign w:val="center"/>
            <w:hideMark/>
          </w:tcPr>
          <w:p w14:paraId="2C6AE20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$4,219.3</w:t>
            </w:r>
          </w:p>
        </w:tc>
        <w:tc>
          <w:tcPr>
            <w:tcW w:w="443" w:type="pct"/>
            <w:gridSpan w:val="2"/>
            <w:tcBorders>
              <w:top w:val="nil"/>
              <w:left w:val="nil"/>
              <w:bottom w:val="nil"/>
              <w:right w:val="single" w:sz="4" w:space="0" w:color="auto"/>
            </w:tcBorders>
            <w:noWrap/>
            <w:vAlign w:val="center"/>
            <w:hideMark/>
          </w:tcPr>
          <w:p w14:paraId="1B6D40D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$4,219.3</w:t>
            </w:r>
          </w:p>
        </w:tc>
        <w:tc>
          <w:tcPr>
            <w:tcW w:w="443" w:type="pct"/>
            <w:tcBorders>
              <w:top w:val="nil"/>
              <w:left w:val="nil"/>
              <w:bottom w:val="nil"/>
              <w:right w:val="single" w:sz="4" w:space="0" w:color="auto"/>
            </w:tcBorders>
            <w:noWrap/>
            <w:vAlign w:val="center"/>
            <w:hideMark/>
          </w:tcPr>
          <w:p w14:paraId="495E4BD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$4,219.3</w:t>
            </w:r>
          </w:p>
        </w:tc>
      </w:tr>
      <w:tr w:rsidR="00001083" w:rsidRPr="00001083" w14:paraId="3F174ECF" w14:textId="77777777" w:rsidTr="001761B8">
        <w:trPr>
          <w:trHeight w:val="290"/>
        </w:trPr>
        <w:tc>
          <w:tcPr>
            <w:tcW w:w="284" w:type="pct"/>
            <w:vMerge/>
            <w:tcBorders>
              <w:top w:val="single" w:sz="4" w:space="0" w:color="auto"/>
              <w:left w:val="single" w:sz="4" w:space="0" w:color="auto"/>
              <w:right w:val="nil"/>
            </w:tcBorders>
            <w:vAlign w:val="center"/>
            <w:hideMark/>
          </w:tcPr>
          <w:p w14:paraId="4A75073E"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06A3B98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(e) more than $15 million but not more than $50 million</w:t>
            </w:r>
          </w:p>
        </w:tc>
        <w:tc>
          <w:tcPr>
            <w:tcW w:w="443" w:type="pct"/>
            <w:tcBorders>
              <w:top w:val="nil"/>
              <w:left w:val="single" w:sz="4" w:space="0" w:color="auto"/>
              <w:bottom w:val="nil"/>
              <w:right w:val="single" w:sz="4" w:space="0" w:color="auto"/>
            </w:tcBorders>
            <w:vAlign w:val="center"/>
            <w:hideMark/>
          </w:tcPr>
          <w:p w14:paraId="521242D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$4,690.0</w:t>
            </w:r>
          </w:p>
        </w:tc>
        <w:tc>
          <w:tcPr>
            <w:tcW w:w="443" w:type="pct"/>
            <w:gridSpan w:val="2"/>
            <w:tcBorders>
              <w:top w:val="nil"/>
              <w:left w:val="nil"/>
              <w:bottom w:val="nil"/>
              <w:right w:val="single" w:sz="4" w:space="0" w:color="auto"/>
            </w:tcBorders>
            <w:noWrap/>
            <w:vAlign w:val="center"/>
            <w:hideMark/>
          </w:tcPr>
          <w:p w14:paraId="219C270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$4,690.0</w:t>
            </w:r>
          </w:p>
        </w:tc>
        <w:tc>
          <w:tcPr>
            <w:tcW w:w="443" w:type="pct"/>
            <w:tcBorders>
              <w:top w:val="nil"/>
              <w:left w:val="nil"/>
              <w:bottom w:val="nil"/>
              <w:right w:val="single" w:sz="4" w:space="0" w:color="auto"/>
            </w:tcBorders>
            <w:noWrap/>
            <w:vAlign w:val="center"/>
            <w:hideMark/>
          </w:tcPr>
          <w:p w14:paraId="7E91EBF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$4,690.0</w:t>
            </w:r>
          </w:p>
        </w:tc>
      </w:tr>
      <w:tr w:rsidR="00001083" w:rsidRPr="00001083" w14:paraId="31B9AB21" w14:textId="77777777" w:rsidTr="001761B8">
        <w:trPr>
          <w:trHeight w:val="290"/>
        </w:trPr>
        <w:tc>
          <w:tcPr>
            <w:tcW w:w="284" w:type="pct"/>
            <w:vMerge/>
            <w:tcBorders>
              <w:top w:val="single" w:sz="4" w:space="0" w:color="auto"/>
              <w:left w:val="single" w:sz="4" w:space="0" w:color="auto"/>
              <w:right w:val="nil"/>
            </w:tcBorders>
            <w:vAlign w:val="center"/>
            <w:hideMark/>
          </w:tcPr>
          <w:p w14:paraId="7C37257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single" w:sz="4" w:space="0" w:color="auto"/>
              <w:right w:val="single" w:sz="4" w:space="0" w:color="auto"/>
            </w:tcBorders>
            <w:vAlign w:val="center"/>
            <w:hideMark/>
          </w:tcPr>
          <w:p w14:paraId="6AA4AD34"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(f) more than $50 million or is not specified</w:t>
            </w:r>
          </w:p>
        </w:tc>
        <w:tc>
          <w:tcPr>
            <w:tcW w:w="443" w:type="pct"/>
            <w:tcBorders>
              <w:top w:val="nil"/>
              <w:left w:val="single" w:sz="4" w:space="0" w:color="auto"/>
              <w:bottom w:val="single" w:sz="4" w:space="0" w:color="auto"/>
              <w:right w:val="single" w:sz="4" w:space="0" w:color="auto"/>
            </w:tcBorders>
            <w:vAlign w:val="center"/>
            <w:hideMark/>
          </w:tcPr>
          <w:p w14:paraId="4A958A9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$5,160.7</w:t>
            </w:r>
          </w:p>
        </w:tc>
        <w:tc>
          <w:tcPr>
            <w:tcW w:w="443" w:type="pct"/>
            <w:gridSpan w:val="2"/>
            <w:tcBorders>
              <w:top w:val="nil"/>
              <w:left w:val="nil"/>
              <w:bottom w:val="nil"/>
              <w:right w:val="single" w:sz="4" w:space="0" w:color="auto"/>
            </w:tcBorders>
            <w:noWrap/>
            <w:vAlign w:val="center"/>
            <w:hideMark/>
          </w:tcPr>
          <w:p w14:paraId="65F3AA5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$5,160.7</w:t>
            </w:r>
          </w:p>
        </w:tc>
        <w:tc>
          <w:tcPr>
            <w:tcW w:w="443" w:type="pct"/>
            <w:tcBorders>
              <w:top w:val="nil"/>
              <w:left w:val="nil"/>
              <w:bottom w:val="nil"/>
              <w:right w:val="single" w:sz="4" w:space="0" w:color="auto"/>
            </w:tcBorders>
            <w:noWrap/>
            <w:vAlign w:val="center"/>
            <w:hideMark/>
          </w:tcPr>
          <w:p w14:paraId="4FDB78E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$5,160.7</w:t>
            </w:r>
          </w:p>
        </w:tc>
      </w:tr>
      <w:tr w:rsidR="00001083" w:rsidRPr="00001083" w14:paraId="49BA22C1" w14:textId="77777777" w:rsidTr="001761B8">
        <w:trPr>
          <w:trHeight w:val="860"/>
        </w:trPr>
        <w:tc>
          <w:tcPr>
            <w:tcW w:w="284" w:type="pct"/>
            <w:tcBorders>
              <w:left w:val="single" w:sz="4" w:space="0" w:color="auto"/>
              <w:bottom w:val="single" w:sz="4" w:space="0" w:color="auto"/>
              <w:right w:val="single" w:sz="4" w:space="0" w:color="auto"/>
            </w:tcBorders>
            <w:hideMark/>
          </w:tcPr>
          <w:p w14:paraId="3AE6E4D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13</w:t>
            </w:r>
          </w:p>
        </w:tc>
        <w:tc>
          <w:tcPr>
            <w:tcW w:w="3385" w:type="pct"/>
            <w:gridSpan w:val="2"/>
            <w:tcBorders>
              <w:top w:val="nil"/>
              <w:left w:val="nil"/>
              <w:bottom w:val="single" w:sz="4" w:space="0" w:color="auto"/>
              <w:right w:val="single" w:sz="4" w:space="0" w:color="auto"/>
            </w:tcBorders>
            <w:vAlign w:val="center"/>
            <w:hideMark/>
          </w:tcPr>
          <w:p w14:paraId="46E5A309"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xml:space="preserve">For the commencement of a proceeding under any provision of the </w:t>
            </w:r>
            <w:r w:rsidRPr="00001083">
              <w:rPr>
                <w:rFonts w:ascii="Arial" w:hAnsi="Arial" w:cs="Arial"/>
                <w:b/>
                <w:bCs/>
                <w:color w:val="000000"/>
                <w:sz w:val="18"/>
                <w:szCs w:val="18"/>
                <w:lang w:eastAsia="ko-KR"/>
              </w:rPr>
              <w:t>Planning and Environment Act 1987</w:t>
            </w:r>
            <w:r w:rsidRPr="00001083">
              <w:rPr>
                <w:rFonts w:ascii="Arial" w:hAnsi="Arial" w:cs="Arial"/>
                <w:color w:val="000000"/>
                <w:sz w:val="18"/>
                <w:szCs w:val="18"/>
                <w:lang w:eastAsia="ko-KR"/>
              </w:rPr>
              <w:t xml:space="preserve">, the </w:t>
            </w:r>
            <w:r w:rsidRPr="00001083">
              <w:rPr>
                <w:rFonts w:ascii="Arial" w:hAnsi="Arial" w:cs="Arial"/>
                <w:b/>
                <w:bCs/>
                <w:color w:val="000000"/>
                <w:sz w:val="18"/>
                <w:szCs w:val="18"/>
                <w:lang w:eastAsia="ko-KR"/>
              </w:rPr>
              <w:t>Environment Protection Act 1970</w:t>
            </w:r>
            <w:r w:rsidRPr="00001083">
              <w:rPr>
                <w:rFonts w:ascii="Arial" w:hAnsi="Arial" w:cs="Arial"/>
                <w:color w:val="000000"/>
                <w:sz w:val="18"/>
                <w:szCs w:val="18"/>
                <w:lang w:eastAsia="ko-KR"/>
              </w:rPr>
              <w:t xml:space="preserve"> or</w:t>
            </w:r>
            <w:r w:rsidRPr="00001083">
              <w:rPr>
                <w:rFonts w:ascii="Arial" w:hAnsi="Arial" w:cs="Arial"/>
                <w:b/>
                <w:bCs/>
                <w:color w:val="000000"/>
                <w:sz w:val="18"/>
                <w:szCs w:val="18"/>
                <w:lang w:eastAsia="ko-KR"/>
              </w:rPr>
              <w:t xml:space="preserve"> </w:t>
            </w:r>
            <w:r w:rsidRPr="00001083">
              <w:rPr>
                <w:rFonts w:ascii="Arial" w:hAnsi="Arial" w:cs="Arial"/>
                <w:color w:val="000000"/>
                <w:sz w:val="18"/>
                <w:szCs w:val="18"/>
                <w:lang w:eastAsia="ko-KR"/>
              </w:rPr>
              <w:t xml:space="preserve">the </w:t>
            </w:r>
            <w:r w:rsidRPr="00001083">
              <w:rPr>
                <w:rFonts w:ascii="Arial" w:hAnsi="Arial" w:cs="Arial"/>
                <w:b/>
                <w:bCs/>
                <w:color w:val="000000"/>
                <w:sz w:val="18"/>
                <w:szCs w:val="18"/>
                <w:lang w:eastAsia="ko-KR"/>
              </w:rPr>
              <w:t xml:space="preserve">Environment Protection Act 2017 </w:t>
            </w:r>
            <w:r w:rsidRPr="00001083">
              <w:rPr>
                <w:rFonts w:ascii="Arial" w:hAnsi="Arial" w:cs="Arial"/>
                <w:color w:val="000000"/>
                <w:sz w:val="18"/>
                <w:szCs w:val="18"/>
                <w:lang w:eastAsia="ko-KR"/>
              </w:rPr>
              <w:t>not otherwise specified in Part 1 of this Schedule</w:t>
            </w:r>
          </w:p>
        </w:tc>
        <w:tc>
          <w:tcPr>
            <w:tcW w:w="443" w:type="pct"/>
            <w:tcBorders>
              <w:top w:val="nil"/>
              <w:left w:val="nil"/>
              <w:bottom w:val="single" w:sz="4" w:space="0" w:color="auto"/>
              <w:right w:val="single" w:sz="4" w:space="0" w:color="auto"/>
            </w:tcBorders>
            <w:vAlign w:val="center"/>
            <w:hideMark/>
          </w:tcPr>
          <w:p w14:paraId="72AC5A1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$1,412.0</w:t>
            </w:r>
          </w:p>
        </w:tc>
        <w:tc>
          <w:tcPr>
            <w:tcW w:w="443" w:type="pct"/>
            <w:gridSpan w:val="2"/>
            <w:tcBorders>
              <w:top w:val="single" w:sz="4" w:space="0" w:color="auto"/>
              <w:left w:val="nil"/>
              <w:bottom w:val="nil"/>
              <w:right w:val="single" w:sz="4" w:space="0" w:color="auto"/>
            </w:tcBorders>
            <w:noWrap/>
            <w:vAlign w:val="center"/>
            <w:hideMark/>
          </w:tcPr>
          <w:p w14:paraId="5908618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$988.4</w:t>
            </w:r>
          </w:p>
        </w:tc>
        <w:tc>
          <w:tcPr>
            <w:tcW w:w="443" w:type="pct"/>
            <w:tcBorders>
              <w:top w:val="single" w:sz="4" w:space="0" w:color="auto"/>
              <w:left w:val="nil"/>
              <w:bottom w:val="nil"/>
              <w:right w:val="single" w:sz="4" w:space="0" w:color="auto"/>
            </w:tcBorders>
            <w:noWrap/>
            <w:vAlign w:val="center"/>
            <w:hideMark/>
          </w:tcPr>
          <w:p w14:paraId="3192044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71C5ED9C" w14:textId="77777777" w:rsidTr="001761B8">
        <w:trPr>
          <w:trHeight w:val="553"/>
        </w:trPr>
        <w:tc>
          <w:tcPr>
            <w:tcW w:w="284" w:type="pct"/>
            <w:tcBorders>
              <w:top w:val="nil"/>
              <w:left w:val="single" w:sz="4" w:space="0" w:color="auto"/>
              <w:bottom w:val="nil"/>
              <w:right w:val="single" w:sz="4" w:space="0" w:color="auto"/>
            </w:tcBorders>
            <w:hideMark/>
          </w:tcPr>
          <w:p w14:paraId="04D42A9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14</w:t>
            </w:r>
          </w:p>
        </w:tc>
        <w:tc>
          <w:tcPr>
            <w:tcW w:w="3385" w:type="pct"/>
            <w:gridSpan w:val="2"/>
            <w:tcBorders>
              <w:top w:val="nil"/>
              <w:left w:val="nil"/>
              <w:bottom w:val="nil"/>
              <w:right w:val="single" w:sz="4" w:space="0" w:color="auto"/>
            </w:tcBorders>
            <w:vAlign w:val="center"/>
            <w:hideMark/>
          </w:tcPr>
          <w:p w14:paraId="5A72D2F2"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commencement of a proceeding under any enabling enactment not otherwise specified in Part 1 of this Schedule</w:t>
            </w:r>
          </w:p>
        </w:tc>
        <w:tc>
          <w:tcPr>
            <w:tcW w:w="443" w:type="pct"/>
            <w:tcBorders>
              <w:top w:val="nil"/>
              <w:left w:val="nil"/>
              <w:bottom w:val="nil"/>
              <w:right w:val="single" w:sz="4" w:space="0" w:color="auto"/>
            </w:tcBorders>
            <w:vAlign w:val="center"/>
            <w:hideMark/>
          </w:tcPr>
          <w:p w14:paraId="021383E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$1,075.8</w:t>
            </w:r>
          </w:p>
        </w:tc>
        <w:tc>
          <w:tcPr>
            <w:tcW w:w="443" w:type="pct"/>
            <w:gridSpan w:val="2"/>
            <w:tcBorders>
              <w:top w:val="single" w:sz="4" w:space="0" w:color="auto"/>
              <w:left w:val="nil"/>
              <w:bottom w:val="nil"/>
              <w:right w:val="single" w:sz="4" w:space="0" w:color="auto"/>
            </w:tcBorders>
            <w:noWrap/>
            <w:vAlign w:val="center"/>
            <w:hideMark/>
          </w:tcPr>
          <w:p w14:paraId="41B8F82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$753.1</w:t>
            </w:r>
          </w:p>
        </w:tc>
        <w:tc>
          <w:tcPr>
            <w:tcW w:w="443" w:type="pct"/>
            <w:tcBorders>
              <w:top w:val="single" w:sz="4" w:space="0" w:color="auto"/>
              <w:left w:val="nil"/>
              <w:bottom w:val="nil"/>
              <w:right w:val="single" w:sz="4" w:space="0" w:color="auto"/>
            </w:tcBorders>
            <w:noWrap/>
            <w:vAlign w:val="center"/>
            <w:hideMark/>
          </w:tcPr>
          <w:p w14:paraId="7015074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31E3C4A3" w14:textId="77777777" w:rsidTr="0070715F">
        <w:trPr>
          <w:trHeight w:val="403"/>
        </w:trPr>
        <w:tc>
          <w:tcPr>
            <w:tcW w:w="4999"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6F873AB2" w14:textId="691C5EB7" w:rsidR="00001083" w:rsidRPr="009B659C" w:rsidRDefault="00781D77" w:rsidP="009B659C">
            <w:pPr>
              <w:rPr>
                <w:rFonts w:ascii="Arial" w:hAnsi="Arial" w:cs="Arial"/>
                <w:b/>
                <w:color w:val="000000"/>
                <w:sz w:val="18"/>
                <w:szCs w:val="18"/>
                <w:lang w:eastAsia="ko-KR"/>
              </w:rPr>
            </w:pPr>
            <w:r w:rsidRPr="009B659C">
              <w:rPr>
                <w:rFonts w:ascii="Arial" w:hAnsi="Arial" w:cs="Arial"/>
                <w:b/>
                <w:bCs/>
                <w:color w:val="000000"/>
                <w:sz w:val="18"/>
                <w:szCs w:val="18"/>
                <w:lang w:eastAsia="ko-KR"/>
              </w:rPr>
              <w:t>Part 2—Fee for an application and other matters in relation to an existing proceeding</w:t>
            </w:r>
          </w:p>
        </w:tc>
      </w:tr>
      <w:tr w:rsidR="00316614" w:rsidRPr="00001083" w14:paraId="3A3D1769" w14:textId="77777777" w:rsidTr="0070715F">
        <w:trPr>
          <w:trHeight w:val="690"/>
        </w:trPr>
        <w:tc>
          <w:tcPr>
            <w:tcW w:w="284" w:type="pct"/>
            <w:vMerge w:val="restart"/>
            <w:tcBorders>
              <w:top w:val="nil"/>
              <w:left w:val="single" w:sz="4" w:space="0" w:color="auto"/>
              <w:bottom w:val="single" w:sz="4" w:space="0" w:color="auto"/>
              <w:right w:val="nil"/>
            </w:tcBorders>
            <w:hideMark/>
          </w:tcPr>
          <w:p w14:paraId="09FB7DE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15</w:t>
            </w:r>
          </w:p>
        </w:tc>
        <w:tc>
          <w:tcPr>
            <w:tcW w:w="3385" w:type="pct"/>
            <w:gridSpan w:val="2"/>
            <w:tcBorders>
              <w:top w:val="nil"/>
              <w:left w:val="single" w:sz="4" w:space="0" w:color="auto"/>
              <w:bottom w:val="nil"/>
              <w:right w:val="single" w:sz="4" w:space="0" w:color="auto"/>
            </w:tcBorders>
            <w:vAlign w:val="center"/>
            <w:hideMark/>
          </w:tcPr>
          <w:p w14:paraId="1019D4D9"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making of an application for the costs of a proceeding under section 109 of the Act or under an enabling enactment, if final orders have been made in that proceeding and the proceeding was allocated to the Tribunal's—</w:t>
            </w:r>
          </w:p>
        </w:tc>
        <w:tc>
          <w:tcPr>
            <w:tcW w:w="443" w:type="pct"/>
            <w:tcBorders>
              <w:top w:val="nil"/>
              <w:left w:val="nil"/>
              <w:bottom w:val="nil"/>
              <w:right w:val="single" w:sz="4" w:space="0" w:color="auto"/>
            </w:tcBorders>
            <w:vAlign w:val="center"/>
            <w:hideMark/>
          </w:tcPr>
          <w:p w14:paraId="4A0738B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12177A9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29C65F2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4FE4586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4B7F27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2FDE42A2"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 administrative division or planning and environment division</w:t>
            </w:r>
          </w:p>
        </w:tc>
        <w:tc>
          <w:tcPr>
            <w:tcW w:w="443" w:type="pct"/>
            <w:tcBorders>
              <w:top w:val="nil"/>
              <w:left w:val="single" w:sz="4" w:space="0" w:color="auto"/>
              <w:bottom w:val="nil"/>
              <w:right w:val="single" w:sz="4" w:space="0" w:color="auto"/>
            </w:tcBorders>
            <w:vAlign w:val="center"/>
            <w:hideMark/>
          </w:tcPr>
          <w:p w14:paraId="7CAF148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$1,075.8</w:t>
            </w:r>
          </w:p>
        </w:tc>
        <w:tc>
          <w:tcPr>
            <w:tcW w:w="443" w:type="pct"/>
            <w:gridSpan w:val="2"/>
            <w:tcBorders>
              <w:top w:val="nil"/>
              <w:left w:val="nil"/>
              <w:bottom w:val="nil"/>
              <w:right w:val="single" w:sz="4" w:space="0" w:color="auto"/>
            </w:tcBorders>
            <w:noWrap/>
            <w:vAlign w:val="center"/>
            <w:hideMark/>
          </w:tcPr>
          <w:p w14:paraId="63B4149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$753.1</w:t>
            </w:r>
          </w:p>
        </w:tc>
        <w:tc>
          <w:tcPr>
            <w:tcW w:w="443" w:type="pct"/>
            <w:tcBorders>
              <w:top w:val="nil"/>
              <w:left w:val="nil"/>
              <w:bottom w:val="nil"/>
              <w:right w:val="single" w:sz="4" w:space="0" w:color="auto"/>
            </w:tcBorders>
            <w:noWrap/>
            <w:vAlign w:val="center"/>
            <w:hideMark/>
          </w:tcPr>
          <w:p w14:paraId="0E8643D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1E6AF61F"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62153F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479E388A"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civil division</w:t>
            </w:r>
          </w:p>
        </w:tc>
        <w:tc>
          <w:tcPr>
            <w:tcW w:w="443" w:type="pct"/>
            <w:tcBorders>
              <w:top w:val="nil"/>
              <w:left w:val="single" w:sz="4" w:space="0" w:color="auto"/>
              <w:bottom w:val="nil"/>
              <w:right w:val="single" w:sz="4" w:space="0" w:color="auto"/>
            </w:tcBorders>
            <w:vAlign w:val="center"/>
            <w:hideMark/>
          </w:tcPr>
          <w:p w14:paraId="1BEBE6D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$605.2</w:t>
            </w:r>
          </w:p>
        </w:tc>
        <w:tc>
          <w:tcPr>
            <w:tcW w:w="443" w:type="pct"/>
            <w:gridSpan w:val="2"/>
            <w:tcBorders>
              <w:top w:val="nil"/>
              <w:left w:val="nil"/>
              <w:bottom w:val="nil"/>
              <w:right w:val="single" w:sz="4" w:space="0" w:color="auto"/>
            </w:tcBorders>
            <w:noWrap/>
            <w:vAlign w:val="center"/>
            <w:hideMark/>
          </w:tcPr>
          <w:p w14:paraId="4404993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$423.6</w:t>
            </w:r>
          </w:p>
        </w:tc>
        <w:tc>
          <w:tcPr>
            <w:tcW w:w="443" w:type="pct"/>
            <w:tcBorders>
              <w:top w:val="nil"/>
              <w:left w:val="nil"/>
              <w:bottom w:val="nil"/>
              <w:right w:val="single" w:sz="4" w:space="0" w:color="auto"/>
            </w:tcBorders>
            <w:noWrap/>
            <w:vAlign w:val="center"/>
            <w:hideMark/>
          </w:tcPr>
          <w:p w14:paraId="7F774A5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BB704FF" w14:textId="77777777" w:rsidTr="001761B8">
        <w:trPr>
          <w:trHeight w:val="460"/>
        </w:trPr>
        <w:tc>
          <w:tcPr>
            <w:tcW w:w="284" w:type="pct"/>
            <w:vMerge w:val="restart"/>
            <w:tcBorders>
              <w:top w:val="nil"/>
              <w:left w:val="single" w:sz="4" w:space="0" w:color="auto"/>
              <w:bottom w:val="single" w:sz="4" w:space="0" w:color="auto"/>
              <w:right w:val="nil"/>
            </w:tcBorders>
            <w:hideMark/>
          </w:tcPr>
          <w:p w14:paraId="0870BDE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16</w:t>
            </w:r>
          </w:p>
        </w:tc>
        <w:tc>
          <w:tcPr>
            <w:tcW w:w="3385" w:type="pct"/>
            <w:gridSpan w:val="2"/>
            <w:tcBorders>
              <w:top w:val="single" w:sz="4" w:space="0" w:color="auto"/>
              <w:left w:val="single" w:sz="4" w:space="0" w:color="auto"/>
              <w:bottom w:val="nil"/>
              <w:right w:val="single" w:sz="4" w:space="0" w:color="auto"/>
            </w:tcBorders>
            <w:vAlign w:val="center"/>
            <w:hideMark/>
          </w:tcPr>
          <w:p w14:paraId="683335EA"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making of an application under section 120 of the Act, if the proceeding in relation to which the application is made was allocated to the Tribunal's—</w:t>
            </w:r>
          </w:p>
        </w:tc>
        <w:tc>
          <w:tcPr>
            <w:tcW w:w="443" w:type="pct"/>
            <w:tcBorders>
              <w:top w:val="single" w:sz="4" w:space="0" w:color="auto"/>
              <w:left w:val="nil"/>
              <w:bottom w:val="nil"/>
              <w:right w:val="single" w:sz="4" w:space="0" w:color="auto"/>
            </w:tcBorders>
            <w:vAlign w:val="center"/>
            <w:hideMark/>
          </w:tcPr>
          <w:p w14:paraId="0FA845C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458988C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48504D6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A69F220"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47477F8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1CF45688"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 administrative division or planning and environment division</w:t>
            </w:r>
          </w:p>
        </w:tc>
        <w:tc>
          <w:tcPr>
            <w:tcW w:w="443" w:type="pct"/>
            <w:tcBorders>
              <w:top w:val="nil"/>
              <w:left w:val="single" w:sz="4" w:space="0" w:color="auto"/>
              <w:bottom w:val="nil"/>
              <w:right w:val="single" w:sz="4" w:space="0" w:color="auto"/>
            </w:tcBorders>
            <w:vAlign w:val="center"/>
            <w:hideMark/>
          </w:tcPr>
          <w:p w14:paraId="64A855E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$285.8</w:t>
            </w:r>
          </w:p>
        </w:tc>
        <w:tc>
          <w:tcPr>
            <w:tcW w:w="443" w:type="pct"/>
            <w:gridSpan w:val="2"/>
            <w:tcBorders>
              <w:top w:val="nil"/>
              <w:left w:val="nil"/>
              <w:bottom w:val="nil"/>
              <w:right w:val="single" w:sz="4" w:space="0" w:color="auto"/>
            </w:tcBorders>
            <w:noWrap/>
            <w:vAlign w:val="center"/>
            <w:hideMark/>
          </w:tcPr>
          <w:p w14:paraId="28F3749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$200.0</w:t>
            </w:r>
          </w:p>
        </w:tc>
        <w:tc>
          <w:tcPr>
            <w:tcW w:w="443" w:type="pct"/>
            <w:tcBorders>
              <w:top w:val="nil"/>
              <w:left w:val="nil"/>
              <w:bottom w:val="nil"/>
              <w:right w:val="single" w:sz="4" w:space="0" w:color="auto"/>
            </w:tcBorders>
            <w:noWrap/>
            <w:vAlign w:val="center"/>
            <w:hideMark/>
          </w:tcPr>
          <w:p w14:paraId="1ECD05F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$100.0</w:t>
            </w:r>
          </w:p>
        </w:tc>
      </w:tr>
      <w:tr w:rsidR="00001083" w:rsidRPr="00001083" w14:paraId="6B12F01E"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0D7A8DF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single" w:sz="4" w:space="0" w:color="auto"/>
            </w:tcBorders>
            <w:vAlign w:val="center"/>
            <w:hideMark/>
          </w:tcPr>
          <w:p w14:paraId="31A51C7D"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civil division</w:t>
            </w:r>
          </w:p>
        </w:tc>
        <w:tc>
          <w:tcPr>
            <w:tcW w:w="443" w:type="pct"/>
            <w:tcBorders>
              <w:top w:val="nil"/>
              <w:left w:val="single" w:sz="4" w:space="0" w:color="auto"/>
              <w:bottom w:val="nil"/>
              <w:right w:val="single" w:sz="4" w:space="0" w:color="auto"/>
            </w:tcBorders>
            <w:vAlign w:val="center"/>
            <w:hideMark/>
          </w:tcPr>
          <w:p w14:paraId="2642C67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$105.9</w:t>
            </w:r>
          </w:p>
        </w:tc>
        <w:tc>
          <w:tcPr>
            <w:tcW w:w="443" w:type="pct"/>
            <w:gridSpan w:val="2"/>
            <w:tcBorders>
              <w:top w:val="nil"/>
              <w:left w:val="nil"/>
              <w:bottom w:val="nil"/>
              <w:right w:val="single" w:sz="4" w:space="0" w:color="auto"/>
            </w:tcBorders>
            <w:noWrap/>
            <w:vAlign w:val="center"/>
            <w:hideMark/>
          </w:tcPr>
          <w:p w14:paraId="6AC5BCD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$74.1</w:t>
            </w:r>
          </w:p>
        </w:tc>
        <w:tc>
          <w:tcPr>
            <w:tcW w:w="443" w:type="pct"/>
            <w:tcBorders>
              <w:top w:val="nil"/>
              <w:left w:val="nil"/>
              <w:bottom w:val="nil"/>
              <w:right w:val="single" w:sz="4" w:space="0" w:color="auto"/>
            </w:tcBorders>
            <w:noWrap/>
            <w:vAlign w:val="center"/>
            <w:hideMark/>
          </w:tcPr>
          <w:p w14:paraId="3EEB7C7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$37.1</w:t>
            </w:r>
          </w:p>
        </w:tc>
      </w:tr>
      <w:tr w:rsidR="00001083" w:rsidRPr="00001083" w14:paraId="53A50919" w14:textId="77777777" w:rsidTr="001761B8">
        <w:trPr>
          <w:trHeight w:val="460"/>
        </w:trPr>
        <w:tc>
          <w:tcPr>
            <w:tcW w:w="284" w:type="pct"/>
            <w:vMerge w:val="restart"/>
            <w:tcBorders>
              <w:top w:val="nil"/>
              <w:left w:val="single" w:sz="4" w:space="0" w:color="auto"/>
              <w:bottom w:val="single" w:sz="4" w:space="0" w:color="000000"/>
              <w:right w:val="single" w:sz="4" w:space="0" w:color="auto"/>
            </w:tcBorders>
            <w:hideMark/>
          </w:tcPr>
          <w:p w14:paraId="509297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16A</w:t>
            </w:r>
          </w:p>
        </w:tc>
        <w:tc>
          <w:tcPr>
            <w:tcW w:w="3385" w:type="pct"/>
            <w:gridSpan w:val="2"/>
            <w:tcBorders>
              <w:top w:val="single" w:sz="4" w:space="0" w:color="auto"/>
              <w:left w:val="nil"/>
              <w:bottom w:val="nil"/>
              <w:right w:val="single" w:sz="4" w:space="0" w:color="auto"/>
            </w:tcBorders>
            <w:vAlign w:val="center"/>
            <w:hideMark/>
          </w:tcPr>
          <w:p w14:paraId="22D092C0"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making of an application under section 120A of the Act, if the proceeding in relation to which the application is made was allocated to the Tribunal's—</w:t>
            </w:r>
          </w:p>
        </w:tc>
        <w:tc>
          <w:tcPr>
            <w:tcW w:w="443" w:type="pct"/>
            <w:tcBorders>
              <w:top w:val="single" w:sz="4" w:space="0" w:color="auto"/>
              <w:left w:val="nil"/>
              <w:bottom w:val="nil"/>
              <w:right w:val="single" w:sz="4" w:space="0" w:color="auto"/>
            </w:tcBorders>
            <w:vAlign w:val="center"/>
            <w:hideMark/>
          </w:tcPr>
          <w:p w14:paraId="369A824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6083BB6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38BA06D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001083" w:rsidRPr="00001083" w14:paraId="3F9BC605" w14:textId="77777777" w:rsidTr="001761B8">
        <w:trPr>
          <w:trHeight w:val="290"/>
        </w:trPr>
        <w:tc>
          <w:tcPr>
            <w:tcW w:w="284" w:type="pct"/>
            <w:vMerge/>
            <w:tcBorders>
              <w:top w:val="nil"/>
              <w:left w:val="single" w:sz="4" w:space="0" w:color="auto"/>
              <w:bottom w:val="single" w:sz="4" w:space="0" w:color="000000"/>
              <w:right w:val="single" w:sz="4" w:space="0" w:color="auto"/>
            </w:tcBorders>
            <w:vAlign w:val="center"/>
            <w:hideMark/>
          </w:tcPr>
          <w:p w14:paraId="7D5AD74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nil"/>
              <w:bottom w:val="nil"/>
              <w:right w:val="single" w:sz="4" w:space="0" w:color="auto"/>
            </w:tcBorders>
            <w:vAlign w:val="center"/>
            <w:hideMark/>
          </w:tcPr>
          <w:p w14:paraId="2100A3EB"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 administrative division or planning and environment division</w:t>
            </w:r>
          </w:p>
        </w:tc>
        <w:tc>
          <w:tcPr>
            <w:tcW w:w="443" w:type="pct"/>
            <w:tcBorders>
              <w:top w:val="nil"/>
              <w:left w:val="nil"/>
              <w:bottom w:val="nil"/>
              <w:right w:val="single" w:sz="4" w:space="0" w:color="auto"/>
            </w:tcBorders>
            <w:vAlign w:val="center"/>
            <w:hideMark/>
          </w:tcPr>
          <w:p w14:paraId="309D36F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$1,075.8</w:t>
            </w:r>
          </w:p>
        </w:tc>
        <w:tc>
          <w:tcPr>
            <w:tcW w:w="443" w:type="pct"/>
            <w:gridSpan w:val="2"/>
            <w:tcBorders>
              <w:top w:val="nil"/>
              <w:left w:val="nil"/>
              <w:bottom w:val="nil"/>
              <w:right w:val="single" w:sz="4" w:space="0" w:color="auto"/>
            </w:tcBorders>
            <w:noWrap/>
            <w:vAlign w:val="center"/>
            <w:hideMark/>
          </w:tcPr>
          <w:p w14:paraId="1A52EF0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$753.1</w:t>
            </w:r>
          </w:p>
        </w:tc>
        <w:tc>
          <w:tcPr>
            <w:tcW w:w="443" w:type="pct"/>
            <w:tcBorders>
              <w:top w:val="nil"/>
              <w:left w:val="nil"/>
              <w:bottom w:val="nil"/>
              <w:right w:val="single" w:sz="4" w:space="0" w:color="auto"/>
            </w:tcBorders>
            <w:noWrap/>
            <w:vAlign w:val="center"/>
            <w:hideMark/>
          </w:tcPr>
          <w:p w14:paraId="7AA8FA6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6FEF7782" w14:textId="77777777" w:rsidTr="001761B8">
        <w:trPr>
          <w:trHeight w:val="290"/>
        </w:trPr>
        <w:tc>
          <w:tcPr>
            <w:tcW w:w="284" w:type="pct"/>
            <w:vMerge/>
            <w:tcBorders>
              <w:top w:val="nil"/>
              <w:left w:val="single" w:sz="4" w:space="0" w:color="auto"/>
              <w:bottom w:val="single" w:sz="4" w:space="0" w:color="000000"/>
              <w:right w:val="single" w:sz="4" w:space="0" w:color="auto"/>
            </w:tcBorders>
            <w:vAlign w:val="center"/>
            <w:hideMark/>
          </w:tcPr>
          <w:p w14:paraId="56087E1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nil"/>
              <w:bottom w:val="single" w:sz="4" w:space="0" w:color="auto"/>
              <w:right w:val="single" w:sz="4" w:space="0" w:color="auto"/>
            </w:tcBorders>
            <w:vAlign w:val="center"/>
            <w:hideMark/>
          </w:tcPr>
          <w:p w14:paraId="1ED91A42"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civil division</w:t>
            </w:r>
          </w:p>
        </w:tc>
        <w:tc>
          <w:tcPr>
            <w:tcW w:w="443" w:type="pct"/>
            <w:tcBorders>
              <w:top w:val="nil"/>
              <w:left w:val="nil"/>
              <w:bottom w:val="single" w:sz="4" w:space="0" w:color="auto"/>
              <w:right w:val="single" w:sz="4" w:space="0" w:color="auto"/>
            </w:tcBorders>
            <w:vAlign w:val="center"/>
            <w:hideMark/>
          </w:tcPr>
          <w:p w14:paraId="09D125C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$605.2</w:t>
            </w:r>
          </w:p>
        </w:tc>
        <w:tc>
          <w:tcPr>
            <w:tcW w:w="443" w:type="pct"/>
            <w:gridSpan w:val="2"/>
            <w:tcBorders>
              <w:top w:val="nil"/>
              <w:left w:val="nil"/>
              <w:bottom w:val="nil"/>
              <w:right w:val="single" w:sz="4" w:space="0" w:color="auto"/>
            </w:tcBorders>
            <w:noWrap/>
            <w:vAlign w:val="center"/>
            <w:hideMark/>
          </w:tcPr>
          <w:p w14:paraId="37A307E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$423.6</w:t>
            </w:r>
          </w:p>
        </w:tc>
        <w:tc>
          <w:tcPr>
            <w:tcW w:w="443" w:type="pct"/>
            <w:tcBorders>
              <w:top w:val="nil"/>
              <w:left w:val="nil"/>
              <w:bottom w:val="nil"/>
              <w:right w:val="single" w:sz="4" w:space="0" w:color="auto"/>
            </w:tcBorders>
            <w:noWrap/>
            <w:vAlign w:val="center"/>
            <w:hideMark/>
          </w:tcPr>
          <w:p w14:paraId="0473F7A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62F59564" w14:textId="77777777" w:rsidTr="001761B8">
        <w:trPr>
          <w:trHeight w:val="460"/>
        </w:trPr>
        <w:tc>
          <w:tcPr>
            <w:tcW w:w="284" w:type="pct"/>
            <w:tcBorders>
              <w:top w:val="nil"/>
              <w:left w:val="single" w:sz="4" w:space="0" w:color="auto"/>
              <w:bottom w:val="single" w:sz="4" w:space="0" w:color="auto"/>
              <w:right w:val="single" w:sz="4" w:space="0" w:color="auto"/>
            </w:tcBorders>
            <w:hideMark/>
          </w:tcPr>
          <w:p w14:paraId="50C8B3E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17</w:t>
            </w:r>
          </w:p>
        </w:tc>
        <w:tc>
          <w:tcPr>
            <w:tcW w:w="3385" w:type="pct"/>
            <w:gridSpan w:val="2"/>
            <w:tcBorders>
              <w:top w:val="nil"/>
              <w:left w:val="nil"/>
              <w:bottom w:val="single" w:sz="4" w:space="0" w:color="auto"/>
              <w:right w:val="single" w:sz="4" w:space="0" w:color="auto"/>
            </w:tcBorders>
            <w:vAlign w:val="center"/>
            <w:hideMark/>
          </w:tcPr>
          <w:p w14:paraId="3EA9B01B"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lodging a statement of grounds in accordance with clause 56 of Schedule 1 to the Act, unless accompanied by a written notice under subclause (5)</w:t>
            </w:r>
          </w:p>
        </w:tc>
        <w:tc>
          <w:tcPr>
            <w:tcW w:w="443" w:type="pct"/>
            <w:tcBorders>
              <w:top w:val="nil"/>
              <w:left w:val="nil"/>
              <w:bottom w:val="single" w:sz="4" w:space="0" w:color="auto"/>
              <w:right w:val="single" w:sz="4" w:space="0" w:color="auto"/>
            </w:tcBorders>
            <w:vAlign w:val="center"/>
            <w:hideMark/>
          </w:tcPr>
          <w:p w14:paraId="0ED5CED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$33.6</w:t>
            </w:r>
          </w:p>
        </w:tc>
        <w:tc>
          <w:tcPr>
            <w:tcW w:w="443" w:type="pct"/>
            <w:gridSpan w:val="2"/>
            <w:tcBorders>
              <w:top w:val="single" w:sz="4" w:space="0" w:color="auto"/>
              <w:left w:val="nil"/>
              <w:bottom w:val="nil"/>
              <w:right w:val="single" w:sz="4" w:space="0" w:color="auto"/>
            </w:tcBorders>
            <w:noWrap/>
            <w:vAlign w:val="center"/>
            <w:hideMark/>
          </w:tcPr>
          <w:p w14:paraId="3B6C7EB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$23.5</w:t>
            </w:r>
          </w:p>
        </w:tc>
        <w:tc>
          <w:tcPr>
            <w:tcW w:w="443" w:type="pct"/>
            <w:tcBorders>
              <w:top w:val="single" w:sz="4" w:space="0" w:color="auto"/>
              <w:left w:val="nil"/>
              <w:bottom w:val="nil"/>
              <w:right w:val="single" w:sz="4" w:space="0" w:color="auto"/>
            </w:tcBorders>
            <w:noWrap/>
            <w:vAlign w:val="center"/>
            <w:hideMark/>
          </w:tcPr>
          <w:p w14:paraId="4C47362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$11.8</w:t>
            </w:r>
          </w:p>
        </w:tc>
      </w:tr>
      <w:tr w:rsidR="00001083" w:rsidRPr="00001083" w14:paraId="435383E7" w14:textId="77777777" w:rsidTr="001761B8">
        <w:trPr>
          <w:trHeight w:val="460"/>
        </w:trPr>
        <w:tc>
          <w:tcPr>
            <w:tcW w:w="284" w:type="pct"/>
            <w:tcBorders>
              <w:top w:val="nil"/>
              <w:left w:val="single" w:sz="4" w:space="0" w:color="auto"/>
              <w:bottom w:val="single" w:sz="4" w:space="0" w:color="auto"/>
              <w:right w:val="single" w:sz="4" w:space="0" w:color="auto"/>
            </w:tcBorders>
            <w:hideMark/>
          </w:tcPr>
          <w:p w14:paraId="0270F6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w:t>
            </w:r>
          </w:p>
        </w:tc>
        <w:tc>
          <w:tcPr>
            <w:tcW w:w="3385" w:type="pct"/>
            <w:gridSpan w:val="2"/>
            <w:tcBorders>
              <w:top w:val="nil"/>
              <w:left w:val="nil"/>
              <w:bottom w:val="single" w:sz="4" w:space="0" w:color="auto"/>
              <w:right w:val="single" w:sz="4" w:space="0" w:color="auto"/>
            </w:tcBorders>
            <w:vAlign w:val="center"/>
            <w:hideMark/>
          </w:tcPr>
          <w:p w14:paraId="42B2DF33"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transfer of a proceeding from the Magistrates' Court to the Tribunal (payable, in addition to the relevant fee for commencement of the proceeding in the Tribunal)</w:t>
            </w:r>
          </w:p>
        </w:tc>
        <w:tc>
          <w:tcPr>
            <w:tcW w:w="443" w:type="pct"/>
            <w:tcBorders>
              <w:top w:val="nil"/>
              <w:left w:val="nil"/>
              <w:bottom w:val="single" w:sz="4" w:space="0" w:color="auto"/>
              <w:right w:val="single" w:sz="4" w:space="0" w:color="auto"/>
            </w:tcBorders>
            <w:vAlign w:val="center"/>
            <w:hideMark/>
          </w:tcPr>
          <w:p w14:paraId="6329776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$105.9</w:t>
            </w:r>
          </w:p>
        </w:tc>
        <w:tc>
          <w:tcPr>
            <w:tcW w:w="443" w:type="pct"/>
            <w:gridSpan w:val="2"/>
            <w:tcBorders>
              <w:top w:val="single" w:sz="4" w:space="0" w:color="auto"/>
              <w:left w:val="nil"/>
              <w:bottom w:val="nil"/>
              <w:right w:val="single" w:sz="4" w:space="0" w:color="auto"/>
            </w:tcBorders>
            <w:noWrap/>
            <w:vAlign w:val="center"/>
            <w:hideMark/>
          </w:tcPr>
          <w:p w14:paraId="48D68D0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$74.1</w:t>
            </w:r>
          </w:p>
        </w:tc>
        <w:tc>
          <w:tcPr>
            <w:tcW w:w="443" w:type="pct"/>
            <w:tcBorders>
              <w:top w:val="single" w:sz="4" w:space="0" w:color="auto"/>
              <w:left w:val="nil"/>
              <w:bottom w:val="nil"/>
              <w:right w:val="single" w:sz="4" w:space="0" w:color="auto"/>
            </w:tcBorders>
            <w:noWrap/>
            <w:vAlign w:val="center"/>
            <w:hideMark/>
          </w:tcPr>
          <w:p w14:paraId="69ECFA8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$37.1</w:t>
            </w:r>
          </w:p>
        </w:tc>
      </w:tr>
      <w:tr w:rsidR="00001083" w:rsidRPr="00001083" w14:paraId="57F2A847" w14:textId="77777777" w:rsidTr="001761B8">
        <w:trPr>
          <w:trHeight w:val="690"/>
        </w:trPr>
        <w:tc>
          <w:tcPr>
            <w:tcW w:w="284" w:type="pct"/>
            <w:tcBorders>
              <w:top w:val="nil"/>
              <w:left w:val="single" w:sz="4" w:space="0" w:color="auto"/>
              <w:bottom w:val="single" w:sz="4" w:space="0" w:color="auto"/>
              <w:right w:val="single" w:sz="4" w:space="0" w:color="auto"/>
            </w:tcBorders>
            <w:hideMark/>
          </w:tcPr>
          <w:p w14:paraId="75F8089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19</w:t>
            </w:r>
          </w:p>
        </w:tc>
        <w:tc>
          <w:tcPr>
            <w:tcW w:w="3385" w:type="pct"/>
            <w:gridSpan w:val="2"/>
            <w:tcBorders>
              <w:top w:val="nil"/>
              <w:left w:val="nil"/>
              <w:bottom w:val="single" w:sz="4" w:space="0" w:color="auto"/>
              <w:right w:val="single" w:sz="4" w:space="0" w:color="auto"/>
            </w:tcBorders>
            <w:vAlign w:val="center"/>
            <w:hideMark/>
          </w:tcPr>
          <w:p w14:paraId="476F44C1"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an application for an injunction to be heard urgently (payable, in addition to the relevant fee for commencement of the proceeding), except if the proceeding is allocated to the residential tenancies division</w:t>
            </w:r>
          </w:p>
        </w:tc>
        <w:tc>
          <w:tcPr>
            <w:tcW w:w="443" w:type="pct"/>
            <w:tcBorders>
              <w:top w:val="nil"/>
              <w:left w:val="nil"/>
              <w:bottom w:val="single" w:sz="4" w:space="0" w:color="auto"/>
              <w:right w:val="single" w:sz="4" w:space="0" w:color="auto"/>
            </w:tcBorders>
            <w:vAlign w:val="center"/>
            <w:hideMark/>
          </w:tcPr>
          <w:p w14:paraId="12AD722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$353.0</w:t>
            </w:r>
          </w:p>
        </w:tc>
        <w:tc>
          <w:tcPr>
            <w:tcW w:w="443" w:type="pct"/>
            <w:gridSpan w:val="2"/>
            <w:tcBorders>
              <w:top w:val="single" w:sz="4" w:space="0" w:color="auto"/>
              <w:left w:val="nil"/>
              <w:bottom w:val="single" w:sz="4" w:space="0" w:color="auto"/>
              <w:right w:val="single" w:sz="4" w:space="0" w:color="auto"/>
            </w:tcBorders>
            <w:noWrap/>
            <w:vAlign w:val="center"/>
            <w:hideMark/>
          </w:tcPr>
          <w:p w14:paraId="230164C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$247.1</w:t>
            </w:r>
          </w:p>
        </w:tc>
        <w:tc>
          <w:tcPr>
            <w:tcW w:w="443" w:type="pct"/>
            <w:tcBorders>
              <w:top w:val="single" w:sz="4" w:space="0" w:color="auto"/>
              <w:left w:val="nil"/>
              <w:bottom w:val="single" w:sz="4" w:space="0" w:color="auto"/>
              <w:right w:val="single" w:sz="4" w:space="0" w:color="auto"/>
            </w:tcBorders>
            <w:noWrap/>
            <w:vAlign w:val="center"/>
            <w:hideMark/>
          </w:tcPr>
          <w:p w14:paraId="07836CD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$123.6</w:t>
            </w:r>
          </w:p>
        </w:tc>
      </w:tr>
      <w:tr w:rsidR="00001083" w:rsidRPr="00001083" w14:paraId="32B31944" w14:textId="77777777" w:rsidTr="001761B8">
        <w:trPr>
          <w:trHeight w:val="290"/>
        </w:trPr>
        <w:tc>
          <w:tcPr>
            <w:tcW w:w="284" w:type="pct"/>
            <w:tcBorders>
              <w:top w:val="single" w:sz="4" w:space="0" w:color="auto"/>
              <w:left w:val="single" w:sz="4" w:space="0" w:color="auto"/>
              <w:bottom w:val="single" w:sz="4" w:space="0" w:color="auto"/>
              <w:right w:val="single" w:sz="4" w:space="0" w:color="auto"/>
            </w:tcBorders>
            <w:vAlign w:val="center"/>
            <w:hideMark/>
          </w:tcPr>
          <w:p w14:paraId="132E8C8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lastRenderedPageBreak/>
              <w:t>20</w:t>
            </w:r>
          </w:p>
        </w:tc>
        <w:tc>
          <w:tcPr>
            <w:tcW w:w="3385" w:type="pct"/>
            <w:gridSpan w:val="2"/>
            <w:tcBorders>
              <w:top w:val="single" w:sz="4" w:space="0" w:color="auto"/>
              <w:left w:val="nil"/>
              <w:bottom w:val="single" w:sz="4" w:space="0" w:color="auto"/>
              <w:right w:val="single" w:sz="4" w:space="0" w:color="auto"/>
            </w:tcBorders>
            <w:vAlign w:val="center"/>
            <w:hideMark/>
          </w:tcPr>
          <w:p w14:paraId="7BD1DD9F"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For the issuing of a warrant in a proceeding allocated to the residential tenancies division</w:t>
            </w:r>
          </w:p>
        </w:tc>
        <w:tc>
          <w:tcPr>
            <w:tcW w:w="443" w:type="pct"/>
            <w:tcBorders>
              <w:top w:val="single" w:sz="4" w:space="0" w:color="auto"/>
              <w:left w:val="nil"/>
              <w:bottom w:val="single" w:sz="4" w:space="0" w:color="auto"/>
              <w:right w:val="single" w:sz="4" w:space="0" w:color="auto"/>
            </w:tcBorders>
            <w:vAlign w:val="center"/>
            <w:hideMark/>
          </w:tcPr>
          <w:p w14:paraId="3D30210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c>
          <w:tcPr>
            <w:tcW w:w="443" w:type="pct"/>
            <w:gridSpan w:val="2"/>
            <w:tcBorders>
              <w:top w:val="single" w:sz="4" w:space="0" w:color="auto"/>
              <w:left w:val="nil"/>
              <w:bottom w:val="single" w:sz="4" w:space="0" w:color="auto"/>
              <w:right w:val="single" w:sz="4" w:space="0" w:color="auto"/>
            </w:tcBorders>
            <w:noWrap/>
            <w:vAlign w:val="center"/>
            <w:hideMark/>
          </w:tcPr>
          <w:p w14:paraId="7A6F3A7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$129.4</w:t>
            </w:r>
          </w:p>
        </w:tc>
        <w:tc>
          <w:tcPr>
            <w:tcW w:w="443" w:type="pct"/>
            <w:tcBorders>
              <w:top w:val="single" w:sz="4" w:space="0" w:color="auto"/>
              <w:left w:val="nil"/>
              <w:bottom w:val="single" w:sz="4" w:space="0" w:color="auto"/>
              <w:right w:val="single" w:sz="4" w:space="0" w:color="auto"/>
            </w:tcBorders>
            <w:noWrap/>
            <w:vAlign w:val="center"/>
            <w:hideMark/>
          </w:tcPr>
          <w:p w14:paraId="1823DBC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r>
      <w:tr w:rsidR="00001083" w:rsidRPr="00001083" w14:paraId="6B4489C5" w14:textId="77777777" w:rsidTr="0070715F">
        <w:trPr>
          <w:trHeight w:val="403"/>
        </w:trPr>
        <w:tc>
          <w:tcPr>
            <w:tcW w:w="4999" w:type="pct"/>
            <w:gridSpan w:val="7"/>
            <w:tcBorders>
              <w:top w:val="single" w:sz="4" w:space="0" w:color="auto"/>
              <w:left w:val="single" w:sz="4" w:space="0" w:color="auto"/>
              <w:bottom w:val="single" w:sz="4" w:space="0" w:color="auto"/>
              <w:right w:val="single" w:sz="4" w:space="0" w:color="auto"/>
            </w:tcBorders>
            <w:shd w:val="clear" w:color="000000" w:fill="F2F2F2"/>
            <w:vAlign w:val="center"/>
            <w:hideMark/>
          </w:tcPr>
          <w:p w14:paraId="12B600AC" w14:textId="2E8936B3" w:rsidR="00001083" w:rsidRPr="009B659C" w:rsidRDefault="00781D77" w:rsidP="009B659C">
            <w:pPr>
              <w:rPr>
                <w:rFonts w:ascii="Arial" w:hAnsi="Arial" w:cs="Arial"/>
                <w:b/>
                <w:color w:val="000000"/>
                <w:sz w:val="18"/>
                <w:szCs w:val="18"/>
                <w:lang w:eastAsia="ko-KR"/>
              </w:rPr>
            </w:pPr>
            <w:r w:rsidRPr="009B659C">
              <w:rPr>
                <w:rFonts w:ascii="Arial" w:hAnsi="Arial" w:cs="Arial"/>
                <w:b/>
                <w:bCs/>
                <w:color w:val="000000"/>
                <w:sz w:val="18"/>
                <w:szCs w:val="18"/>
                <w:lang w:eastAsia="ko-KR"/>
              </w:rPr>
              <w:t>Part 3—Hearing fee</w:t>
            </w:r>
          </w:p>
        </w:tc>
      </w:tr>
      <w:tr w:rsidR="00316614" w:rsidRPr="00001083" w14:paraId="26240961" w14:textId="77777777" w:rsidTr="0070715F">
        <w:trPr>
          <w:trHeight w:val="460"/>
        </w:trPr>
        <w:tc>
          <w:tcPr>
            <w:tcW w:w="284" w:type="pct"/>
            <w:vMerge w:val="restart"/>
            <w:tcBorders>
              <w:top w:val="nil"/>
              <w:left w:val="single" w:sz="4" w:space="0" w:color="auto"/>
              <w:bottom w:val="single" w:sz="4" w:space="0" w:color="auto"/>
              <w:right w:val="nil"/>
            </w:tcBorders>
            <w:hideMark/>
          </w:tcPr>
          <w:p w14:paraId="3F6628C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21</w:t>
            </w:r>
          </w:p>
        </w:tc>
        <w:tc>
          <w:tcPr>
            <w:tcW w:w="3385" w:type="pct"/>
            <w:gridSpan w:val="2"/>
            <w:tcBorders>
              <w:top w:val="nil"/>
              <w:left w:val="single" w:sz="4" w:space="0" w:color="auto"/>
              <w:bottom w:val="nil"/>
              <w:right w:val="nil"/>
            </w:tcBorders>
            <w:vAlign w:val="center"/>
            <w:hideMark/>
          </w:tcPr>
          <w:p w14:paraId="4D363407" w14:textId="77777777" w:rsidR="00001083" w:rsidRPr="00001083" w:rsidRDefault="00001083" w:rsidP="00001083">
            <w:pPr>
              <w:rPr>
                <w:rFonts w:ascii="Arial" w:hAnsi="Arial" w:cs="Arial"/>
                <w:color w:val="000000"/>
                <w:sz w:val="18"/>
                <w:szCs w:val="18"/>
                <w:lang w:eastAsia="ko-KR"/>
              </w:rPr>
            </w:pPr>
            <w:bookmarkStart w:id="130" w:name="RANGE!C233"/>
            <w:r w:rsidRPr="00001083">
              <w:rPr>
                <w:rFonts w:ascii="Arial" w:hAnsi="Arial" w:cs="Arial"/>
                <w:color w:val="000000"/>
                <w:sz w:val="18"/>
                <w:szCs w:val="18"/>
                <w:lang w:eastAsia="ko-KR"/>
              </w:rPr>
              <w:t>For hearing a proceeding for which a fee is payable under Part 1 of this Schedule on commencement, for each day or part of a day, if the proceeding is—</w:t>
            </w:r>
            <w:bookmarkEnd w:id="130"/>
          </w:p>
        </w:tc>
        <w:tc>
          <w:tcPr>
            <w:tcW w:w="443" w:type="pct"/>
            <w:tcBorders>
              <w:top w:val="nil"/>
              <w:left w:val="single" w:sz="4" w:space="0" w:color="auto"/>
              <w:bottom w:val="nil"/>
              <w:right w:val="single" w:sz="4" w:space="0" w:color="auto"/>
            </w:tcBorders>
            <w:vAlign w:val="center"/>
            <w:hideMark/>
          </w:tcPr>
          <w:p w14:paraId="3376C80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single" w:sz="4" w:space="0" w:color="auto"/>
              <w:left w:val="nil"/>
              <w:bottom w:val="nil"/>
              <w:right w:val="single" w:sz="4" w:space="0" w:color="auto"/>
            </w:tcBorders>
            <w:noWrap/>
            <w:vAlign w:val="center"/>
            <w:hideMark/>
          </w:tcPr>
          <w:p w14:paraId="6EE5C748"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single" w:sz="4" w:space="0" w:color="auto"/>
              <w:left w:val="nil"/>
              <w:bottom w:val="nil"/>
              <w:right w:val="single" w:sz="4" w:space="0" w:color="auto"/>
            </w:tcBorders>
            <w:noWrap/>
            <w:vAlign w:val="center"/>
            <w:hideMark/>
          </w:tcPr>
          <w:p w14:paraId="001AFB3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3C2C9AF2"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4F88A20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47BC11CD"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 a complex case that is allocated to the administrative division</w:t>
            </w:r>
          </w:p>
        </w:tc>
        <w:tc>
          <w:tcPr>
            <w:tcW w:w="443" w:type="pct"/>
            <w:tcBorders>
              <w:top w:val="nil"/>
              <w:left w:val="single" w:sz="4" w:space="0" w:color="auto"/>
              <w:bottom w:val="nil"/>
              <w:right w:val="single" w:sz="4" w:space="0" w:color="auto"/>
            </w:tcBorders>
            <w:vAlign w:val="center"/>
            <w:hideMark/>
          </w:tcPr>
          <w:p w14:paraId="1503AE9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$4,051.2</w:t>
            </w:r>
          </w:p>
        </w:tc>
        <w:tc>
          <w:tcPr>
            <w:tcW w:w="443" w:type="pct"/>
            <w:gridSpan w:val="2"/>
            <w:tcBorders>
              <w:top w:val="nil"/>
              <w:left w:val="nil"/>
              <w:bottom w:val="nil"/>
              <w:right w:val="single" w:sz="4" w:space="0" w:color="auto"/>
            </w:tcBorders>
            <w:noWrap/>
            <w:vAlign w:val="center"/>
            <w:hideMark/>
          </w:tcPr>
          <w:p w14:paraId="494E2E9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$2,835.8</w:t>
            </w:r>
          </w:p>
        </w:tc>
        <w:tc>
          <w:tcPr>
            <w:tcW w:w="443" w:type="pct"/>
            <w:tcBorders>
              <w:top w:val="nil"/>
              <w:left w:val="nil"/>
              <w:bottom w:val="nil"/>
              <w:right w:val="single" w:sz="4" w:space="0" w:color="auto"/>
            </w:tcBorders>
            <w:noWrap/>
            <w:vAlign w:val="center"/>
            <w:hideMark/>
          </w:tcPr>
          <w:p w14:paraId="575D951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728320B8" w14:textId="77777777" w:rsidTr="0070715F">
        <w:trPr>
          <w:trHeight w:val="460"/>
        </w:trPr>
        <w:tc>
          <w:tcPr>
            <w:tcW w:w="284" w:type="pct"/>
            <w:vMerge/>
            <w:tcBorders>
              <w:top w:val="nil"/>
              <w:left w:val="single" w:sz="4" w:space="0" w:color="auto"/>
              <w:bottom w:val="single" w:sz="4" w:space="0" w:color="auto"/>
              <w:right w:val="nil"/>
            </w:tcBorders>
            <w:vAlign w:val="center"/>
            <w:hideMark/>
          </w:tcPr>
          <w:p w14:paraId="164113BA"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599E89EE"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(ab) a major case or a complex case that is allocated to the planning and environment division</w:t>
            </w:r>
          </w:p>
        </w:tc>
        <w:tc>
          <w:tcPr>
            <w:tcW w:w="443" w:type="pct"/>
            <w:tcBorders>
              <w:top w:val="nil"/>
              <w:left w:val="single" w:sz="4" w:space="0" w:color="auto"/>
              <w:bottom w:val="nil"/>
              <w:right w:val="single" w:sz="4" w:space="0" w:color="auto"/>
            </w:tcBorders>
            <w:vAlign w:val="center"/>
            <w:hideMark/>
          </w:tcPr>
          <w:p w14:paraId="321E549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$4,051.2</w:t>
            </w:r>
          </w:p>
        </w:tc>
        <w:tc>
          <w:tcPr>
            <w:tcW w:w="443" w:type="pct"/>
            <w:gridSpan w:val="2"/>
            <w:tcBorders>
              <w:top w:val="nil"/>
              <w:left w:val="nil"/>
              <w:bottom w:val="nil"/>
              <w:right w:val="single" w:sz="4" w:space="0" w:color="auto"/>
            </w:tcBorders>
            <w:noWrap/>
            <w:vAlign w:val="center"/>
            <w:hideMark/>
          </w:tcPr>
          <w:p w14:paraId="50A0ED1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$2,835.8</w:t>
            </w:r>
          </w:p>
        </w:tc>
        <w:tc>
          <w:tcPr>
            <w:tcW w:w="443" w:type="pct"/>
            <w:tcBorders>
              <w:top w:val="nil"/>
              <w:left w:val="nil"/>
              <w:bottom w:val="nil"/>
              <w:right w:val="single" w:sz="4" w:space="0" w:color="auto"/>
            </w:tcBorders>
            <w:noWrap/>
            <w:vAlign w:val="center"/>
            <w:hideMark/>
          </w:tcPr>
          <w:p w14:paraId="48B568D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1B6421CD"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2B8B2A4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14E1D451"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(b) a complex case that is allocated to the civil division or the human rights division</w:t>
            </w:r>
          </w:p>
        </w:tc>
        <w:tc>
          <w:tcPr>
            <w:tcW w:w="443" w:type="pct"/>
            <w:tcBorders>
              <w:top w:val="nil"/>
              <w:left w:val="single" w:sz="4" w:space="0" w:color="auto"/>
              <w:bottom w:val="nil"/>
              <w:right w:val="single" w:sz="4" w:space="0" w:color="auto"/>
            </w:tcBorders>
            <w:vAlign w:val="center"/>
            <w:hideMark/>
          </w:tcPr>
          <w:p w14:paraId="369AD7D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$2,975.4</w:t>
            </w:r>
          </w:p>
        </w:tc>
        <w:tc>
          <w:tcPr>
            <w:tcW w:w="443" w:type="pct"/>
            <w:gridSpan w:val="2"/>
            <w:tcBorders>
              <w:top w:val="nil"/>
              <w:left w:val="nil"/>
              <w:bottom w:val="nil"/>
              <w:right w:val="single" w:sz="4" w:space="0" w:color="auto"/>
            </w:tcBorders>
            <w:noWrap/>
            <w:vAlign w:val="center"/>
            <w:hideMark/>
          </w:tcPr>
          <w:p w14:paraId="6D56C6E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$2,082.8</w:t>
            </w:r>
          </w:p>
        </w:tc>
        <w:tc>
          <w:tcPr>
            <w:tcW w:w="443" w:type="pct"/>
            <w:tcBorders>
              <w:top w:val="nil"/>
              <w:left w:val="nil"/>
              <w:bottom w:val="nil"/>
              <w:right w:val="single" w:sz="4" w:space="0" w:color="auto"/>
            </w:tcBorders>
            <w:noWrap/>
            <w:vAlign w:val="center"/>
            <w:hideMark/>
          </w:tcPr>
          <w:p w14:paraId="351901B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01405A13" w14:textId="77777777" w:rsidTr="0070715F">
        <w:trPr>
          <w:trHeight w:val="460"/>
        </w:trPr>
        <w:tc>
          <w:tcPr>
            <w:tcW w:w="284" w:type="pct"/>
            <w:vMerge/>
            <w:tcBorders>
              <w:top w:val="nil"/>
              <w:left w:val="single" w:sz="4" w:space="0" w:color="auto"/>
              <w:bottom w:val="single" w:sz="4" w:space="0" w:color="auto"/>
              <w:right w:val="nil"/>
            </w:tcBorders>
            <w:vAlign w:val="center"/>
            <w:hideMark/>
          </w:tcPr>
          <w:p w14:paraId="6B71782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7B1B89B1"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(c) for a claim that is not for a sum, or is for an unspecified sum, or is for a sum more than $15 000—</w:t>
            </w:r>
          </w:p>
        </w:tc>
        <w:tc>
          <w:tcPr>
            <w:tcW w:w="443" w:type="pct"/>
            <w:tcBorders>
              <w:top w:val="nil"/>
              <w:left w:val="single" w:sz="4" w:space="0" w:color="auto"/>
              <w:bottom w:val="nil"/>
              <w:right w:val="single" w:sz="4" w:space="0" w:color="auto"/>
            </w:tcBorders>
            <w:vAlign w:val="center"/>
            <w:hideMark/>
          </w:tcPr>
          <w:p w14:paraId="6A7E528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0B31997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8D8D3C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0919A755" w14:textId="77777777" w:rsidTr="0070715F">
        <w:trPr>
          <w:trHeight w:val="313"/>
        </w:trPr>
        <w:tc>
          <w:tcPr>
            <w:tcW w:w="284" w:type="pct"/>
            <w:vMerge/>
            <w:tcBorders>
              <w:top w:val="nil"/>
              <w:left w:val="single" w:sz="4" w:space="0" w:color="auto"/>
              <w:bottom w:val="single" w:sz="4" w:space="0" w:color="auto"/>
              <w:right w:val="nil"/>
            </w:tcBorders>
            <w:vAlign w:val="center"/>
            <w:hideMark/>
          </w:tcPr>
          <w:p w14:paraId="1CCC3EE8"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62960001"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 day one, for a proceeding that is—</w:t>
            </w:r>
          </w:p>
        </w:tc>
        <w:tc>
          <w:tcPr>
            <w:tcW w:w="443" w:type="pct"/>
            <w:tcBorders>
              <w:top w:val="nil"/>
              <w:left w:val="single" w:sz="4" w:space="0" w:color="auto"/>
              <w:bottom w:val="nil"/>
              <w:right w:val="single" w:sz="4" w:space="0" w:color="auto"/>
            </w:tcBorders>
            <w:vAlign w:val="center"/>
            <w:hideMark/>
          </w:tcPr>
          <w:p w14:paraId="2F8B14C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c>
          <w:tcPr>
            <w:tcW w:w="443" w:type="pct"/>
            <w:gridSpan w:val="2"/>
            <w:tcBorders>
              <w:top w:val="nil"/>
              <w:left w:val="nil"/>
              <w:bottom w:val="nil"/>
              <w:right w:val="single" w:sz="4" w:space="0" w:color="auto"/>
            </w:tcBorders>
            <w:noWrap/>
            <w:vAlign w:val="center"/>
            <w:hideMark/>
          </w:tcPr>
          <w:p w14:paraId="05A8A90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c>
          <w:tcPr>
            <w:tcW w:w="443" w:type="pct"/>
            <w:tcBorders>
              <w:top w:val="nil"/>
              <w:left w:val="nil"/>
              <w:bottom w:val="nil"/>
              <w:right w:val="single" w:sz="4" w:space="0" w:color="auto"/>
            </w:tcBorders>
            <w:noWrap/>
            <w:vAlign w:val="center"/>
            <w:hideMark/>
          </w:tcPr>
          <w:p w14:paraId="326934C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r>
      <w:tr w:rsidR="00316614" w:rsidRPr="00001083" w14:paraId="3F9F058F"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38352BD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6ADFA747" w14:textId="77777777" w:rsidR="00001083" w:rsidRPr="00001083" w:rsidRDefault="00001083" w:rsidP="00001083">
            <w:pPr>
              <w:ind w:firstLineChars="600" w:firstLine="1080"/>
              <w:rPr>
                <w:rFonts w:ascii="Arial" w:hAnsi="Arial" w:cs="Arial"/>
                <w:color w:val="000000"/>
                <w:sz w:val="18"/>
                <w:szCs w:val="18"/>
                <w:lang w:eastAsia="ko-KR"/>
              </w:rPr>
            </w:pPr>
            <w:r w:rsidRPr="00001083">
              <w:rPr>
                <w:rFonts w:ascii="Arial" w:hAnsi="Arial" w:cs="Arial"/>
                <w:color w:val="000000"/>
                <w:sz w:val="18"/>
                <w:szCs w:val="18"/>
                <w:lang w:eastAsia="ko-KR"/>
              </w:rPr>
              <w:t xml:space="preserve">(A) a proceeding under the </w:t>
            </w:r>
            <w:r w:rsidRPr="00001083">
              <w:rPr>
                <w:rFonts w:ascii="Arial" w:hAnsi="Arial" w:cs="Arial"/>
                <w:b/>
                <w:bCs/>
                <w:color w:val="000000"/>
                <w:sz w:val="18"/>
                <w:szCs w:val="18"/>
                <w:lang w:eastAsia="ko-KR"/>
              </w:rPr>
              <w:t>Owners Corporations Act 2006</w:t>
            </w:r>
            <w:r w:rsidRPr="00001083">
              <w:rPr>
                <w:rFonts w:ascii="Arial" w:hAnsi="Arial" w:cs="Arial"/>
                <w:color w:val="000000"/>
                <w:sz w:val="18"/>
                <w:szCs w:val="18"/>
                <w:lang w:eastAsia="ko-KR"/>
              </w:rPr>
              <w:t>, except section 191; or</w:t>
            </w:r>
          </w:p>
        </w:tc>
        <w:tc>
          <w:tcPr>
            <w:tcW w:w="443" w:type="pct"/>
            <w:tcBorders>
              <w:top w:val="nil"/>
              <w:left w:val="single" w:sz="4" w:space="0" w:color="auto"/>
              <w:bottom w:val="nil"/>
              <w:right w:val="single" w:sz="4" w:space="0" w:color="auto"/>
            </w:tcBorders>
            <w:vAlign w:val="center"/>
            <w:hideMark/>
          </w:tcPr>
          <w:p w14:paraId="21213645"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22BC91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4CD360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6C85A019"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52A51651"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2255F353" w14:textId="77777777" w:rsidR="00001083" w:rsidRPr="00001083" w:rsidRDefault="00001083" w:rsidP="00001083">
            <w:pPr>
              <w:ind w:firstLineChars="600" w:firstLine="1080"/>
              <w:rPr>
                <w:rFonts w:ascii="Arial" w:hAnsi="Arial" w:cs="Arial"/>
                <w:color w:val="000000"/>
                <w:sz w:val="18"/>
                <w:szCs w:val="18"/>
                <w:lang w:eastAsia="ko-KR"/>
              </w:rPr>
            </w:pPr>
            <w:r w:rsidRPr="00001083">
              <w:rPr>
                <w:rFonts w:ascii="Arial" w:hAnsi="Arial" w:cs="Arial"/>
                <w:color w:val="000000"/>
                <w:sz w:val="18"/>
                <w:szCs w:val="18"/>
                <w:lang w:eastAsia="ko-KR"/>
              </w:rPr>
              <w:t>(B) allocated to the residential tenancies division; or</w:t>
            </w:r>
          </w:p>
        </w:tc>
        <w:tc>
          <w:tcPr>
            <w:tcW w:w="443" w:type="pct"/>
            <w:tcBorders>
              <w:top w:val="nil"/>
              <w:left w:val="single" w:sz="4" w:space="0" w:color="auto"/>
              <w:bottom w:val="nil"/>
              <w:right w:val="single" w:sz="4" w:space="0" w:color="auto"/>
            </w:tcBorders>
            <w:vAlign w:val="center"/>
            <w:hideMark/>
          </w:tcPr>
          <w:p w14:paraId="56647F15"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686C30D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199B0E7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20860B14"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5D5BCEE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261C4184" w14:textId="77777777" w:rsidR="00001083" w:rsidRPr="00001083" w:rsidRDefault="00001083" w:rsidP="00001083">
            <w:pPr>
              <w:ind w:firstLineChars="600" w:firstLine="1080"/>
              <w:rPr>
                <w:rFonts w:ascii="Arial" w:hAnsi="Arial" w:cs="Arial"/>
                <w:color w:val="000000"/>
                <w:sz w:val="18"/>
                <w:szCs w:val="18"/>
                <w:lang w:eastAsia="ko-KR"/>
              </w:rPr>
            </w:pPr>
            <w:r w:rsidRPr="00001083">
              <w:rPr>
                <w:rFonts w:ascii="Arial" w:hAnsi="Arial" w:cs="Arial"/>
                <w:color w:val="000000"/>
                <w:sz w:val="18"/>
                <w:szCs w:val="18"/>
                <w:lang w:eastAsia="ko-KR"/>
              </w:rPr>
              <w:t>(C) a claim for a specified sum that is not more than $100 000</w:t>
            </w:r>
          </w:p>
        </w:tc>
        <w:tc>
          <w:tcPr>
            <w:tcW w:w="443" w:type="pct"/>
            <w:tcBorders>
              <w:top w:val="nil"/>
              <w:left w:val="single" w:sz="4" w:space="0" w:color="auto"/>
              <w:bottom w:val="nil"/>
              <w:right w:val="single" w:sz="4" w:space="0" w:color="auto"/>
            </w:tcBorders>
            <w:vAlign w:val="center"/>
            <w:hideMark/>
          </w:tcPr>
          <w:p w14:paraId="250A2C23"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124C03A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0933BA7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7696A391"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5163C48C"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7B78173B"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(ii) day one, otherwise than provided in subparagraph (i)</w:t>
            </w:r>
          </w:p>
        </w:tc>
        <w:tc>
          <w:tcPr>
            <w:tcW w:w="443" w:type="pct"/>
            <w:tcBorders>
              <w:top w:val="nil"/>
              <w:left w:val="single" w:sz="4" w:space="0" w:color="auto"/>
              <w:bottom w:val="nil"/>
              <w:right w:val="single" w:sz="4" w:space="0" w:color="auto"/>
            </w:tcBorders>
            <w:vAlign w:val="center"/>
            <w:hideMark/>
          </w:tcPr>
          <w:p w14:paraId="4920339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$588.4</w:t>
            </w:r>
          </w:p>
        </w:tc>
        <w:tc>
          <w:tcPr>
            <w:tcW w:w="443" w:type="pct"/>
            <w:gridSpan w:val="2"/>
            <w:tcBorders>
              <w:top w:val="nil"/>
              <w:left w:val="nil"/>
              <w:bottom w:val="nil"/>
              <w:right w:val="single" w:sz="4" w:space="0" w:color="auto"/>
            </w:tcBorders>
            <w:noWrap/>
            <w:vAlign w:val="center"/>
            <w:hideMark/>
          </w:tcPr>
          <w:p w14:paraId="7368C73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$411.8</w:t>
            </w:r>
          </w:p>
        </w:tc>
        <w:tc>
          <w:tcPr>
            <w:tcW w:w="443" w:type="pct"/>
            <w:tcBorders>
              <w:top w:val="nil"/>
              <w:left w:val="nil"/>
              <w:bottom w:val="nil"/>
              <w:right w:val="single" w:sz="4" w:space="0" w:color="auto"/>
            </w:tcBorders>
            <w:noWrap/>
            <w:vAlign w:val="center"/>
            <w:hideMark/>
          </w:tcPr>
          <w:p w14:paraId="15AF067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48C04770"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0C0DEA50"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0CE2C3A0"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(iii) days 2 to 4</w:t>
            </w:r>
          </w:p>
        </w:tc>
        <w:tc>
          <w:tcPr>
            <w:tcW w:w="443" w:type="pct"/>
            <w:tcBorders>
              <w:top w:val="nil"/>
              <w:left w:val="single" w:sz="4" w:space="0" w:color="auto"/>
              <w:bottom w:val="nil"/>
              <w:right w:val="single" w:sz="4" w:space="0" w:color="auto"/>
            </w:tcBorders>
            <w:vAlign w:val="center"/>
            <w:hideMark/>
          </w:tcPr>
          <w:p w14:paraId="72778C5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$588.4</w:t>
            </w:r>
          </w:p>
        </w:tc>
        <w:tc>
          <w:tcPr>
            <w:tcW w:w="443" w:type="pct"/>
            <w:gridSpan w:val="2"/>
            <w:tcBorders>
              <w:top w:val="nil"/>
              <w:left w:val="nil"/>
              <w:bottom w:val="nil"/>
              <w:right w:val="single" w:sz="4" w:space="0" w:color="auto"/>
            </w:tcBorders>
            <w:noWrap/>
            <w:vAlign w:val="center"/>
            <w:hideMark/>
          </w:tcPr>
          <w:p w14:paraId="6F4EEC4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$411.8</w:t>
            </w:r>
          </w:p>
        </w:tc>
        <w:tc>
          <w:tcPr>
            <w:tcW w:w="443" w:type="pct"/>
            <w:tcBorders>
              <w:top w:val="nil"/>
              <w:left w:val="nil"/>
              <w:bottom w:val="nil"/>
              <w:right w:val="single" w:sz="4" w:space="0" w:color="auto"/>
            </w:tcBorders>
            <w:noWrap/>
            <w:vAlign w:val="center"/>
            <w:hideMark/>
          </w:tcPr>
          <w:p w14:paraId="41CBF69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2CE735EB"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1381773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68C67508"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(iv) days 5 to 9</w:t>
            </w:r>
          </w:p>
        </w:tc>
        <w:tc>
          <w:tcPr>
            <w:tcW w:w="443" w:type="pct"/>
            <w:tcBorders>
              <w:top w:val="nil"/>
              <w:left w:val="single" w:sz="4" w:space="0" w:color="auto"/>
              <w:bottom w:val="nil"/>
              <w:right w:val="single" w:sz="4" w:space="0" w:color="auto"/>
            </w:tcBorders>
            <w:vAlign w:val="center"/>
            <w:hideMark/>
          </w:tcPr>
          <w:p w14:paraId="208492C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$1,176.7</w:t>
            </w:r>
          </w:p>
        </w:tc>
        <w:tc>
          <w:tcPr>
            <w:tcW w:w="443" w:type="pct"/>
            <w:gridSpan w:val="2"/>
            <w:tcBorders>
              <w:top w:val="nil"/>
              <w:left w:val="nil"/>
              <w:bottom w:val="nil"/>
              <w:right w:val="single" w:sz="4" w:space="0" w:color="auto"/>
            </w:tcBorders>
            <w:noWrap/>
            <w:vAlign w:val="center"/>
            <w:hideMark/>
          </w:tcPr>
          <w:p w14:paraId="18FF416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$823.7</w:t>
            </w:r>
          </w:p>
        </w:tc>
        <w:tc>
          <w:tcPr>
            <w:tcW w:w="443" w:type="pct"/>
            <w:tcBorders>
              <w:top w:val="nil"/>
              <w:left w:val="nil"/>
              <w:bottom w:val="nil"/>
              <w:right w:val="single" w:sz="4" w:space="0" w:color="auto"/>
            </w:tcBorders>
            <w:noWrap/>
            <w:vAlign w:val="center"/>
            <w:hideMark/>
          </w:tcPr>
          <w:p w14:paraId="137C918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12FC76CB"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3D0C3E5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19C0F590"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(v) day 10 and any subsequent day</w:t>
            </w:r>
          </w:p>
        </w:tc>
        <w:tc>
          <w:tcPr>
            <w:tcW w:w="443" w:type="pct"/>
            <w:tcBorders>
              <w:top w:val="nil"/>
              <w:left w:val="single" w:sz="4" w:space="0" w:color="auto"/>
              <w:bottom w:val="nil"/>
              <w:right w:val="single" w:sz="4" w:space="0" w:color="auto"/>
            </w:tcBorders>
            <w:vAlign w:val="center"/>
            <w:hideMark/>
          </w:tcPr>
          <w:p w14:paraId="1A995A40"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$1,765.1</w:t>
            </w:r>
          </w:p>
        </w:tc>
        <w:tc>
          <w:tcPr>
            <w:tcW w:w="443" w:type="pct"/>
            <w:gridSpan w:val="2"/>
            <w:tcBorders>
              <w:top w:val="nil"/>
              <w:left w:val="nil"/>
              <w:bottom w:val="nil"/>
              <w:right w:val="single" w:sz="4" w:space="0" w:color="auto"/>
            </w:tcBorders>
            <w:noWrap/>
            <w:vAlign w:val="center"/>
            <w:hideMark/>
          </w:tcPr>
          <w:p w14:paraId="082800E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$1,235.5</w:t>
            </w:r>
          </w:p>
        </w:tc>
        <w:tc>
          <w:tcPr>
            <w:tcW w:w="443" w:type="pct"/>
            <w:tcBorders>
              <w:top w:val="nil"/>
              <w:left w:val="nil"/>
              <w:bottom w:val="nil"/>
              <w:right w:val="single" w:sz="4" w:space="0" w:color="auto"/>
            </w:tcBorders>
            <w:noWrap/>
            <w:vAlign w:val="center"/>
            <w:hideMark/>
          </w:tcPr>
          <w:p w14:paraId="01B83601"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7CE4D0C3"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7A660696"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3717AC38" w14:textId="77777777" w:rsidR="00001083" w:rsidRPr="00001083" w:rsidRDefault="00001083" w:rsidP="00001083">
            <w:pPr>
              <w:ind w:firstLineChars="200" w:firstLine="360"/>
              <w:rPr>
                <w:rFonts w:ascii="Arial" w:hAnsi="Arial" w:cs="Arial"/>
                <w:color w:val="000000"/>
                <w:sz w:val="18"/>
                <w:szCs w:val="18"/>
                <w:lang w:eastAsia="ko-KR"/>
              </w:rPr>
            </w:pPr>
            <w:r w:rsidRPr="00001083">
              <w:rPr>
                <w:rFonts w:ascii="Arial" w:hAnsi="Arial" w:cs="Arial"/>
                <w:color w:val="000000"/>
                <w:sz w:val="18"/>
                <w:szCs w:val="18"/>
                <w:lang w:eastAsia="ko-KR"/>
              </w:rPr>
              <w:t>(d) for review of a decision made by a decision</w:t>
            </w:r>
            <w:r w:rsidRPr="00001083">
              <w:rPr>
                <w:rFonts w:ascii="Arial" w:hAnsi="Arial" w:cs="Arial"/>
                <w:color w:val="000000"/>
                <w:sz w:val="18"/>
                <w:szCs w:val="18"/>
                <w:lang w:eastAsia="ko-KR"/>
              </w:rPr>
              <w:noBreakHyphen/>
              <w:t>maker—</w:t>
            </w:r>
          </w:p>
        </w:tc>
        <w:tc>
          <w:tcPr>
            <w:tcW w:w="443" w:type="pct"/>
            <w:tcBorders>
              <w:top w:val="nil"/>
              <w:left w:val="single" w:sz="4" w:space="0" w:color="auto"/>
              <w:bottom w:val="nil"/>
              <w:right w:val="single" w:sz="4" w:space="0" w:color="auto"/>
            </w:tcBorders>
            <w:vAlign w:val="center"/>
            <w:hideMark/>
          </w:tcPr>
          <w:p w14:paraId="2236A069"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24B49B3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FB4246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4480F38C"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7129D122"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6C48EEC6"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 day one, for a proceeding that is—</w:t>
            </w:r>
          </w:p>
        </w:tc>
        <w:tc>
          <w:tcPr>
            <w:tcW w:w="443" w:type="pct"/>
            <w:tcBorders>
              <w:top w:val="nil"/>
              <w:left w:val="single" w:sz="4" w:space="0" w:color="auto"/>
              <w:bottom w:val="nil"/>
              <w:right w:val="single" w:sz="4" w:space="0" w:color="auto"/>
            </w:tcBorders>
            <w:vAlign w:val="center"/>
            <w:hideMark/>
          </w:tcPr>
          <w:p w14:paraId="44FD11A6"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B9AE08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3FA5537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146B5C7D"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220C157B"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44A0DE6F" w14:textId="77777777" w:rsidR="00001083" w:rsidRPr="00001083" w:rsidRDefault="00001083" w:rsidP="00001083">
            <w:pPr>
              <w:ind w:firstLineChars="600" w:firstLine="1080"/>
              <w:rPr>
                <w:rFonts w:ascii="Arial" w:hAnsi="Arial" w:cs="Arial"/>
                <w:color w:val="000000"/>
                <w:sz w:val="18"/>
                <w:szCs w:val="18"/>
                <w:lang w:eastAsia="ko-KR"/>
              </w:rPr>
            </w:pPr>
            <w:r w:rsidRPr="00001083">
              <w:rPr>
                <w:rFonts w:ascii="Arial" w:hAnsi="Arial" w:cs="Arial"/>
                <w:color w:val="000000"/>
                <w:sz w:val="18"/>
                <w:szCs w:val="18"/>
                <w:lang w:eastAsia="ko-KR"/>
              </w:rPr>
              <w:t>(A) a VicSmart proceeding; or</w:t>
            </w:r>
          </w:p>
        </w:tc>
        <w:tc>
          <w:tcPr>
            <w:tcW w:w="443" w:type="pct"/>
            <w:tcBorders>
              <w:top w:val="nil"/>
              <w:left w:val="single" w:sz="4" w:space="0" w:color="auto"/>
              <w:bottom w:val="nil"/>
              <w:right w:val="single" w:sz="4" w:space="0" w:color="auto"/>
            </w:tcBorders>
            <w:vAlign w:val="center"/>
            <w:hideMark/>
          </w:tcPr>
          <w:p w14:paraId="6A821E7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c>
          <w:tcPr>
            <w:tcW w:w="443" w:type="pct"/>
            <w:gridSpan w:val="2"/>
            <w:tcBorders>
              <w:top w:val="nil"/>
              <w:left w:val="nil"/>
              <w:bottom w:val="nil"/>
              <w:right w:val="single" w:sz="4" w:space="0" w:color="auto"/>
            </w:tcBorders>
            <w:noWrap/>
            <w:vAlign w:val="center"/>
            <w:hideMark/>
          </w:tcPr>
          <w:p w14:paraId="1CD89D4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c>
          <w:tcPr>
            <w:tcW w:w="443" w:type="pct"/>
            <w:tcBorders>
              <w:top w:val="nil"/>
              <w:left w:val="nil"/>
              <w:bottom w:val="nil"/>
              <w:right w:val="single" w:sz="4" w:space="0" w:color="auto"/>
            </w:tcBorders>
            <w:noWrap/>
            <w:vAlign w:val="center"/>
            <w:hideMark/>
          </w:tcPr>
          <w:p w14:paraId="3D161D3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$0.0</w:t>
            </w:r>
          </w:p>
        </w:tc>
      </w:tr>
      <w:tr w:rsidR="00316614" w:rsidRPr="00001083" w14:paraId="0B7A2018"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75C7DFE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0FE59F7A" w14:textId="77777777" w:rsidR="00001083" w:rsidRPr="00001083" w:rsidRDefault="00001083" w:rsidP="00001083">
            <w:pPr>
              <w:ind w:firstLineChars="600" w:firstLine="1080"/>
              <w:rPr>
                <w:rFonts w:ascii="Arial" w:hAnsi="Arial" w:cs="Arial"/>
                <w:color w:val="000000"/>
                <w:sz w:val="18"/>
                <w:szCs w:val="18"/>
                <w:lang w:eastAsia="ko-KR"/>
              </w:rPr>
            </w:pPr>
            <w:r w:rsidRPr="00001083">
              <w:rPr>
                <w:rFonts w:ascii="Arial" w:hAnsi="Arial" w:cs="Arial"/>
                <w:color w:val="000000"/>
                <w:sz w:val="18"/>
                <w:szCs w:val="18"/>
                <w:lang w:eastAsia="ko-KR"/>
              </w:rPr>
              <w:t xml:space="preserve">(B) a proceeding under section 80 of the </w:t>
            </w:r>
            <w:r w:rsidRPr="00001083">
              <w:rPr>
                <w:rFonts w:ascii="Arial" w:hAnsi="Arial" w:cs="Arial"/>
                <w:b/>
                <w:bCs/>
                <w:color w:val="000000"/>
                <w:sz w:val="18"/>
                <w:szCs w:val="18"/>
                <w:lang w:eastAsia="ko-KR"/>
              </w:rPr>
              <w:t>Planning and Environment Act 1987</w:t>
            </w:r>
          </w:p>
        </w:tc>
        <w:tc>
          <w:tcPr>
            <w:tcW w:w="443" w:type="pct"/>
            <w:tcBorders>
              <w:top w:val="nil"/>
              <w:left w:val="single" w:sz="4" w:space="0" w:color="auto"/>
              <w:bottom w:val="nil"/>
              <w:right w:val="single" w:sz="4" w:space="0" w:color="auto"/>
            </w:tcBorders>
            <w:vAlign w:val="center"/>
            <w:hideMark/>
          </w:tcPr>
          <w:p w14:paraId="7723B6DA" w14:textId="77777777" w:rsidR="00001083" w:rsidRPr="00001083" w:rsidRDefault="00001083" w:rsidP="00001083">
            <w:pP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gridSpan w:val="2"/>
            <w:tcBorders>
              <w:top w:val="nil"/>
              <w:left w:val="nil"/>
              <w:bottom w:val="nil"/>
              <w:right w:val="single" w:sz="4" w:space="0" w:color="auto"/>
            </w:tcBorders>
            <w:noWrap/>
            <w:vAlign w:val="center"/>
            <w:hideMark/>
          </w:tcPr>
          <w:p w14:paraId="302AB77E"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c>
          <w:tcPr>
            <w:tcW w:w="443" w:type="pct"/>
            <w:tcBorders>
              <w:top w:val="nil"/>
              <w:left w:val="nil"/>
              <w:bottom w:val="nil"/>
              <w:right w:val="single" w:sz="4" w:space="0" w:color="auto"/>
            </w:tcBorders>
            <w:noWrap/>
            <w:vAlign w:val="center"/>
            <w:hideMark/>
          </w:tcPr>
          <w:p w14:paraId="71CE1EA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 </w:t>
            </w:r>
          </w:p>
        </w:tc>
      </w:tr>
      <w:tr w:rsidR="00316614" w:rsidRPr="00001083" w14:paraId="036979B5"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672DFA47"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69E77385"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(ii) day one, otherwise than provided in subparagraph (i)</w:t>
            </w:r>
          </w:p>
        </w:tc>
        <w:tc>
          <w:tcPr>
            <w:tcW w:w="443" w:type="pct"/>
            <w:tcBorders>
              <w:top w:val="nil"/>
              <w:left w:val="single" w:sz="4" w:space="0" w:color="auto"/>
              <w:bottom w:val="nil"/>
              <w:right w:val="single" w:sz="4" w:space="0" w:color="auto"/>
            </w:tcBorders>
            <w:vAlign w:val="center"/>
            <w:hideMark/>
          </w:tcPr>
          <w:p w14:paraId="6F47AD9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$588.4</w:t>
            </w:r>
          </w:p>
        </w:tc>
        <w:tc>
          <w:tcPr>
            <w:tcW w:w="443" w:type="pct"/>
            <w:gridSpan w:val="2"/>
            <w:tcBorders>
              <w:top w:val="nil"/>
              <w:left w:val="nil"/>
              <w:bottom w:val="nil"/>
              <w:right w:val="single" w:sz="4" w:space="0" w:color="auto"/>
            </w:tcBorders>
            <w:noWrap/>
            <w:vAlign w:val="center"/>
            <w:hideMark/>
          </w:tcPr>
          <w:p w14:paraId="2BDACEB3"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$411.8</w:t>
            </w:r>
          </w:p>
        </w:tc>
        <w:tc>
          <w:tcPr>
            <w:tcW w:w="443" w:type="pct"/>
            <w:tcBorders>
              <w:top w:val="nil"/>
              <w:left w:val="nil"/>
              <w:bottom w:val="nil"/>
              <w:right w:val="single" w:sz="4" w:space="0" w:color="auto"/>
            </w:tcBorders>
            <w:noWrap/>
            <w:vAlign w:val="center"/>
            <w:hideMark/>
          </w:tcPr>
          <w:p w14:paraId="04386AE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34728D7F"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006ED62C"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371AF90D"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(iii) days 2 to 4</w:t>
            </w:r>
          </w:p>
        </w:tc>
        <w:tc>
          <w:tcPr>
            <w:tcW w:w="443" w:type="pct"/>
            <w:tcBorders>
              <w:top w:val="nil"/>
              <w:left w:val="single" w:sz="4" w:space="0" w:color="auto"/>
              <w:bottom w:val="nil"/>
              <w:right w:val="single" w:sz="4" w:space="0" w:color="auto"/>
            </w:tcBorders>
            <w:vAlign w:val="center"/>
            <w:hideMark/>
          </w:tcPr>
          <w:p w14:paraId="20D141DD"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$588.4</w:t>
            </w:r>
          </w:p>
        </w:tc>
        <w:tc>
          <w:tcPr>
            <w:tcW w:w="443" w:type="pct"/>
            <w:gridSpan w:val="2"/>
            <w:tcBorders>
              <w:top w:val="nil"/>
              <w:left w:val="nil"/>
              <w:bottom w:val="nil"/>
              <w:right w:val="single" w:sz="4" w:space="0" w:color="auto"/>
            </w:tcBorders>
            <w:noWrap/>
            <w:vAlign w:val="center"/>
            <w:hideMark/>
          </w:tcPr>
          <w:p w14:paraId="16D88DEF"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$411.8</w:t>
            </w:r>
          </w:p>
        </w:tc>
        <w:tc>
          <w:tcPr>
            <w:tcW w:w="443" w:type="pct"/>
            <w:tcBorders>
              <w:top w:val="nil"/>
              <w:left w:val="nil"/>
              <w:bottom w:val="nil"/>
              <w:right w:val="single" w:sz="4" w:space="0" w:color="auto"/>
            </w:tcBorders>
            <w:noWrap/>
            <w:vAlign w:val="center"/>
            <w:hideMark/>
          </w:tcPr>
          <w:p w14:paraId="0CC9CAB7"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316614" w:rsidRPr="00001083" w14:paraId="1F5D60F6" w14:textId="77777777" w:rsidTr="0070715F">
        <w:trPr>
          <w:trHeight w:val="290"/>
        </w:trPr>
        <w:tc>
          <w:tcPr>
            <w:tcW w:w="284" w:type="pct"/>
            <w:vMerge/>
            <w:tcBorders>
              <w:top w:val="nil"/>
              <w:left w:val="single" w:sz="4" w:space="0" w:color="auto"/>
              <w:bottom w:val="single" w:sz="4" w:space="0" w:color="auto"/>
              <w:right w:val="nil"/>
            </w:tcBorders>
            <w:vAlign w:val="center"/>
            <w:hideMark/>
          </w:tcPr>
          <w:p w14:paraId="29AB11C3"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nil"/>
              <w:right w:val="nil"/>
            </w:tcBorders>
            <w:vAlign w:val="center"/>
            <w:hideMark/>
          </w:tcPr>
          <w:p w14:paraId="22D52A67"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(iv) days 5 to 9</w:t>
            </w:r>
          </w:p>
        </w:tc>
        <w:tc>
          <w:tcPr>
            <w:tcW w:w="443" w:type="pct"/>
            <w:tcBorders>
              <w:top w:val="nil"/>
              <w:left w:val="single" w:sz="4" w:space="0" w:color="auto"/>
              <w:bottom w:val="nil"/>
              <w:right w:val="single" w:sz="4" w:space="0" w:color="auto"/>
            </w:tcBorders>
            <w:vAlign w:val="center"/>
            <w:hideMark/>
          </w:tcPr>
          <w:p w14:paraId="66C86C9C"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$1,176.7</w:t>
            </w:r>
          </w:p>
        </w:tc>
        <w:tc>
          <w:tcPr>
            <w:tcW w:w="443" w:type="pct"/>
            <w:gridSpan w:val="2"/>
            <w:tcBorders>
              <w:top w:val="nil"/>
              <w:left w:val="nil"/>
              <w:bottom w:val="nil"/>
              <w:right w:val="single" w:sz="4" w:space="0" w:color="auto"/>
            </w:tcBorders>
            <w:noWrap/>
            <w:vAlign w:val="center"/>
            <w:hideMark/>
          </w:tcPr>
          <w:p w14:paraId="31FB898B"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$823.7</w:t>
            </w:r>
          </w:p>
        </w:tc>
        <w:tc>
          <w:tcPr>
            <w:tcW w:w="443" w:type="pct"/>
            <w:tcBorders>
              <w:top w:val="nil"/>
              <w:left w:val="nil"/>
              <w:bottom w:val="nil"/>
              <w:right w:val="single" w:sz="4" w:space="0" w:color="auto"/>
            </w:tcBorders>
            <w:noWrap/>
            <w:vAlign w:val="center"/>
            <w:hideMark/>
          </w:tcPr>
          <w:p w14:paraId="19D8706A"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5E8B568" w14:textId="77777777" w:rsidTr="001761B8">
        <w:trPr>
          <w:trHeight w:val="290"/>
        </w:trPr>
        <w:tc>
          <w:tcPr>
            <w:tcW w:w="284" w:type="pct"/>
            <w:vMerge/>
            <w:tcBorders>
              <w:top w:val="nil"/>
              <w:left w:val="single" w:sz="4" w:space="0" w:color="auto"/>
              <w:bottom w:val="single" w:sz="4" w:space="0" w:color="auto"/>
              <w:right w:val="nil"/>
            </w:tcBorders>
            <w:vAlign w:val="center"/>
            <w:hideMark/>
          </w:tcPr>
          <w:p w14:paraId="5C5D77A9" w14:textId="77777777" w:rsidR="00001083" w:rsidRPr="00001083" w:rsidRDefault="00001083" w:rsidP="00001083">
            <w:pPr>
              <w:rPr>
                <w:rFonts w:ascii="Arial" w:hAnsi="Arial" w:cs="Arial"/>
                <w:color w:val="000000"/>
                <w:sz w:val="18"/>
                <w:szCs w:val="18"/>
                <w:lang w:eastAsia="ko-KR"/>
              </w:rPr>
            </w:pPr>
          </w:p>
        </w:tc>
        <w:tc>
          <w:tcPr>
            <w:tcW w:w="3385" w:type="pct"/>
            <w:gridSpan w:val="2"/>
            <w:tcBorders>
              <w:top w:val="nil"/>
              <w:left w:val="single" w:sz="4" w:space="0" w:color="auto"/>
              <w:bottom w:val="single" w:sz="4" w:space="0" w:color="auto"/>
              <w:right w:val="nil"/>
            </w:tcBorders>
            <w:vAlign w:val="center"/>
            <w:hideMark/>
          </w:tcPr>
          <w:p w14:paraId="08C47460" w14:textId="77777777" w:rsidR="00001083" w:rsidRPr="00001083" w:rsidRDefault="00001083" w:rsidP="00001083">
            <w:pPr>
              <w:ind w:firstLineChars="400" w:firstLine="720"/>
              <w:rPr>
                <w:rFonts w:ascii="Arial" w:hAnsi="Arial" w:cs="Arial"/>
                <w:color w:val="000000"/>
                <w:sz w:val="18"/>
                <w:szCs w:val="18"/>
                <w:lang w:eastAsia="ko-KR"/>
              </w:rPr>
            </w:pPr>
            <w:r w:rsidRPr="00001083">
              <w:rPr>
                <w:rFonts w:ascii="Arial" w:hAnsi="Arial" w:cs="Arial"/>
                <w:color w:val="000000"/>
                <w:sz w:val="18"/>
                <w:szCs w:val="18"/>
                <w:lang w:eastAsia="ko-KR"/>
              </w:rPr>
              <w:t>(v) day 10 and any subsequent day</w:t>
            </w:r>
          </w:p>
        </w:tc>
        <w:tc>
          <w:tcPr>
            <w:tcW w:w="443" w:type="pct"/>
            <w:tcBorders>
              <w:top w:val="nil"/>
              <w:left w:val="single" w:sz="4" w:space="0" w:color="auto"/>
              <w:bottom w:val="single" w:sz="4" w:space="0" w:color="auto"/>
              <w:right w:val="single" w:sz="4" w:space="0" w:color="auto"/>
            </w:tcBorders>
            <w:vAlign w:val="center"/>
            <w:hideMark/>
          </w:tcPr>
          <w:p w14:paraId="73B14284"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$1,765.1</w:t>
            </w:r>
          </w:p>
        </w:tc>
        <w:tc>
          <w:tcPr>
            <w:tcW w:w="443" w:type="pct"/>
            <w:gridSpan w:val="2"/>
            <w:tcBorders>
              <w:top w:val="nil"/>
              <w:left w:val="nil"/>
              <w:bottom w:val="single" w:sz="4" w:space="0" w:color="auto"/>
              <w:right w:val="single" w:sz="4" w:space="0" w:color="auto"/>
            </w:tcBorders>
            <w:noWrap/>
            <w:vAlign w:val="center"/>
            <w:hideMark/>
          </w:tcPr>
          <w:p w14:paraId="7251B245"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$1,235.5</w:t>
            </w:r>
          </w:p>
        </w:tc>
        <w:tc>
          <w:tcPr>
            <w:tcW w:w="443" w:type="pct"/>
            <w:tcBorders>
              <w:top w:val="nil"/>
              <w:left w:val="nil"/>
              <w:bottom w:val="single" w:sz="4" w:space="0" w:color="auto"/>
              <w:right w:val="single" w:sz="4" w:space="0" w:color="auto"/>
            </w:tcBorders>
            <w:noWrap/>
            <w:vAlign w:val="center"/>
            <w:hideMark/>
          </w:tcPr>
          <w:p w14:paraId="4330E5B2" w14:textId="77777777" w:rsidR="00001083" w:rsidRPr="00001083" w:rsidRDefault="00001083" w:rsidP="00001083">
            <w:pPr>
              <w:jc w:val="center"/>
              <w:rPr>
                <w:rFonts w:ascii="Arial" w:hAnsi="Arial" w:cs="Arial"/>
                <w:color w:val="000000"/>
                <w:sz w:val="18"/>
                <w:szCs w:val="18"/>
                <w:lang w:eastAsia="ko-KR"/>
              </w:rPr>
            </w:pPr>
            <w:r w:rsidRPr="00001083">
              <w:rPr>
                <w:rFonts w:ascii="Arial" w:hAnsi="Arial" w:cs="Arial"/>
                <w:color w:val="000000"/>
                <w:sz w:val="18"/>
                <w:szCs w:val="18"/>
                <w:lang w:eastAsia="ko-KR"/>
              </w:rPr>
              <w:t>$184.9</w:t>
            </w:r>
          </w:p>
        </w:tc>
      </w:tr>
      <w:tr w:rsidR="00001083" w:rsidRPr="00001083" w14:paraId="40689F64" w14:textId="77777777" w:rsidTr="001761B8">
        <w:trPr>
          <w:trHeight w:val="290"/>
        </w:trPr>
        <w:tc>
          <w:tcPr>
            <w:tcW w:w="284" w:type="pct"/>
            <w:tcBorders>
              <w:top w:val="nil"/>
              <w:left w:val="nil"/>
              <w:bottom w:val="nil"/>
              <w:right w:val="nil"/>
            </w:tcBorders>
            <w:hideMark/>
          </w:tcPr>
          <w:p w14:paraId="0B842529" w14:textId="77777777" w:rsidR="00001083" w:rsidRPr="00001083" w:rsidRDefault="00001083" w:rsidP="00001083">
            <w:pPr>
              <w:jc w:val="center"/>
              <w:rPr>
                <w:rFonts w:ascii="Arial" w:hAnsi="Arial" w:cs="Arial"/>
                <w:color w:val="000000"/>
                <w:sz w:val="18"/>
                <w:szCs w:val="18"/>
                <w:lang w:eastAsia="ko-KR"/>
              </w:rPr>
            </w:pPr>
          </w:p>
        </w:tc>
        <w:tc>
          <w:tcPr>
            <w:tcW w:w="3385" w:type="pct"/>
            <w:gridSpan w:val="2"/>
            <w:tcBorders>
              <w:top w:val="nil"/>
              <w:left w:val="nil"/>
              <w:bottom w:val="nil"/>
              <w:right w:val="nil"/>
            </w:tcBorders>
            <w:vAlign w:val="center"/>
            <w:hideMark/>
          </w:tcPr>
          <w:p w14:paraId="67924938" w14:textId="77777777" w:rsidR="00001083" w:rsidRPr="00001083" w:rsidRDefault="00001083" w:rsidP="00001083">
            <w:pPr>
              <w:jc w:val="center"/>
              <w:rPr>
                <w:rFonts w:ascii="Times New Roman" w:hAnsi="Times New Roman"/>
                <w:lang w:eastAsia="ko-KR"/>
              </w:rPr>
            </w:pPr>
          </w:p>
        </w:tc>
        <w:tc>
          <w:tcPr>
            <w:tcW w:w="443" w:type="pct"/>
            <w:tcBorders>
              <w:top w:val="nil"/>
              <w:left w:val="nil"/>
              <w:bottom w:val="nil"/>
              <w:right w:val="nil"/>
            </w:tcBorders>
            <w:vAlign w:val="center"/>
            <w:hideMark/>
          </w:tcPr>
          <w:p w14:paraId="720FD371" w14:textId="77777777" w:rsidR="00001083" w:rsidRPr="00001083" w:rsidRDefault="00001083" w:rsidP="00001083">
            <w:pPr>
              <w:ind w:firstLineChars="400" w:firstLine="800"/>
              <w:rPr>
                <w:rFonts w:ascii="Times New Roman" w:hAnsi="Times New Roman"/>
                <w:lang w:eastAsia="ko-KR"/>
              </w:rPr>
            </w:pPr>
          </w:p>
        </w:tc>
        <w:tc>
          <w:tcPr>
            <w:tcW w:w="443" w:type="pct"/>
            <w:gridSpan w:val="2"/>
            <w:tcBorders>
              <w:top w:val="nil"/>
              <w:left w:val="nil"/>
              <w:bottom w:val="nil"/>
              <w:right w:val="nil"/>
            </w:tcBorders>
            <w:noWrap/>
            <w:vAlign w:val="bottom"/>
            <w:hideMark/>
          </w:tcPr>
          <w:p w14:paraId="642F77AE" w14:textId="77777777" w:rsidR="00001083" w:rsidRPr="00001083" w:rsidRDefault="00001083" w:rsidP="00001083">
            <w:pPr>
              <w:jc w:val="center"/>
              <w:rPr>
                <w:rFonts w:ascii="Times New Roman" w:hAnsi="Times New Roman"/>
                <w:lang w:eastAsia="ko-KR"/>
              </w:rPr>
            </w:pPr>
          </w:p>
        </w:tc>
        <w:tc>
          <w:tcPr>
            <w:tcW w:w="443" w:type="pct"/>
            <w:tcBorders>
              <w:top w:val="nil"/>
              <w:left w:val="nil"/>
              <w:bottom w:val="nil"/>
              <w:right w:val="nil"/>
            </w:tcBorders>
            <w:noWrap/>
            <w:vAlign w:val="bottom"/>
            <w:hideMark/>
          </w:tcPr>
          <w:p w14:paraId="0C0F4221" w14:textId="77777777" w:rsidR="00001083" w:rsidRPr="00001083" w:rsidRDefault="00001083" w:rsidP="00001083">
            <w:pPr>
              <w:rPr>
                <w:rFonts w:ascii="Times New Roman" w:hAnsi="Times New Roman"/>
                <w:lang w:eastAsia="ko-KR"/>
              </w:rPr>
            </w:pPr>
          </w:p>
        </w:tc>
      </w:tr>
      <w:tr w:rsidR="00113228" w:rsidRPr="00F26E45" w14:paraId="611E0C25" w14:textId="77777777" w:rsidTr="0070715F">
        <w:trPr>
          <w:trHeight w:val="555"/>
          <w:tblHeader/>
        </w:trPr>
        <w:tc>
          <w:tcPr>
            <w:tcW w:w="464" w:type="pct"/>
            <w:gridSpan w:val="2"/>
            <w:tcBorders>
              <w:top w:val="single" w:sz="4" w:space="0" w:color="auto"/>
              <w:left w:val="single" w:sz="4" w:space="0" w:color="auto"/>
              <w:bottom w:val="nil"/>
              <w:right w:val="single" w:sz="4" w:space="0" w:color="auto"/>
            </w:tcBorders>
            <w:shd w:val="clear" w:color="000000" w:fill="16145F"/>
            <w:noWrap/>
            <w:vAlign w:val="center"/>
            <w:hideMark/>
          </w:tcPr>
          <w:p w14:paraId="3F62B340" w14:textId="77777777" w:rsidR="00113228" w:rsidRPr="00F26E45" w:rsidRDefault="00113228">
            <w:pPr>
              <w:jc w:val="center"/>
              <w:rPr>
                <w:rFonts w:ascii="Arial" w:hAnsi="Arial" w:cs="Arial"/>
                <w:b/>
                <w:bCs/>
                <w:color w:val="FFFFFF"/>
                <w:sz w:val="18"/>
                <w:szCs w:val="18"/>
                <w:lang w:eastAsia="ko-KR"/>
              </w:rPr>
            </w:pPr>
            <w:r w:rsidRPr="00F26E45">
              <w:rPr>
                <w:rFonts w:ascii="Arial" w:hAnsi="Arial" w:cs="Arial"/>
                <w:b/>
                <w:bCs/>
                <w:color w:val="FFFFFF"/>
                <w:sz w:val="18"/>
                <w:szCs w:val="18"/>
                <w:lang w:eastAsia="ko-KR"/>
              </w:rPr>
              <w:t>Reg</w:t>
            </w:r>
          </w:p>
        </w:tc>
        <w:tc>
          <w:tcPr>
            <w:tcW w:w="3873" w:type="pct"/>
            <w:gridSpan w:val="3"/>
            <w:tcBorders>
              <w:top w:val="single" w:sz="4" w:space="0" w:color="auto"/>
              <w:left w:val="nil"/>
              <w:bottom w:val="nil"/>
              <w:right w:val="single" w:sz="4" w:space="0" w:color="auto"/>
            </w:tcBorders>
            <w:shd w:val="clear" w:color="000000" w:fill="16145F"/>
            <w:noWrap/>
            <w:vAlign w:val="center"/>
            <w:hideMark/>
          </w:tcPr>
          <w:p w14:paraId="48836E59" w14:textId="77777777" w:rsidR="00113228" w:rsidRPr="00F26E45" w:rsidRDefault="00113228">
            <w:pPr>
              <w:rPr>
                <w:rFonts w:ascii="Arial" w:hAnsi="Arial" w:cs="Arial"/>
                <w:b/>
                <w:bCs/>
                <w:color w:val="FFFFFF"/>
                <w:sz w:val="18"/>
                <w:szCs w:val="18"/>
                <w:lang w:eastAsia="ko-KR"/>
              </w:rPr>
            </w:pPr>
            <w:r w:rsidRPr="00F26E45">
              <w:rPr>
                <w:rFonts w:ascii="Arial" w:hAnsi="Arial" w:cs="Arial"/>
                <w:b/>
                <w:bCs/>
                <w:color w:val="FFFFFF"/>
                <w:sz w:val="18"/>
                <w:szCs w:val="18"/>
                <w:lang w:eastAsia="ko-KR"/>
              </w:rPr>
              <w:t>Description</w:t>
            </w:r>
          </w:p>
        </w:tc>
        <w:tc>
          <w:tcPr>
            <w:tcW w:w="663" w:type="pct"/>
            <w:gridSpan w:val="2"/>
            <w:tcBorders>
              <w:top w:val="single" w:sz="4" w:space="0" w:color="auto"/>
              <w:left w:val="nil"/>
              <w:bottom w:val="nil"/>
              <w:right w:val="single" w:sz="4" w:space="0" w:color="auto"/>
            </w:tcBorders>
            <w:shd w:val="clear" w:color="000000" w:fill="16145F"/>
            <w:vAlign w:val="center"/>
            <w:hideMark/>
          </w:tcPr>
          <w:p w14:paraId="752D2CD6" w14:textId="77777777" w:rsidR="00113228" w:rsidRPr="00F26E45" w:rsidRDefault="00113228">
            <w:pPr>
              <w:jc w:val="center"/>
              <w:rPr>
                <w:rFonts w:ascii="Arial" w:hAnsi="Arial" w:cs="Arial"/>
                <w:b/>
                <w:bCs/>
                <w:color w:val="FFFFFF"/>
                <w:sz w:val="18"/>
                <w:szCs w:val="18"/>
                <w:lang w:eastAsia="ko-KR"/>
              </w:rPr>
            </w:pPr>
            <w:r w:rsidRPr="00F26E45">
              <w:rPr>
                <w:rFonts w:ascii="Arial" w:hAnsi="Arial" w:cs="Arial"/>
                <w:b/>
                <w:bCs/>
                <w:color w:val="FFFFFF"/>
                <w:sz w:val="18"/>
                <w:szCs w:val="18"/>
                <w:lang w:eastAsia="ko-KR"/>
              </w:rPr>
              <w:t xml:space="preserve"> Fee</w:t>
            </w:r>
            <w:r w:rsidRPr="00F26E45">
              <w:rPr>
                <w:rFonts w:ascii="Arial" w:hAnsi="Arial" w:cs="Arial"/>
                <w:b/>
                <w:bCs/>
                <w:color w:val="FFFFFF"/>
                <w:sz w:val="18"/>
                <w:szCs w:val="18"/>
                <w:lang w:eastAsia="ko-KR"/>
              </w:rPr>
              <w:br/>
              <w:t xml:space="preserve">(2025-26) </w:t>
            </w:r>
          </w:p>
        </w:tc>
      </w:tr>
      <w:tr w:rsidR="00113228" w:rsidRPr="00F26E45" w14:paraId="4CF22E9D" w14:textId="77777777" w:rsidTr="0070715F">
        <w:trPr>
          <w:trHeight w:val="690"/>
        </w:trPr>
        <w:tc>
          <w:tcPr>
            <w:tcW w:w="464" w:type="pct"/>
            <w:gridSpan w:val="2"/>
            <w:tcBorders>
              <w:top w:val="single" w:sz="4" w:space="0" w:color="auto"/>
              <w:left w:val="single" w:sz="4" w:space="0" w:color="auto"/>
              <w:bottom w:val="nil"/>
              <w:right w:val="single" w:sz="4" w:space="0" w:color="auto"/>
            </w:tcBorders>
            <w:noWrap/>
            <w:hideMark/>
          </w:tcPr>
          <w:p w14:paraId="58C4D1C3"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7(2)</w:t>
            </w:r>
          </w:p>
        </w:tc>
        <w:tc>
          <w:tcPr>
            <w:tcW w:w="3873" w:type="pct"/>
            <w:gridSpan w:val="3"/>
            <w:tcBorders>
              <w:top w:val="single" w:sz="4" w:space="0" w:color="auto"/>
              <w:left w:val="nil"/>
              <w:bottom w:val="nil"/>
              <w:right w:val="single" w:sz="4" w:space="0" w:color="auto"/>
            </w:tcBorders>
            <w:vAlign w:val="center"/>
            <w:hideMark/>
          </w:tcPr>
          <w:p w14:paraId="11B01C61" w14:textId="77777777" w:rsidR="00113228" w:rsidRPr="00F26E45" w:rsidRDefault="00113228">
            <w:pPr>
              <w:rPr>
                <w:rFonts w:ascii="Arial" w:hAnsi="Arial" w:cs="Arial"/>
                <w:color w:val="000000"/>
                <w:sz w:val="18"/>
                <w:szCs w:val="18"/>
                <w:lang w:eastAsia="ko-KR"/>
              </w:rPr>
            </w:pPr>
            <w:r w:rsidRPr="00F26E45">
              <w:rPr>
                <w:rFonts w:ascii="Arial" w:hAnsi="Arial" w:cs="Arial"/>
                <w:color w:val="000000"/>
                <w:sz w:val="18"/>
                <w:szCs w:val="18"/>
                <w:lang w:eastAsia="ko-KR"/>
              </w:rPr>
              <w:t>At any time after the commencement of a proceeding under section 82 or 82B of the</w:t>
            </w:r>
            <w:r w:rsidRPr="00F26E45">
              <w:rPr>
                <w:rFonts w:ascii="Arial" w:hAnsi="Arial" w:cs="Arial"/>
                <w:b/>
                <w:bCs/>
                <w:color w:val="000000"/>
                <w:sz w:val="18"/>
                <w:szCs w:val="18"/>
                <w:lang w:eastAsia="ko-KR"/>
              </w:rPr>
              <w:t xml:space="preserve"> Planning and Environment Act 1987</w:t>
            </w:r>
            <w:r w:rsidRPr="00F26E45">
              <w:rPr>
                <w:rFonts w:ascii="Arial" w:hAnsi="Arial" w:cs="Arial"/>
                <w:color w:val="000000"/>
                <w:sz w:val="18"/>
                <w:szCs w:val="18"/>
                <w:lang w:eastAsia="ko-KR"/>
              </w:rPr>
              <w:t>, the applicant for the permit that is the subject of the proceeding may elect to have the proceeding entered into the Major Cases List</w:t>
            </w:r>
          </w:p>
        </w:tc>
        <w:tc>
          <w:tcPr>
            <w:tcW w:w="663" w:type="pct"/>
            <w:gridSpan w:val="2"/>
            <w:tcBorders>
              <w:top w:val="single" w:sz="4" w:space="0" w:color="auto"/>
              <w:left w:val="nil"/>
              <w:bottom w:val="single" w:sz="4" w:space="0" w:color="auto"/>
              <w:right w:val="single" w:sz="4" w:space="0" w:color="auto"/>
            </w:tcBorders>
            <w:noWrap/>
            <w:vAlign w:val="center"/>
            <w:hideMark/>
          </w:tcPr>
          <w:p w14:paraId="2C3D765A"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$2,773.65</w:t>
            </w:r>
          </w:p>
        </w:tc>
      </w:tr>
      <w:tr w:rsidR="00113228" w:rsidRPr="00F26E45" w14:paraId="0731F267" w14:textId="77777777" w:rsidTr="0070715F">
        <w:trPr>
          <w:trHeight w:val="460"/>
        </w:trPr>
        <w:tc>
          <w:tcPr>
            <w:tcW w:w="464" w:type="pct"/>
            <w:gridSpan w:val="2"/>
            <w:vMerge w:val="restart"/>
            <w:tcBorders>
              <w:top w:val="single" w:sz="4" w:space="0" w:color="auto"/>
              <w:left w:val="single" w:sz="4" w:space="0" w:color="auto"/>
              <w:bottom w:val="single" w:sz="4" w:space="0" w:color="auto"/>
              <w:right w:val="nil"/>
            </w:tcBorders>
            <w:noWrap/>
            <w:hideMark/>
          </w:tcPr>
          <w:p w14:paraId="01F327AA"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11</w:t>
            </w:r>
          </w:p>
        </w:tc>
        <w:tc>
          <w:tcPr>
            <w:tcW w:w="3873" w:type="pct"/>
            <w:gridSpan w:val="3"/>
            <w:tcBorders>
              <w:top w:val="single" w:sz="4" w:space="0" w:color="auto"/>
              <w:left w:val="single" w:sz="4" w:space="0" w:color="auto"/>
              <w:bottom w:val="nil"/>
              <w:right w:val="single" w:sz="4" w:space="0" w:color="auto"/>
            </w:tcBorders>
            <w:vAlign w:val="center"/>
            <w:hideMark/>
          </w:tcPr>
          <w:p w14:paraId="68454413" w14:textId="77777777" w:rsidR="00113228" w:rsidRPr="00F26E45" w:rsidRDefault="00113228">
            <w:pPr>
              <w:rPr>
                <w:rFonts w:ascii="Arial" w:hAnsi="Arial" w:cs="Arial"/>
                <w:color w:val="000000"/>
                <w:sz w:val="18"/>
                <w:szCs w:val="18"/>
                <w:lang w:eastAsia="ko-KR"/>
              </w:rPr>
            </w:pPr>
            <w:r w:rsidRPr="00F26E45">
              <w:rPr>
                <w:rFonts w:ascii="Arial" w:hAnsi="Arial" w:cs="Arial"/>
                <w:b/>
                <w:bCs/>
                <w:color w:val="000000"/>
                <w:sz w:val="18"/>
                <w:szCs w:val="18"/>
                <w:lang w:eastAsia="ko-KR"/>
              </w:rPr>
              <w:t>Inspection of register of proceedings</w:t>
            </w:r>
            <w:r w:rsidRPr="00F26E45">
              <w:rPr>
                <w:rFonts w:ascii="Arial" w:hAnsi="Arial" w:cs="Arial"/>
                <w:b/>
                <w:bCs/>
                <w:color w:val="000000"/>
                <w:sz w:val="18"/>
                <w:szCs w:val="18"/>
                <w:lang w:eastAsia="ko-KR"/>
              </w:rPr>
              <w:br/>
            </w:r>
            <w:r w:rsidRPr="00F26E45">
              <w:rPr>
                <w:rFonts w:ascii="Arial" w:hAnsi="Arial" w:cs="Arial"/>
                <w:color w:val="000000"/>
                <w:sz w:val="18"/>
                <w:szCs w:val="18"/>
                <w:lang w:eastAsia="ko-KR"/>
              </w:rPr>
              <w:t>For the purposes of section 144(4) of the Act, the prescribed fee—</w:t>
            </w:r>
          </w:p>
        </w:tc>
        <w:tc>
          <w:tcPr>
            <w:tcW w:w="663" w:type="pct"/>
            <w:gridSpan w:val="2"/>
            <w:tcBorders>
              <w:top w:val="single" w:sz="4" w:space="0" w:color="auto"/>
              <w:left w:val="single" w:sz="4" w:space="0" w:color="auto"/>
              <w:bottom w:val="nil"/>
              <w:right w:val="single" w:sz="4" w:space="0" w:color="auto"/>
            </w:tcBorders>
            <w:noWrap/>
            <w:vAlign w:val="center"/>
            <w:hideMark/>
          </w:tcPr>
          <w:p w14:paraId="44518A43"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 </w:t>
            </w:r>
          </w:p>
        </w:tc>
      </w:tr>
      <w:tr w:rsidR="00113228" w:rsidRPr="00F26E45" w14:paraId="7789C2D6" w14:textId="77777777" w:rsidTr="0070715F">
        <w:trPr>
          <w:trHeight w:val="290"/>
        </w:trPr>
        <w:tc>
          <w:tcPr>
            <w:tcW w:w="464" w:type="pct"/>
            <w:gridSpan w:val="2"/>
            <w:vMerge/>
            <w:tcBorders>
              <w:top w:val="single" w:sz="4" w:space="0" w:color="auto"/>
              <w:left w:val="single" w:sz="4" w:space="0" w:color="auto"/>
              <w:bottom w:val="single" w:sz="4" w:space="0" w:color="auto"/>
              <w:right w:val="nil"/>
            </w:tcBorders>
            <w:vAlign w:val="center"/>
            <w:hideMark/>
          </w:tcPr>
          <w:p w14:paraId="222D0687"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single" w:sz="4" w:space="0" w:color="auto"/>
            </w:tcBorders>
            <w:vAlign w:val="center"/>
            <w:hideMark/>
          </w:tcPr>
          <w:p w14:paraId="346029DB" w14:textId="77777777" w:rsidR="00113228" w:rsidRPr="00F26E45" w:rsidRDefault="00113228">
            <w:pPr>
              <w:ind w:firstLineChars="200" w:firstLine="360"/>
              <w:rPr>
                <w:rFonts w:ascii="Arial" w:hAnsi="Arial" w:cs="Arial"/>
                <w:color w:val="000000"/>
                <w:sz w:val="18"/>
                <w:szCs w:val="18"/>
                <w:lang w:eastAsia="ko-KR"/>
              </w:rPr>
            </w:pPr>
            <w:r w:rsidRPr="00F26E45">
              <w:rPr>
                <w:rFonts w:ascii="Arial" w:hAnsi="Arial" w:cs="Arial"/>
                <w:color w:val="000000"/>
                <w:sz w:val="18"/>
                <w:szCs w:val="18"/>
                <w:lang w:eastAsia="ko-KR"/>
              </w:rPr>
              <w:t>(a) for a person other than a concession fee payer</w:t>
            </w:r>
          </w:p>
        </w:tc>
        <w:tc>
          <w:tcPr>
            <w:tcW w:w="663" w:type="pct"/>
            <w:gridSpan w:val="2"/>
            <w:tcBorders>
              <w:top w:val="nil"/>
              <w:left w:val="single" w:sz="4" w:space="0" w:color="auto"/>
              <w:bottom w:val="nil"/>
              <w:right w:val="single" w:sz="4" w:space="0" w:color="auto"/>
            </w:tcBorders>
            <w:noWrap/>
            <w:vAlign w:val="center"/>
            <w:hideMark/>
          </w:tcPr>
          <w:p w14:paraId="683294F7"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$84.05</w:t>
            </w:r>
          </w:p>
        </w:tc>
      </w:tr>
      <w:tr w:rsidR="00113228" w:rsidRPr="00F26E45" w14:paraId="1E783075" w14:textId="77777777" w:rsidTr="0070715F">
        <w:trPr>
          <w:trHeight w:val="290"/>
        </w:trPr>
        <w:tc>
          <w:tcPr>
            <w:tcW w:w="464" w:type="pct"/>
            <w:gridSpan w:val="2"/>
            <w:vMerge/>
            <w:tcBorders>
              <w:top w:val="single" w:sz="4" w:space="0" w:color="auto"/>
              <w:left w:val="single" w:sz="4" w:space="0" w:color="auto"/>
              <w:bottom w:val="single" w:sz="4" w:space="0" w:color="auto"/>
              <w:right w:val="nil"/>
            </w:tcBorders>
            <w:vAlign w:val="center"/>
            <w:hideMark/>
          </w:tcPr>
          <w:p w14:paraId="7B047649"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single" w:sz="4" w:space="0" w:color="auto"/>
            </w:tcBorders>
            <w:vAlign w:val="center"/>
            <w:hideMark/>
          </w:tcPr>
          <w:p w14:paraId="753ADA1C" w14:textId="77777777" w:rsidR="00113228" w:rsidRPr="00F26E45" w:rsidRDefault="00113228">
            <w:pPr>
              <w:ind w:firstLineChars="200" w:firstLine="360"/>
              <w:rPr>
                <w:rFonts w:ascii="Arial" w:hAnsi="Arial" w:cs="Arial"/>
                <w:color w:val="000000"/>
                <w:sz w:val="18"/>
                <w:szCs w:val="18"/>
                <w:lang w:eastAsia="ko-KR"/>
              </w:rPr>
            </w:pPr>
            <w:r w:rsidRPr="00F26E45">
              <w:rPr>
                <w:rFonts w:ascii="Arial" w:hAnsi="Arial" w:cs="Arial"/>
                <w:color w:val="000000"/>
                <w:sz w:val="18"/>
                <w:szCs w:val="18"/>
                <w:lang w:eastAsia="ko-KR"/>
              </w:rPr>
              <w:t>(b) for a concession fee payer</w:t>
            </w:r>
          </w:p>
        </w:tc>
        <w:tc>
          <w:tcPr>
            <w:tcW w:w="663" w:type="pct"/>
            <w:gridSpan w:val="2"/>
            <w:tcBorders>
              <w:top w:val="nil"/>
              <w:left w:val="single" w:sz="4" w:space="0" w:color="auto"/>
              <w:bottom w:val="single" w:sz="4" w:space="0" w:color="auto"/>
              <w:right w:val="single" w:sz="4" w:space="0" w:color="auto"/>
            </w:tcBorders>
            <w:noWrap/>
            <w:vAlign w:val="center"/>
            <w:hideMark/>
          </w:tcPr>
          <w:p w14:paraId="6DCE4D4B"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$31.94</w:t>
            </w:r>
          </w:p>
        </w:tc>
      </w:tr>
      <w:tr w:rsidR="00113228" w:rsidRPr="00F26E45" w14:paraId="1F4A0A58" w14:textId="77777777" w:rsidTr="0070715F">
        <w:trPr>
          <w:trHeight w:val="460"/>
        </w:trPr>
        <w:tc>
          <w:tcPr>
            <w:tcW w:w="464" w:type="pct"/>
            <w:gridSpan w:val="2"/>
            <w:vMerge w:val="restart"/>
            <w:tcBorders>
              <w:top w:val="single" w:sz="4" w:space="0" w:color="auto"/>
              <w:left w:val="single" w:sz="4" w:space="0" w:color="auto"/>
              <w:bottom w:val="nil"/>
              <w:right w:val="nil"/>
            </w:tcBorders>
            <w:noWrap/>
            <w:hideMark/>
          </w:tcPr>
          <w:p w14:paraId="03E7B5E0"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12</w:t>
            </w:r>
          </w:p>
        </w:tc>
        <w:tc>
          <w:tcPr>
            <w:tcW w:w="3873" w:type="pct"/>
            <w:gridSpan w:val="3"/>
            <w:tcBorders>
              <w:top w:val="single" w:sz="4" w:space="0" w:color="auto"/>
              <w:left w:val="single" w:sz="4" w:space="0" w:color="auto"/>
              <w:bottom w:val="nil"/>
              <w:right w:val="nil"/>
            </w:tcBorders>
            <w:vAlign w:val="center"/>
            <w:hideMark/>
          </w:tcPr>
          <w:p w14:paraId="6B38FCC8" w14:textId="77777777" w:rsidR="00113228" w:rsidRPr="00F26E45" w:rsidRDefault="00113228">
            <w:pPr>
              <w:rPr>
                <w:rFonts w:ascii="Arial" w:hAnsi="Arial" w:cs="Arial"/>
                <w:color w:val="000000"/>
                <w:sz w:val="18"/>
                <w:szCs w:val="18"/>
                <w:lang w:eastAsia="ko-KR"/>
              </w:rPr>
            </w:pPr>
            <w:r w:rsidRPr="00F26E45">
              <w:rPr>
                <w:rFonts w:ascii="Arial" w:hAnsi="Arial" w:cs="Arial"/>
                <w:b/>
                <w:bCs/>
                <w:color w:val="000000"/>
                <w:sz w:val="18"/>
                <w:szCs w:val="18"/>
                <w:lang w:eastAsia="ko-KR"/>
              </w:rPr>
              <w:t>Principal registrar's certificate</w:t>
            </w:r>
            <w:r w:rsidRPr="00F26E45">
              <w:rPr>
                <w:rFonts w:ascii="Arial" w:hAnsi="Arial" w:cs="Arial"/>
                <w:color w:val="000000"/>
                <w:sz w:val="18"/>
                <w:szCs w:val="18"/>
                <w:lang w:eastAsia="ko-KR"/>
              </w:rPr>
              <w:br/>
              <w:t>For the purposes of section 145(2) of the Act, the prescribed fee—</w:t>
            </w:r>
          </w:p>
        </w:tc>
        <w:tc>
          <w:tcPr>
            <w:tcW w:w="663" w:type="pct"/>
            <w:gridSpan w:val="2"/>
            <w:tcBorders>
              <w:top w:val="nil"/>
              <w:left w:val="single" w:sz="4" w:space="0" w:color="auto"/>
              <w:bottom w:val="nil"/>
              <w:right w:val="single" w:sz="4" w:space="0" w:color="auto"/>
            </w:tcBorders>
            <w:noWrap/>
            <w:vAlign w:val="center"/>
            <w:hideMark/>
          </w:tcPr>
          <w:p w14:paraId="04467D85"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 </w:t>
            </w:r>
          </w:p>
        </w:tc>
      </w:tr>
      <w:tr w:rsidR="00113228" w:rsidRPr="00F26E45" w14:paraId="153C9F2A" w14:textId="77777777" w:rsidTr="0070715F">
        <w:trPr>
          <w:trHeight w:val="290"/>
        </w:trPr>
        <w:tc>
          <w:tcPr>
            <w:tcW w:w="464" w:type="pct"/>
            <w:gridSpan w:val="2"/>
            <w:vMerge/>
            <w:tcBorders>
              <w:top w:val="single" w:sz="4" w:space="0" w:color="auto"/>
              <w:left w:val="single" w:sz="4" w:space="0" w:color="auto"/>
              <w:bottom w:val="nil"/>
              <w:right w:val="nil"/>
            </w:tcBorders>
            <w:vAlign w:val="center"/>
            <w:hideMark/>
          </w:tcPr>
          <w:p w14:paraId="767BA031"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nil"/>
            </w:tcBorders>
            <w:vAlign w:val="center"/>
            <w:hideMark/>
          </w:tcPr>
          <w:p w14:paraId="7FBD69EA" w14:textId="77777777" w:rsidR="00113228" w:rsidRPr="00F26E45" w:rsidRDefault="00113228">
            <w:pPr>
              <w:ind w:firstLineChars="200" w:firstLine="360"/>
              <w:rPr>
                <w:rFonts w:ascii="Arial" w:hAnsi="Arial" w:cs="Arial"/>
                <w:color w:val="000000"/>
                <w:sz w:val="18"/>
                <w:szCs w:val="18"/>
                <w:lang w:eastAsia="ko-KR"/>
              </w:rPr>
            </w:pPr>
            <w:r w:rsidRPr="00F26E45">
              <w:rPr>
                <w:rFonts w:ascii="Arial" w:hAnsi="Arial" w:cs="Arial"/>
                <w:color w:val="000000"/>
                <w:sz w:val="18"/>
                <w:szCs w:val="18"/>
                <w:lang w:eastAsia="ko-KR"/>
              </w:rPr>
              <w:t>(a) for a person other than a concession fee payer</w:t>
            </w:r>
          </w:p>
        </w:tc>
        <w:tc>
          <w:tcPr>
            <w:tcW w:w="663" w:type="pct"/>
            <w:gridSpan w:val="2"/>
            <w:tcBorders>
              <w:top w:val="nil"/>
              <w:left w:val="single" w:sz="4" w:space="0" w:color="auto"/>
              <w:bottom w:val="nil"/>
              <w:right w:val="single" w:sz="4" w:space="0" w:color="auto"/>
            </w:tcBorders>
            <w:noWrap/>
            <w:vAlign w:val="center"/>
            <w:hideMark/>
          </w:tcPr>
          <w:p w14:paraId="2095286D"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$87.41</w:t>
            </w:r>
          </w:p>
        </w:tc>
      </w:tr>
      <w:tr w:rsidR="00113228" w:rsidRPr="00F26E45" w14:paraId="27238D95" w14:textId="77777777" w:rsidTr="0070715F">
        <w:trPr>
          <w:trHeight w:val="290"/>
        </w:trPr>
        <w:tc>
          <w:tcPr>
            <w:tcW w:w="464" w:type="pct"/>
            <w:gridSpan w:val="2"/>
            <w:vMerge/>
            <w:tcBorders>
              <w:top w:val="single" w:sz="4" w:space="0" w:color="auto"/>
              <w:left w:val="single" w:sz="4" w:space="0" w:color="auto"/>
              <w:bottom w:val="nil"/>
              <w:right w:val="nil"/>
            </w:tcBorders>
            <w:vAlign w:val="center"/>
            <w:hideMark/>
          </w:tcPr>
          <w:p w14:paraId="51B2BF43"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nil"/>
            </w:tcBorders>
            <w:vAlign w:val="center"/>
            <w:hideMark/>
          </w:tcPr>
          <w:p w14:paraId="51603F3C" w14:textId="77777777" w:rsidR="00113228" w:rsidRPr="00F26E45" w:rsidRDefault="00113228">
            <w:pPr>
              <w:ind w:firstLineChars="200" w:firstLine="360"/>
              <w:rPr>
                <w:rFonts w:ascii="Arial" w:hAnsi="Arial" w:cs="Arial"/>
                <w:color w:val="000000"/>
                <w:sz w:val="18"/>
                <w:szCs w:val="18"/>
                <w:lang w:eastAsia="ko-KR"/>
              </w:rPr>
            </w:pPr>
            <w:r w:rsidRPr="00F26E45">
              <w:rPr>
                <w:rFonts w:ascii="Arial" w:hAnsi="Arial" w:cs="Arial"/>
                <w:color w:val="000000"/>
                <w:sz w:val="18"/>
                <w:szCs w:val="18"/>
                <w:lang w:eastAsia="ko-KR"/>
              </w:rPr>
              <w:t>(b) for a concession fee payer</w:t>
            </w:r>
          </w:p>
        </w:tc>
        <w:tc>
          <w:tcPr>
            <w:tcW w:w="663" w:type="pct"/>
            <w:gridSpan w:val="2"/>
            <w:tcBorders>
              <w:top w:val="nil"/>
              <w:left w:val="single" w:sz="4" w:space="0" w:color="auto"/>
              <w:bottom w:val="nil"/>
              <w:right w:val="single" w:sz="4" w:space="0" w:color="auto"/>
            </w:tcBorders>
            <w:noWrap/>
            <w:vAlign w:val="center"/>
            <w:hideMark/>
          </w:tcPr>
          <w:p w14:paraId="7466CF17"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$33.62</w:t>
            </w:r>
          </w:p>
        </w:tc>
      </w:tr>
      <w:tr w:rsidR="00113228" w:rsidRPr="00F26E45" w14:paraId="07AA1B92" w14:textId="77777777" w:rsidTr="0070715F">
        <w:trPr>
          <w:trHeight w:val="460"/>
        </w:trPr>
        <w:tc>
          <w:tcPr>
            <w:tcW w:w="464" w:type="pct"/>
            <w:gridSpan w:val="2"/>
            <w:vMerge w:val="restart"/>
            <w:tcBorders>
              <w:top w:val="single" w:sz="4" w:space="0" w:color="auto"/>
              <w:left w:val="single" w:sz="4" w:space="0" w:color="auto"/>
              <w:bottom w:val="nil"/>
              <w:right w:val="nil"/>
            </w:tcBorders>
            <w:noWrap/>
            <w:hideMark/>
          </w:tcPr>
          <w:p w14:paraId="19FB5A15"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13</w:t>
            </w:r>
          </w:p>
        </w:tc>
        <w:tc>
          <w:tcPr>
            <w:tcW w:w="3873" w:type="pct"/>
            <w:gridSpan w:val="3"/>
            <w:tcBorders>
              <w:top w:val="single" w:sz="4" w:space="0" w:color="auto"/>
              <w:left w:val="single" w:sz="4" w:space="0" w:color="auto"/>
              <w:bottom w:val="nil"/>
              <w:right w:val="nil"/>
            </w:tcBorders>
            <w:vAlign w:val="center"/>
            <w:hideMark/>
          </w:tcPr>
          <w:p w14:paraId="5ABBA002" w14:textId="77777777" w:rsidR="00113228" w:rsidRPr="00F26E45" w:rsidRDefault="00113228">
            <w:pPr>
              <w:rPr>
                <w:rFonts w:ascii="Arial" w:hAnsi="Arial" w:cs="Arial"/>
                <w:color w:val="000000"/>
                <w:sz w:val="18"/>
                <w:szCs w:val="18"/>
                <w:lang w:eastAsia="ko-KR"/>
              </w:rPr>
            </w:pPr>
            <w:r w:rsidRPr="00F26E45">
              <w:rPr>
                <w:rFonts w:ascii="Arial" w:hAnsi="Arial" w:cs="Arial"/>
                <w:b/>
                <w:bCs/>
                <w:color w:val="000000"/>
                <w:sz w:val="18"/>
                <w:szCs w:val="18"/>
                <w:lang w:eastAsia="ko-KR"/>
              </w:rPr>
              <w:t>Inspection of proceeding files</w:t>
            </w:r>
            <w:r w:rsidRPr="00F26E45">
              <w:rPr>
                <w:rFonts w:ascii="Arial" w:hAnsi="Arial" w:cs="Arial"/>
                <w:color w:val="000000"/>
                <w:sz w:val="18"/>
                <w:szCs w:val="18"/>
                <w:lang w:eastAsia="ko-KR"/>
              </w:rPr>
              <w:br/>
              <w:t>For the purposes of section 146(3) of the Act, the prescribed fee—</w:t>
            </w:r>
          </w:p>
        </w:tc>
        <w:tc>
          <w:tcPr>
            <w:tcW w:w="663" w:type="pct"/>
            <w:gridSpan w:val="2"/>
            <w:tcBorders>
              <w:top w:val="single" w:sz="4" w:space="0" w:color="auto"/>
              <w:left w:val="single" w:sz="4" w:space="0" w:color="auto"/>
              <w:bottom w:val="nil"/>
              <w:right w:val="single" w:sz="4" w:space="0" w:color="auto"/>
            </w:tcBorders>
            <w:noWrap/>
            <w:vAlign w:val="center"/>
            <w:hideMark/>
          </w:tcPr>
          <w:p w14:paraId="6AF65865"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 </w:t>
            </w:r>
          </w:p>
        </w:tc>
      </w:tr>
      <w:tr w:rsidR="00113228" w:rsidRPr="00F26E45" w14:paraId="55CDF8FA" w14:textId="77777777" w:rsidTr="0070715F">
        <w:trPr>
          <w:trHeight w:val="290"/>
        </w:trPr>
        <w:tc>
          <w:tcPr>
            <w:tcW w:w="464" w:type="pct"/>
            <w:gridSpan w:val="2"/>
            <w:vMerge/>
            <w:tcBorders>
              <w:top w:val="single" w:sz="4" w:space="0" w:color="auto"/>
              <w:left w:val="single" w:sz="4" w:space="0" w:color="auto"/>
              <w:bottom w:val="nil"/>
              <w:right w:val="nil"/>
            </w:tcBorders>
            <w:vAlign w:val="center"/>
            <w:hideMark/>
          </w:tcPr>
          <w:p w14:paraId="23F073B4"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nil"/>
            </w:tcBorders>
            <w:vAlign w:val="center"/>
            <w:hideMark/>
          </w:tcPr>
          <w:p w14:paraId="5A9374B0" w14:textId="77777777" w:rsidR="00113228" w:rsidRPr="00F26E45" w:rsidRDefault="00113228">
            <w:pPr>
              <w:ind w:firstLineChars="200" w:firstLine="360"/>
              <w:rPr>
                <w:rFonts w:ascii="Arial" w:hAnsi="Arial" w:cs="Arial"/>
                <w:color w:val="000000"/>
                <w:sz w:val="18"/>
                <w:szCs w:val="18"/>
                <w:lang w:eastAsia="ko-KR"/>
              </w:rPr>
            </w:pPr>
            <w:r w:rsidRPr="00F26E45">
              <w:rPr>
                <w:rFonts w:ascii="Arial" w:hAnsi="Arial" w:cs="Arial"/>
                <w:color w:val="000000"/>
                <w:sz w:val="18"/>
                <w:szCs w:val="18"/>
                <w:lang w:eastAsia="ko-KR"/>
              </w:rPr>
              <w:t>(a) for a person who is not a party to the proceeding, to inspect a proceeding file—</w:t>
            </w:r>
          </w:p>
        </w:tc>
        <w:tc>
          <w:tcPr>
            <w:tcW w:w="663" w:type="pct"/>
            <w:gridSpan w:val="2"/>
            <w:tcBorders>
              <w:top w:val="nil"/>
              <w:left w:val="single" w:sz="4" w:space="0" w:color="auto"/>
              <w:bottom w:val="nil"/>
              <w:right w:val="single" w:sz="4" w:space="0" w:color="auto"/>
            </w:tcBorders>
            <w:noWrap/>
            <w:vAlign w:val="center"/>
            <w:hideMark/>
          </w:tcPr>
          <w:p w14:paraId="65F07BE5"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 </w:t>
            </w:r>
          </w:p>
        </w:tc>
      </w:tr>
      <w:tr w:rsidR="00113228" w:rsidRPr="00F26E45" w14:paraId="3697FAA0" w14:textId="77777777" w:rsidTr="0070715F">
        <w:trPr>
          <w:trHeight w:val="290"/>
        </w:trPr>
        <w:tc>
          <w:tcPr>
            <w:tcW w:w="464" w:type="pct"/>
            <w:gridSpan w:val="2"/>
            <w:vMerge/>
            <w:tcBorders>
              <w:top w:val="single" w:sz="4" w:space="0" w:color="auto"/>
              <w:left w:val="single" w:sz="4" w:space="0" w:color="auto"/>
              <w:bottom w:val="nil"/>
              <w:right w:val="nil"/>
            </w:tcBorders>
            <w:vAlign w:val="center"/>
            <w:hideMark/>
          </w:tcPr>
          <w:p w14:paraId="59D5612A"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nil"/>
            </w:tcBorders>
            <w:vAlign w:val="center"/>
            <w:hideMark/>
          </w:tcPr>
          <w:p w14:paraId="69FD79FF" w14:textId="77777777" w:rsidR="00113228" w:rsidRPr="00F26E45" w:rsidRDefault="00113228">
            <w:pPr>
              <w:ind w:firstLineChars="400" w:firstLine="720"/>
              <w:rPr>
                <w:rFonts w:ascii="Arial" w:hAnsi="Arial" w:cs="Arial"/>
                <w:color w:val="000000"/>
                <w:sz w:val="18"/>
                <w:szCs w:val="18"/>
                <w:lang w:eastAsia="ko-KR"/>
              </w:rPr>
            </w:pPr>
            <w:r w:rsidRPr="00F26E45">
              <w:rPr>
                <w:rFonts w:ascii="Arial" w:hAnsi="Arial" w:cs="Arial"/>
                <w:color w:val="000000"/>
                <w:sz w:val="18"/>
                <w:szCs w:val="18"/>
                <w:lang w:eastAsia="ko-KR"/>
              </w:rPr>
              <w:t>(i) for a person other than a concession fee payer, is 8·1 fee units; and</w:t>
            </w:r>
          </w:p>
        </w:tc>
        <w:tc>
          <w:tcPr>
            <w:tcW w:w="663" w:type="pct"/>
            <w:gridSpan w:val="2"/>
            <w:tcBorders>
              <w:top w:val="nil"/>
              <w:left w:val="single" w:sz="4" w:space="0" w:color="auto"/>
              <w:bottom w:val="nil"/>
              <w:right w:val="single" w:sz="4" w:space="0" w:color="auto"/>
            </w:tcBorders>
            <w:noWrap/>
            <w:vAlign w:val="center"/>
            <w:hideMark/>
          </w:tcPr>
          <w:p w14:paraId="3C3E2180"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$136.16</w:t>
            </w:r>
          </w:p>
        </w:tc>
      </w:tr>
      <w:tr w:rsidR="00113228" w:rsidRPr="00F26E45" w14:paraId="27241DB4" w14:textId="77777777" w:rsidTr="0070715F">
        <w:trPr>
          <w:trHeight w:val="290"/>
        </w:trPr>
        <w:tc>
          <w:tcPr>
            <w:tcW w:w="464" w:type="pct"/>
            <w:gridSpan w:val="2"/>
            <w:vMerge/>
            <w:tcBorders>
              <w:top w:val="single" w:sz="4" w:space="0" w:color="auto"/>
              <w:left w:val="single" w:sz="4" w:space="0" w:color="auto"/>
              <w:bottom w:val="nil"/>
              <w:right w:val="nil"/>
            </w:tcBorders>
            <w:vAlign w:val="center"/>
            <w:hideMark/>
          </w:tcPr>
          <w:p w14:paraId="7F769EC4"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nil"/>
            </w:tcBorders>
            <w:vAlign w:val="center"/>
            <w:hideMark/>
          </w:tcPr>
          <w:p w14:paraId="04B5D2D2" w14:textId="77777777" w:rsidR="00113228" w:rsidRPr="00F26E45" w:rsidRDefault="00113228">
            <w:pPr>
              <w:ind w:firstLineChars="400" w:firstLine="720"/>
              <w:rPr>
                <w:rFonts w:ascii="Arial" w:hAnsi="Arial" w:cs="Arial"/>
                <w:color w:val="000000"/>
                <w:sz w:val="18"/>
                <w:szCs w:val="18"/>
                <w:lang w:eastAsia="ko-KR"/>
              </w:rPr>
            </w:pPr>
            <w:r w:rsidRPr="00F26E45">
              <w:rPr>
                <w:rFonts w:ascii="Arial" w:hAnsi="Arial" w:cs="Arial"/>
                <w:color w:val="000000"/>
                <w:sz w:val="18"/>
                <w:szCs w:val="18"/>
                <w:lang w:eastAsia="ko-KR"/>
              </w:rPr>
              <w:t>(ii) for a concession fee payer, is 3 fee units; and</w:t>
            </w:r>
          </w:p>
        </w:tc>
        <w:tc>
          <w:tcPr>
            <w:tcW w:w="663" w:type="pct"/>
            <w:gridSpan w:val="2"/>
            <w:tcBorders>
              <w:top w:val="nil"/>
              <w:left w:val="single" w:sz="4" w:space="0" w:color="auto"/>
              <w:bottom w:val="nil"/>
              <w:right w:val="single" w:sz="4" w:space="0" w:color="auto"/>
            </w:tcBorders>
            <w:noWrap/>
            <w:vAlign w:val="center"/>
            <w:hideMark/>
          </w:tcPr>
          <w:p w14:paraId="4E658174"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$50.43</w:t>
            </w:r>
          </w:p>
        </w:tc>
      </w:tr>
      <w:tr w:rsidR="00113228" w:rsidRPr="00F26E45" w14:paraId="614EB0DC" w14:textId="77777777" w:rsidTr="0070715F">
        <w:trPr>
          <w:trHeight w:val="290"/>
        </w:trPr>
        <w:tc>
          <w:tcPr>
            <w:tcW w:w="464" w:type="pct"/>
            <w:gridSpan w:val="2"/>
            <w:vMerge/>
            <w:tcBorders>
              <w:top w:val="single" w:sz="4" w:space="0" w:color="auto"/>
              <w:left w:val="single" w:sz="4" w:space="0" w:color="auto"/>
              <w:bottom w:val="nil"/>
              <w:right w:val="nil"/>
            </w:tcBorders>
            <w:vAlign w:val="center"/>
            <w:hideMark/>
          </w:tcPr>
          <w:p w14:paraId="2F943EB6"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nil"/>
            </w:tcBorders>
            <w:noWrap/>
            <w:vAlign w:val="center"/>
            <w:hideMark/>
          </w:tcPr>
          <w:p w14:paraId="6536880F" w14:textId="77777777" w:rsidR="00113228" w:rsidRPr="00F26E45" w:rsidRDefault="00113228">
            <w:pPr>
              <w:ind w:firstLineChars="200" w:firstLine="360"/>
              <w:rPr>
                <w:rFonts w:ascii="Arial" w:hAnsi="Arial" w:cs="Arial"/>
                <w:color w:val="000000"/>
                <w:sz w:val="18"/>
                <w:szCs w:val="18"/>
                <w:lang w:eastAsia="ko-KR"/>
              </w:rPr>
            </w:pPr>
            <w:r w:rsidRPr="00F26E45">
              <w:rPr>
                <w:rFonts w:ascii="Arial" w:hAnsi="Arial" w:cs="Arial"/>
                <w:color w:val="000000"/>
                <w:sz w:val="18"/>
                <w:szCs w:val="18"/>
                <w:lang w:eastAsia="ko-KR"/>
              </w:rPr>
              <w:t>(b) for the provision by the principal registrar of a copy of a document from a proceeding file</w:t>
            </w:r>
          </w:p>
        </w:tc>
        <w:tc>
          <w:tcPr>
            <w:tcW w:w="663" w:type="pct"/>
            <w:gridSpan w:val="2"/>
            <w:tcBorders>
              <w:top w:val="nil"/>
              <w:left w:val="single" w:sz="4" w:space="0" w:color="auto"/>
              <w:bottom w:val="nil"/>
              <w:right w:val="single" w:sz="4" w:space="0" w:color="auto"/>
            </w:tcBorders>
            <w:vAlign w:val="center"/>
            <w:hideMark/>
          </w:tcPr>
          <w:p w14:paraId="780E8D46"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$0.60</w:t>
            </w:r>
          </w:p>
        </w:tc>
      </w:tr>
      <w:tr w:rsidR="00113228" w:rsidRPr="00F26E45" w14:paraId="1A8A6FF3" w14:textId="77777777" w:rsidTr="0070715F">
        <w:trPr>
          <w:trHeight w:val="690"/>
        </w:trPr>
        <w:tc>
          <w:tcPr>
            <w:tcW w:w="464" w:type="pct"/>
            <w:gridSpan w:val="2"/>
            <w:vMerge w:val="restart"/>
            <w:tcBorders>
              <w:top w:val="single" w:sz="4" w:space="0" w:color="auto"/>
              <w:left w:val="single" w:sz="4" w:space="0" w:color="auto"/>
              <w:bottom w:val="single" w:sz="4" w:space="0" w:color="000000"/>
              <w:right w:val="nil"/>
            </w:tcBorders>
            <w:noWrap/>
            <w:hideMark/>
          </w:tcPr>
          <w:p w14:paraId="22E3E0A2"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14</w:t>
            </w:r>
          </w:p>
        </w:tc>
        <w:tc>
          <w:tcPr>
            <w:tcW w:w="3873" w:type="pct"/>
            <w:gridSpan w:val="3"/>
            <w:tcBorders>
              <w:top w:val="single" w:sz="4" w:space="0" w:color="auto"/>
              <w:left w:val="single" w:sz="4" w:space="0" w:color="auto"/>
              <w:bottom w:val="nil"/>
              <w:right w:val="nil"/>
            </w:tcBorders>
            <w:vAlign w:val="center"/>
            <w:hideMark/>
          </w:tcPr>
          <w:p w14:paraId="1B2D723B" w14:textId="77777777" w:rsidR="00113228" w:rsidRPr="00F26E45" w:rsidRDefault="00113228">
            <w:pPr>
              <w:rPr>
                <w:rFonts w:ascii="Arial" w:hAnsi="Arial" w:cs="Arial"/>
                <w:color w:val="000000"/>
                <w:sz w:val="18"/>
                <w:szCs w:val="18"/>
                <w:lang w:eastAsia="ko-KR"/>
              </w:rPr>
            </w:pPr>
            <w:r w:rsidRPr="00F26E45">
              <w:rPr>
                <w:rFonts w:ascii="Arial" w:hAnsi="Arial" w:cs="Arial"/>
                <w:b/>
                <w:bCs/>
                <w:color w:val="000000"/>
                <w:sz w:val="18"/>
                <w:szCs w:val="18"/>
                <w:lang w:eastAsia="ko-KR"/>
              </w:rPr>
              <w:t>Fee for issue of a witness summons</w:t>
            </w:r>
            <w:r w:rsidRPr="00F26E45">
              <w:rPr>
                <w:rFonts w:ascii="Arial" w:hAnsi="Arial" w:cs="Arial"/>
                <w:color w:val="000000"/>
                <w:sz w:val="18"/>
                <w:szCs w:val="18"/>
                <w:lang w:eastAsia="ko-KR"/>
              </w:rPr>
              <w:br/>
              <w:t>The prescribed fee for the issue of a witness summons under the Act or any enabling enactment—</w:t>
            </w:r>
          </w:p>
        </w:tc>
        <w:tc>
          <w:tcPr>
            <w:tcW w:w="663" w:type="pct"/>
            <w:gridSpan w:val="2"/>
            <w:tcBorders>
              <w:top w:val="single" w:sz="4" w:space="0" w:color="auto"/>
              <w:left w:val="single" w:sz="4" w:space="0" w:color="auto"/>
              <w:bottom w:val="nil"/>
              <w:right w:val="single" w:sz="4" w:space="0" w:color="auto"/>
            </w:tcBorders>
            <w:noWrap/>
            <w:vAlign w:val="center"/>
            <w:hideMark/>
          </w:tcPr>
          <w:p w14:paraId="398410EF"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 </w:t>
            </w:r>
          </w:p>
        </w:tc>
      </w:tr>
      <w:tr w:rsidR="00113228" w:rsidRPr="00F26E45" w14:paraId="69248BB8" w14:textId="77777777" w:rsidTr="0070715F">
        <w:trPr>
          <w:trHeight w:val="290"/>
        </w:trPr>
        <w:tc>
          <w:tcPr>
            <w:tcW w:w="464" w:type="pct"/>
            <w:gridSpan w:val="2"/>
            <w:vMerge/>
            <w:tcBorders>
              <w:top w:val="single" w:sz="4" w:space="0" w:color="auto"/>
              <w:left w:val="single" w:sz="4" w:space="0" w:color="auto"/>
              <w:bottom w:val="single" w:sz="4" w:space="0" w:color="000000"/>
              <w:right w:val="nil"/>
            </w:tcBorders>
            <w:vAlign w:val="center"/>
            <w:hideMark/>
          </w:tcPr>
          <w:p w14:paraId="4BF58FEC"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nil"/>
              <w:right w:val="nil"/>
            </w:tcBorders>
            <w:vAlign w:val="center"/>
            <w:hideMark/>
          </w:tcPr>
          <w:p w14:paraId="269F37FD" w14:textId="77777777" w:rsidR="00113228" w:rsidRPr="00F26E45" w:rsidRDefault="00113228">
            <w:pPr>
              <w:ind w:firstLineChars="200" w:firstLine="360"/>
              <w:rPr>
                <w:rFonts w:ascii="Arial" w:hAnsi="Arial" w:cs="Arial"/>
                <w:color w:val="000000"/>
                <w:sz w:val="18"/>
                <w:szCs w:val="18"/>
                <w:lang w:eastAsia="ko-KR"/>
              </w:rPr>
            </w:pPr>
            <w:r w:rsidRPr="00F26E45">
              <w:rPr>
                <w:rFonts w:ascii="Arial" w:hAnsi="Arial" w:cs="Arial"/>
                <w:color w:val="000000"/>
                <w:sz w:val="18"/>
                <w:szCs w:val="18"/>
                <w:lang w:eastAsia="ko-KR"/>
              </w:rPr>
              <w:t>(a) for a person other than a concession fee payer</w:t>
            </w:r>
          </w:p>
        </w:tc>
        <w:tc>
          <w:tcPr>
            <w:tcW w:w="663" w:type="pct"/>
            <w:gridSpan w:val="2"/>
            <w:tcBorders>
              <w:top w:val="nil"/>
              <w:left w:val="single" w:sz="4" w:space="0" w:color="auto"/>
              <w:bottom w:val="nil"/>
              <w:right w:val="single" w:sz="4" w:space="0" w:color="auto"/>
            </w:tcBorders>
            <w:noWrap/>
            <w:vAlign w:val="center"/>
            <w:hideMark/>
          </w:tcPr>
          <w:p w14:paraId="4533A3ED"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$26.90</w:t>
            </w:r>
          </w:p>
        </w:tc>
      </w:tr>
      <w:tr w:rsidR="00113228" w:rsidRPr="00F26E45" w14:paraId="15D6FC40" w14:textId="77777777" w:rsidTr="0070715F">
        <w:trPr>
          <w:trHeight w:val="290"/>
        </w:trPr>
        <w:tc>
          <w:tcPr>
            <w:tcW w:w="464" w:type="pct"/>
            <w:gridSpan w:val="2"/>
            <w:vMerge/>
            <w:tcBorders>
              <w:top w:val="single" w:sz="4" w:space="0" w:color="auto"/>
              <w:left w:val="single" w:sz="4" w:space="0" w:color="auto"/>
              <w:bottom w:val="single" w:sz="4" w:space="0" w:color="000000"/>
              <w:right w:val="nil"/>
            </w:tcBorders>
            <w:vAlign w:val="center"/>
            <w:hideMark/>
          </w:tcPr>
          <w:p w14:paraId="3A10FCC4" w14:textId="77777777" w:rsidR="00113228" w:rsidRPr="00F26E45" w:rsidRDefault="00113228">
            <w:pPr>
              <w:rPr>
                <w:rFonts w:ascii="Arial" w:hAnsi="Arial" w:cs="Arial"/>
                <w:color w:val="000000"/>
                <w:sz w:val="18"/>
                <w:szCs w:val="18"/>
                <w:lang w:eastAsia="ko-KR"/>
              </w:rPr>
            </w:pPr>
          </w:p>
        </w:tc>
        <w:tc>
          <w:tcPr>
            <w:tcW w:w="3873" w:type="pct"/>
            <w:gridSpan w:val="3"/>
            <w:tcBorders>
              <w:top w:val="nil"/>
              <w:left w:val="single" w:sz="4" w:space="0" w:color="auto"/>
              <w:bottom w:val="single" w:sz="4" w:space="0" w:color="auto"/>
              <w:right w:val="nil"/>
            </w:tcBorders>
            <w:vAlign w:val="center"/>
            <w:hideMark/>
          </w:tcPr>
          <w:p w14:paraId="38BDCCC3" w14:textId="77777777" w:rsidR="00113228" w:rsidRPr="00F26E45" w:rsidRDefault="00113228">
            <w:pPr>
              <w:ind w:firstLineChars="200" w:firstLine="360"/>
              <w:rPr>
                <w:rFonts w:ascii="Arial" w:hAnsi="Arial" w:cs="Arial"/>
                <w:color w:val="000000"/>
                <w:sz w:val="18"/>
                <w:szCs w:val="18"/>
                <w:lang w:eastAsia="ko-KR"/>
              </w:rPr>
            </w:pPr>
            <w:r w:rsidRPr="00F26E45">
              <w:rPr>
                <w:rFonts w:ascii="Arial" w:hAnsi="Arial" w:cs="Arial"/>
                <w:color w:val="000000"/>
                <w:sz w:val="18"/>
                <w:szCs w:val="18"/>
                <w:lang w:eastAsia="ko-KR"/>
              </w:rPr>
              <w:t>(b) for a concession fee payer</w:t>
            </w:r>
          </w:p>
        </w:tc>
        <w:tc>
          <w:tcPr>
            <w:tcW w:w="663" w:type="pct"/>
            <w:gridSpan w:val="2"/>
            <w:tcBorders>
              <w:top w:val="nil"/>
              <w:left w:val="single" w:sz="4" w:space="0" w:color="auto"/>
              <w:bottom w:val="single" w:sz="4" w:space="0" w:color="auto"/>
              <w:right w:val="single" w:sz="4" w:space="0" w:color="auto"/>
            </w:tcBorders>
            <w:noWrap/>
            <w:vAlign w:val="center"/>
            <w:hideMark/>
          </w:tcPr>
          <w:p w14:paraId="64651B58" w14:textId="77777777" w:rsidR="00113228" w:rsidRPr="00F26E45" w:rsidRDefault="00113228">
            <w:pPr>
              <w:jc w:val="center"/>
              <w:rPr>
                <w:rFonts w:ascii="Arial" w:hAnsi="Arial" w:cs="Arial"/>
                <w:color w:val="000000"/>
                <w:sz w:val="18"/>
                <w:szCs w:val="18"/>
                <w:lang w:eastAsia="ko-KR"/>
              </w:rPr>
            </w:pPr>
            <w:r w:rsidRPr="00F26E45">
              <w:rPr>
                <w:rFonts w:ascii="Arial" w:hAnsi="Arial" w:cs="Arial"/>
                <w:color w:val="000000"/>
                <w:sz w:val="18"/>
                <w:szCs w:val="18"/>
                <w:lang w:eastAsia="ko-KR"/>
              </w:rPr>
              <w:t>$8.00</w:t>
            </w:r>
          </w:p>
        </w:tc>
      </w:tr>
    </w:tbl>
    <w:p w14:paraId="7397F1B2" w14:textId="77777777" w:rsidR="00C35488" w:rsidRDefault="00C35488" w:rsidP="00113228">
      <w:pPr>
        <w:pStyle w:val="DJCSbody"/>
      </w:pPr>
    </w:p>
    <w:p w14:paraId="78AA68AB" w14:textId="77777777" w:rsidR="00F13014" w:rsidRDefault="00F13014" w:rsidP="00113228">
      <w:pPr>
        <w:pStyle w:val="DJCSbody"/>
      </w:pPr>
    </w:p>
    <w:p w14:paraId="36F0CFFB" w14:textId="77777777" w:rsidR="00F13014" w:rsidRDefault="00F13014" w:rsidP="00113228">
      <w:pPr>
        <w:pStyle w:val="DJCSbody"/>
      </w:pPr>
    </w:p>
    <w:p w14:paraId="270506E6" w14:textId="59EC0F5E" w:rsidR="00F13014" w:rsidRDefault="003E642C">
      <w:pPr>
        <w:rPr>
          <w:rFonts w:eastAsia="Times"/>
        </w:rPr>
      </w:pPr>
      <w:r>
        <w:br w:type="page"/>
      </w:r>
    </w:p>
    <w:p w14:paraId="00B7492D" w14:textId="63CB8361" w:rsidR="00E11A60" w:rsidRDefault="00E11A60" w:rsidP="00E11A60">
      <w:pPr>
        <w:pStyle w:val="Heading1"/>
      </w:pPr>
      <w:bookmarkStart w:id="131" w:name="_Appendix_B"/>
      <w:bookmarkStart w:id="132" w:name="_Toc216179731"/>
      <w:bookmarkEnd w:id="131"/>
      <w:r>
        <w:lastRenderedPageBreak/>
        <w:t>Appendix B</w:t>
      </w:r>
      <w:r w:rsidR="00534658" w:rsidRPr="00534658">
        <w:t xml:space="preserve"> – </w:t>
      </w:r>
      <w:r w:rsidR="00C74513">
        <w:t>Proposed Fees Option 2</w:t>
      </w:r>
      <w:bookmarkEnd w:id="132"/>
    </w:p>
    <w:p w14:paraId="68B2EFE5" w14:textId="243D8282" w:rsidR="00E11A60" w:rsidRDefault="00E11A60">
      <w:pPr>
        <w:rPr>
          <w:rFonts w:ascii="Arial" w:eastAsia="Times" w:hAnsi="Arial"/>
          <w:sz w:val="22"/>
        </w:rPr>
      </w:pPr>
      <w:r w:rsidRPr="00C329DD">
        <w:rPr>
          <w:rFonts w:ascii="Arial" w:hAnsi="Arial"/>
          <w:i/>
          <w:color w:val="000000" w:themeColor="text1"/>
          <w:sz w:val="22"/>
        </w:rPr>
        <w:t>Table 2</w:t>
      </w:r>
      <w:r w:rsidR="00E16D08">
        <w:rPr>
          <w:rFonts w:ascii="Arial" w:hAnsi="Arial"/>
          <w:i/>
          <w:color w:val="000000" w:themeColor="text1"/>
          <w:sz w:val="22"/>
        </w:rPr>
        <w:t>3</w:t>
      </w:r>
      <w:r w:rsidRPr="00C329DD">
        <w:rPr>
          <w:rFonts w:ascii="Arial" w:hAnsi="Arial"/>
          <w:i/>
          <w:color w:val="000000" w:themeColor="text1"/>
          <w:sz w:val="22"/>
        </w:rPr>
        <w:t>: Outline of current fees charged for VCAT services</w:t>
      </w:r>
      <w:r w:rsidR="00001083">
        <w:rPr>
          <w:rFonts w:ascii="Arial" w:hAnsi="Arial"/>
          <w:i/>
          <w:color w:val="000000" w:themeColor="text1"/>
          <w:sz w:val="22"/>
        </w:rPr>
        <w:t xml:space="preserve"> under Option 2</w:t>
      </w:r>
    </w:p>
    <w:tbl>
      <w:tblPr>
        <w:tblW w:w="5000" w:type="pct"/>
        <w:tblCellMar>
          <w:top w:w="15" w:type="dxa"/>
          <w:bottom w:w="15" w:type="dxa"/>
        </w:tblCellMar>
        <w:tblLook w:val="04A0" w:firstRow="1" w:lastRow="0" w:firstColumn="1" w:lastColumn="0" w:noHBand="0" w:noVBand="1"/>
      </w:tblPr>
      <w:tblGrid>
        <w:gridCol w:w="714"/>
        <w:gridCol w:w="6310"/>
        <w:gridCol w:w="1078"/>
        <w:gridCol w:w="999"/>
        <w:gridCol w:w="1237"/>
      </w:tblGrid>
      <w:tr w:rsidR="00DA554C" w:rsidRPr="00DA554C" w14:paraId="6513B520" w14:textId="77777777" w:rsidTr="009B659C">
        <w:trPr>
          <w:trHeight w:val="285"/>
          <w:tblHeader/>
        </w:trPr>
        <w:tc>
          <w:tcPr>
            <w:tcW w:w="346" w:type="pct"/>
            <w:tcBorders>
              <w:top w:val="nil"/>
              <w:left w:val="single" w:sz="4" w:space="0" w:color="auto"/>
              <w:bottom w:val="nil"/>
              <w:right w:val="nil"/>
            </w:tcBorders>
            <w:shd w:val="clear" w:color="000000" w:fill="002060"/>
            <w:vAlign w:val="center"/>
            <w:hideMark/>
          </w:tcPr>
          <w:p w14:paraId="6D3E1BAB" w14:textId="77777777" w:rsidR="00DA554C" w:rsidRPr="00DA554C" w:rsidRDefault="00DA554C" w:rsidP="00DA554C">
            <w:pPr>
              <w:jc w:val="center"/>
              <w:rPr>
                <w:rFonts w:ascii="Arial" w:hAnsi="Arial" w:cs="Arial"/>
                <w:b/>
                <w:bCs/>
                <w:i/>
                <w:iCs/>
                <w:color w:val="FFFFFF"/>
                <w:sz w:val="18"/>
                <w:szCs w:val="18"/>
                <w:lang w:eastAsia="ko-KR"/>
              </w:rPr>
            </w:pPr>
            <w:r w:rsidRPr="00DA554C">
              <w:rPr>
                <w:rFonts w:ascii="Arial" w:hAnsi="Arial" w:cs="Arial"/>
                <w:b/>
                <w:bCs/>
                <w:i/>
                <w:iCs/>
                <w:color w:val="FFFFFF"/>
                <w:sz w:val="18"/>
                <w:szCs w:val="18"/>
                <w:lang w:eastAsia="ko-KR"/>
              </w:rPr>
              <w:t>Item No.</w:t>
            </w:r>
          </w:p>
        </w:tc>
        <w:tc>
          <w:tcPr>
            <w:tcW w:w="3052" w:type="pct"/>
            <w:tcBorders>
              <w:top w:val="nil"/>
              <w:left w:val="single" w:sz="4" w:space="0" w:color="auto"/>
              <w:bottom w:val="nil"/>
              <w:right w:val="nil"/>
            </w:tcBorders>
            <w:shd w:val="clear" w:color="000000" w:fill="002060"/>
            <w:vAlign w:val="center"/>
            <w:hideMark/>
          </w:tcPr>
          <w:p w14:paraId="02B86237" w14:textId="77777777" w:rsidR="00DA554C" w:rsidRPr="00DA554C" w:rsidRDefault="00DA554C" w:rsidP="00DA554C">
            <w:pPr>
              <w:jc w:val="center"/>
              <w:rPr>
                <w:rFonts w:ascii="Arial" w:hAnsi="Arial" w:cs="Arial"/>
                <w:b/>
                <w:bCs/>
                <w:i/>
                <w:iCs/>
                <w:color w:val="FFFFFF"/>
                <w:sz w:val="18"/>
                <w:szCs w:val="18"/>
                <w:lang w:eastAsia="ko-KR"/>
              </w:rPr>
            </w:pPr>
            <w:r w:rsidRPr="00DA554C">
              <w:rPr>
                <w:rFonts w:ascii="Arial" w:hAnsi="Arial" w:cs="Arial"/>
                <w:b/>
                <w:bCs/>
                <w:i/>
                <w:iCs/>
                <w:color w:val="FFFFFF"/>
                <w:sz w:val="18"/>
                <w:szCs w:val="18"/>
                <w:lang w:eastAsia="ko-KR"/>
              </w:rPr>
              <w:t>Enactment</w:t>
            </w:r>
          </w:p>
        </w:tc>
        <w:tc>
          <w:tcPr>
            <w:tcW w:w="521" w:type="pct"/>
            <w:tcBorders>
              <w:top w:val="nil"/>
              <w:left w:val="single" w:sz="4" w:space="0" w:color="auto"/>
              <w:bottom w:val="nil"/>
              <w:right w:val="nil"/>
            </w:tcBorders>
            <w:shd w:val="clear" w:color="000000" w:fill="002060"/>
            <w:vAlign w:val="center"/>
            <w:hideMark/>
          </w:tcPr>
          <w:p w14:paraId="769C8B74" w14:textId="77777777" w:rsidR="00DA554C" w:rsidRPr="00DA554C" w:rsidRDefault="00DA554C" w:rsidP="00DA554C">
            <w:pPr>
              <w:jc w:val="center"/>
              <w:rPr>
                <w:rFonts w:ascii="Arial" w:hAnsi="Arial" w:cs="Arial"/>
                <w:b/>
                <w:bCs/>
                <w:i/>
                <w:iCs/>
                <w:color w:val="FFFFFF"/>
                <w:sz w:val="18"/>
                <w:szCs w:val="18"/>
                <w:lang w:eastAsia="ko-KR"/>
              </w:rPr>
            </w:pPr>
            <w:r w:rsidRPr="00DA554C">
              <w:rPr>
                <w:rFonts w:ascii="Arial" w:hAnsi="Arial" w:cs="Arial"/>
                <w:b/>
                <w:bCs/>
                <w:i/>
                <w:iCs/>
                <w:color w:val="FFFFFF"/>
                <w:sz w:val="18"/>
                <w:szCs w:val="18"/>
                <w:lang w:eastAsia="ko-KR"/>
              </w:rPr>
              <w:t>Fee payable ($)</w:t>
            </w:r>
          </w:p>
        </w:tc>
        <w:tc>
          <w:tcPr>
            <w:tcW w:w="483" w:type="pct"/>
            <w:tcBorders>
              <w:top w:val="nil"/>
              <w:left w:val="single" w:sz="4" w:space="0" w:color="auto"/>
              <w:bottom w:val="nil"/>
              <w:right w:val="nil"/>
            </w:tcBorders>
            <w:shd w:val="clear" w:color="000000" w:fill="002060"/>
            <w:vAlign w:val="center"/>
            <w:hideMark/>
          </w:tcPr>
          <w:p w14:paraId="6E9ED92D" w14:textId="77777777" w:rsidR="00DA554C" w:rsidRPr="00DA554C" w:rsidRDefault="00DA554C" w:rsidP="00DA554C">
            <w:pPr>
              <w:jc w:val="center"/>
              <w:rPr>
                <w:rFonts w:ascii="Arial" w:hAnsi="Arial" w:cs="Arial"/>
                <w:b/>
                <w:bCs/>
                <w:i/>
                <w:iCs/>
                <w:color w:val="FFFFFF"/>
                <w:sz w:val="18"/>
                <w:szCs w:val="18"/>
                <w:lang w:eastAsia="ko-KR"/>
              </w:rPr>
            </w:pPr>
            <w:r w:rsidRPr="00DA554C">
              <w:rPr>
                <w:rFonts w:ascii="Arial" w:hAnsi="Arial" w:cs="Arial"/>
                <w:b/>
                <w:bCs/>
                <w:i/>
                <w:iCs/>
                <w:color w:val="FFFFFF"/>
                <w:sz w:val="18"/>
                <w:szCs w:val="18"/>
                <w:lang w:eastAsia="ko-KR"/>
              </w:rPr>
              <w:t>Fee payable ($)</w:t>
            </w:r>
          </w:p>
        </w:tc>
        <w:tc>
          <w:tcPr>
            <w:tcW w:w="598" w:type="pct"/>
            <w:tcBorders>
              <w:top w:val="nil"/>
              <w:left w:val="single" w:sz="4" w:space="0" w:color="auto"/>
              <w:bottom w:val="nil"/>
              <w:right w:val="single" w:sz="4" w:space="0" w:color="auto"/>
            </w:tcBorders>
            <w:shd w:val="clear" w:color="000000" w:fill="002060"/>
            <w:vAlign w:val="center"/>
            <w:hideMark/>
          </w:tcPr>
          <w:p w14:paraId="5EFE83D0" w14:textId="77777777" w:rsidR="00DA554C" w:rsidRPr="00DA554C" w:rsidRDefault="00DA554C" w:rsidP="00DA554C">
            <w:pPr>
              <w:jc w:val="center"/>
              <w:rPr>
                <w:rFonts w:ascii="Arial" w:hAnsi="Arial" w:cs="Arial"/>
                <w:b/>
                <w:bCs/>
                <w:i/>
                <w:iCs/>
                <w:color w:val="FFFFFF"/>
                <w:sz w:val="18"/>
                <w:szCs w:val="18"/>
                <w:lang w:eastAsia="ko-KR"/>
              </w:rPr>
            </w:pPr>
            <w:r w:rsidRPr="00DA554C">
              <w:rPr>
                <w:rFonts w:ascii="Arial" w:hAnsi="Arial" w:cs="Arial"/>
                <w:b/>
                <w:bCs/>
                <w:i/>
                <w:iCs/>
                <w:color w:val="FFFFFF"/>
                <w:sz w:val="18"/>
                <w:szCs w:val="18"/>
                <w:lang w:eastAsia="ko-KR"/>
              </w:rPr>
              <w:t>Fee payable ($)</w:t>
            </w:r>
          </w:p>
        </w:tc>
      </w:tr>
      <w:tr w:rsidR="00DA554C" w:rsidRPr="00DA554C" w14:paraId="7813B146" w14:textId="77777777" w:rsidTr="009B659C">
        <w:trPr>
          <w:trHeight w:val="285"/>
          <w:tblHeader/>
        </w:trPr>
        <w:tc>
          <w:tcPr>
            <w:tcW w:w="346" w:type="pct"/>
            <w:tcBorders>
              <w:top w:val="nil"/>
              <w:left w:val="single" w:sz="4" w:space="0" w:color="auto"/>
              <w:bottom w:val="single" w:sz="4" w:space="0" w:color="auto"/>
              <w:right w:val="nil"/>
            </w:tcBorders>
            <w:shd w:val="clear" w:color="000000" w:fill="002060"/>
            <w:hideMark/>
          </w:tcPr>
          <w:p w14:paraId="4018826A" w14:textId="77777777" w:rsidR="00DA554C" w:rsidRPr="00DA554C" w:rsidRDefault="00DA554C" w:rsidP="00DA554C">
            <w:pPr>
              <w:jc w:val="center"/>
              <w:rPr>
                <w:rFonts w:ascii="Arial" w:hAnsi="Arial" w:cs="Arial"/>
                <w:b/>
                <w:bCs/>
                <w:i/>
                <w:iCs/>
                <w:color w:val="FFFFFF"/>
                <w:sz w:val="18"/>
                <w:szCs w:val="18"/>
                <w:lang w:eastAsia="ko-KR"/>
              </w:rPr>
            </w:pPr>
          </w:p>
        </w:tc>
        <w:tc>
          <w:tcPr>
            <w:tcW w:w="3052" w:type="pct"/>
            <w:tcBorders>
              <w:top w:val="nil"/>
              <w:left w:val="single" w:sz="4" w:space="0" w:color="auto"/>
              <w:bottom w:val="single" w:sz="4" w:space="0" w:color="auto"/>
              <w:right w:val="nil"/>
            </w:tcBorders>
            <w:shd w:val="clear" w:color="000000" w:fill="002060"/>
            <w:hideMark/>
          </w:tcPr>
          <w:p w14:paraId="074FE4AB" w14:textId="77777777" w:rsidR="00DA554C" w:rsidRPr="00DA554C" w:rsidRDefault="00DA554C" w:rsidP="00DA554C">
            <w:pPr>
              <w:jc w:val="center"/>
              <w:rPr>
                <w:rFonts w:ascii="Times New Roman" w:hAnsi="Times New Roman"/>
                <w:lang w:eastAsia="ko-KR"/>
              </w:rPr>
            </w:pPr>
          </w:p>
        </w:tc>
        <w:tc>
          <w:tcPr>
            <w:tcW w:w="521" w:type="pct"/>
            <w:tcBorders>
              <w:top w:val="nil"/>
              <w:left w:val="single" w:sz="4" w:space="0" w:color="auto"/>
              <w:bottom w:val="single" w:sz="4" w:space="0" w:color="auto"/>
              <w:right w:val="nil"/>
            </w:tcBorders>
            <w:shd w:val="clear" w:color="000000" w:fill="002060"/>
            <w:vAlign w:val="center"/>
            <w:hideMark/>
          </w:tcPr>
          <w:p w14:paraId="1F042487" w14:textId="77777777" w:rsidR="00DA554C" w:rsidRPr="00DA554C" w:rsidRDefault="00DA554C" w:rsidP="00DA554C">
            <w:pPr>
              <w:jc w:val="center"/>
              <w:rPr>
                <w:rFonts w:ascii="Arial" w:hAnsi="Arial" w:cs="Arial"/>
                <w:b/>
                <w:bCs/>
                <w:i/>
                <w:iCs/>
                <w:color w:val="FFFFFF"/>
                <w:sz w:val="18"/>
                <w:szCs w:val="18"/>
                <w:lang w:eastAsia="ko-KR"/>
              </w:rPr>
            </w:pPr>
            <w:r w:rsidRPr="00DA554C">
              <w:rPr>
                <w:rFonts w:ascii="Arial" w:hAnsi="Arial" w:cs="Arial"/>
                <w:b/>
                <w:bCs/>
                <w:i/>
                <w:iCs/>
                <w:color w:val="FFFFFF"/>
                <w:sz w:val="18"/>
                <w:szCs w:val="18"/>
                <w:lang w:eastAsia="ko-KR"/>
              </w:rPr>
              <w:t>Corporate</w:t>
            </w:r>
          </w:p>
        </w:tc>
        <w:tc>
          <w:tcPr>
            <w:tcW w:w="483" w:type="pct"/>
            <w:tcBorders>
              <w:top w:val="nil"/>
              <w:left w:val="single" w:sz="4" w:space="0" w:color="auto"/>
              <w:bottom w:val="single" w:sz="4" w:space="0" w:color="auto"/>
              <w:right w:val="nil"/>
            </w:tcBorders>
            <w:shd w:val="clear" w:color="000000" w:fill="002060"/>
            <w:vAlign w:val="center"/>
            <w:hideMark/>
          </w:tcPr>
          <w:p w14:paraId="7CFA0F8E" w14:textId="77777777" w:rsidR="00DA554C" w:rsidRPr="00DA554C" w:rsidRDefault="00DA554C" w:rsidP="00DA554C">
            <w:pPr>
              <w:jc w:val="center"/>
              <w:rPr>
                <w:rFonts w:ascii="Arial" w:hAnsi="Arial" w:cs="Arial"/>
                <w:b/>
                <w:bCs/>
                <w:i/>
                <w:iCs/>
                <w:color w:val="FFFFFF"/>
                <w:sz w:val="18"/>
                <w:szCs w:val="18"/>
                <w:lang w:eastAsia="ko-KR"/>
              </w:rPr>
            </w:pPr>
            <w:r w:rsidRPr="00DA554C">
              <w:rPr>
                <w:rFonts w:ascii="Arial" w:hAnsi="Arial" w:cs="Arial"/>
                <w:b/>
                <w:bCs/>
                <w:i/>
                <w:iCs/>
                <w:color w:val="FFFFFF"/>
                <w:sz w:val="18"/>
                <w:szCs w:val="18"/>
                <w:lang w:eastAsia="ko-KR"/>
              </w:rPr>
              <w:t>Standard</w:t>
            </w:r>
          </w:p>
        </w:tc>
        <w:tc>
          <w:tcPr>
            <w:tcW w:w="598" w:type="pct"/>
            <w:tcBorders>
              <w:top w:val="nil"/>
              <w:left w:val="single" w:sz="4" w:space="0" w:color="auto"/>
              <w:bottom w:val="single" w:sz="4" w:space="0" w:color="auto"/>
              <w:right w:val="single" w:sz="4" w:space="0" w:color="auto"/>
            </w:tcBorders>
            <w:shd w:val="clear" w:color="000000" w:fill="002060"/>
            <w:vAlign w:val="center"/>
            <w:hideMark/>
          </w:tcPr>
          <w:p w14:paraId="2033A37D" w14:textId="77777777" w:rsidR="00DA554C" w:rsidRPr="00DA554C" w:rsidRDefault="00DA554C" w:rsidP="00DA554C">
            <w:pPr>
              <w:jc w:val="center"/>
              <w:rPr>
                <w:rFonts w:ascii="Arial" w:hAnsi="Arial" w:cs="Arial"/>
                <w:b/>
                <w:bCs/>
                <w:i/>
                <w:iCs/>
                <w:color w:val="FFFFFF"/>
                <w:sz w:val="18"/>
                <w:szCs w:val="18"/>
                <w:lang w:eastAsia="ko-KR"/>
              </w:rPr>
            </w:pPr>
            <w:r w:rsidRPr="00DA554C">
              <w:rPr>
                <w:rFonts w:ascii="Arial" w:hAnsi="Arial" w:cs="Arial"/>
                <w:b/>
                <w:bCs/>
                <w:i/>
                <w:iCs/>
                <w:color w:val="FFFFFF"/>
                <w:sz w:val="18"/>
                <w:szCs w:val="18"/>
                <w:lang w:eastAsia="ko-KR"/>
              </w:rPr>
              <w:t>Concession</w:t>
            </w:r>
          </w:p>
        </w:tc>
      </w:tr>
      <w:tr w:rsidR="009B659C" w:rsidRPr="00DA554C" w14:paraId="110971A2" w14:textId="77777777" w:rsidTr="009B659C">
        <w:trPr>
          <w:trHeight w:val="300"/>
        </w:trPr>
        <w:tc>
          <w:tcPr>
            <w:tcW w:w="3398" w:type="pct"/>
            <w:gridSpan w:val="2"/>
            <w:tcBorders>
              <w:top w:val="nil"/>
              <w:left w:val="single" w:sz="4" w:space="0" w:color="auto"/>
              <w:bottom w:val="nil"/>
              <w:right w:val="nil"/>
            </w:tcBorders>
            <w:shd w:val="clear" w:color="000000" w:fill="F2F2F2"/>
            <w:noWrap/>
            <w:vAlign w:val="bottom"/>
            <w:hideMark/>
          </w:tcPr>
          <w:p w14:paraId="4BE642A2" w14:textId="45F5655F" w:rsidR="009B659C" w:rsidRPr="009B659C" w:rsidRDefault="009B659C" w:rsidP="00DA554C">
            <w:pPr>
              <w:rPr>
                <w:rFonts w:ascii="Arial" w:hAnsi="Arial" w:cs="Arial"/>
                <w:b/>
                <w:bCs/>
                <w:color w:val="000000"/>
                <w:sz w:val="18"/>
                <w:szCs w:val="18"/>
                <w:lang w:eastAsia="ko-KR"/>
              </w:rPr>
            </w:pPr>
            <w:r w:rsidRPr="009B659C">
              <w:rPr>
                <w:rFonts w:ascii="Arial" w:hAnsi="Arial" w:cs="Arial"/>
                <w:b/>
                <w:bCs/>
                <w:color w:val="000000"/>
                <w:sz w:val="18"/>
                <w:szCs w:val="18"/>
                <w:lang w:eastAsia="ko-KR"/>
              </w:rPr>
              <w:t>Part 1—Fee for commencement of a proceeding</w:t>
            </w:r>
          </w:p>
        </w:tc>
        <w:tc>
          <w:tcPr>
            <w:tcW w:w="521" w:type="pct"/>
            <w:tcBorders>
              <w:top w:val="nil"/>
              <w:left w:val="nil"/>
              <w:bottom w:val="nil"/>
              <w:right w:val="nil"/>
            </w:tcBorders>
            <w:shd w:val="clear" w:color="000000" w:fill="F2F2F2"/>
            <w:vAlign w:val="center"/>
            <w:hideMark/>
          </w:tcPr>
          <w:p w14:paraId="5B972F98" w14:textId="77777777" w:rsidR="009B659C" w:rsidRPr="00DA554C" w:rsidRDefault="009B659C" w:rsidP="00DA554C">
            <w:pPr>
              <w:rPr>
                <w:rFonts w:ascii="Arial" w:hAnsi="Arial" w:cs="Arial"/>
                <w:b/>
                <w:bCs/>
                <w:color w:val="000000"/>
                <w:sz w:val="24"/>
                <w:szCs w:val="24"/>
                <w:lang w:eastAsia="ko-KR"/>
              </w:rPr>
            </w:pPr>
          </w:p>
        </w:tc>
        <w:tc>
          <w:tcPr>
            <w:tcW w:w="483" w:type="pct"/>
            <w:tcBorders>
              <w:top w:val="nil"/>
              <w:left w:val="nil"/>
              <w:bottom w:val="nil"/>
              <w:right w:val="nil"/>
            </w:tcBorders>
            <w:shd w:val="clear" w:color="000000" w:fill="F2F2F2"/>
            <w:vAlign w:val="center"/>
            <w:hideMark/>
          </w:tcPr>
          <w:p w14:paraId="5209C5E4" w14:textId="77777777" w:rsidR="009B659C" w:rsidRPr="00DA554C" w:rsidRDefault="009B659C" w:rsidP="00DA554C">
            <w:pPr>
              <w:jc w:val="center"/>
              <w:rPr>
                <w:rFonts w:ascii="Times New Roman" w:hAnsi="Times New Roman"/>
                <w:lang w:eastAsia="ko-KR"/>
              </w:rPr>
            </w:pPr>
          </w:p>
        </w:tc>
        <w:tc>
          <w:tcPr>
            <w:tcW w:w="598" w:type="pct"/>
            <w:tcBorders>
              <w:top w:val="nil"/>
              <w:left w:val="nil"/>
              <w:bottom w:val="nil"/>
              <w:right w:val="single" w:sz="4" w:space="0" w:color="auto"/>
            </w:tcBorders>
            <w:shd w:val="clear" w:color="000000" w:fill="F2F2F2"/>
            <w:vAlign w:val="center"/>
            <w:hideMark/>
          </w:tcPr>
          <w:p w14:paraId="5BF99657" w14:textId="77777777" w:rsidR="009B659C" w:rsidRPr="00DA554C" w:rsidRDefault="009B659C" w:rsidP="00DA554C">
            <w:pPr>
              <w:jc w:val="center"/>
              <w:rPr>
                <w:rFonts w:ascii="Times New Roman" w:hAnsi="Times New Roman"/>
                <w:lang w:eastAsia="ko-KR"/>
              </w:rPr>
            </w:pPr>
          </w:p>
        </w:tc>
      </w:tr>
      <w:tr w:rsidR="00DA554C" w:rsidRPr="00DA554C" w14:paraId="46A92DB0" w14:textId="77777777" w:rsidTr="009B659C">
        <w:trPr>
          <w:trHeight w:val="510"/>
        </w:trPr>
        <w:tc>
          <w:tcPr>
            <w:tcW w:w="346" w:type="pct"/>
            <w:tcBorders>
              <w:top w:val="single" w:sz="4" w:space="0" w:color="auto"/>
              <w:left w:val="single" w:sz="4" w:space="0" w:color="auto"/>
              <w:bottom w:val="nil"/>
              <w:right w:val="nil"/>
            </w:tcBorders>
            <w:noWrap/>
            <w:vAlign w:val="center"/>
            <w:hideMark/>
          </w:tcPr>
          <w:p w14:paraId="3259082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1.</w:t>
            </w:r>
          </w:p>
        </w:tc>
        <w:tc>
          <w:tcPr>
            <w:tcW w:w="3052" w:type="pct"/>
            <w:tcBorders>
              <w:top w:val="single" w:sz="4" w:space="0" w:color="auto"/>
              <w:left w:val="single" w:sz="4" w:space="0" w:color="auto"/>
              <w:bottom w:val="nil"/>
              <w:right w:val="nil"/>
            </w:tcBorders>
            <w:vAlign w:val="center"/>
            <w:hideMark/>
          </w:tcPr>
          <w:p w14:paraId="1C9A91C4"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No fee is payable for the commencement of a proceeding under the following enabling enactments or provisions of enabling enactments—</w:t>
            </w:r>
          </w:p>
        </w:tc>
        <w:tc>
          <w:tcPr>
            <w:tcW w:w="521" w:type="pct"/>
            <w:tcBorders>
              <w:top w:val="single" w:sz="4" w:space="0" w:color="auto"/>
              <w:left w:val="single" w:sz="4" w:space="0" w:color="auto"/>
              <w:bottom w:val="nil"/>
              <w:right w:val="nil"/>
            </w:tcBorders>
            <w:vAlign w:val="center"/>
            <w:hideMark/>
          </w:tcPr>
          <w:p w14:paraId="70D6DE9F"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7E277278"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4A5F5769" w14:textId="77777777" w:rsidR="00DA554C" w:rsidRPr="00DA554C" w:rsidRDefault="00DA554C" w:rsidP="00DA554C">
            <w:pPr>
              <w:jc w:val="center"/>
              <w:rPr>
                <w:rFonts w:ascii="Times New Roman" w:hAnsi="Times New Roman"/>
                <w:lang w:eastAsia="ko-KR"/>
              </w:rPr>
            </w:pPr>
          </w:p>
        </w:tc>
      </w:tr>
      <w:tr w:rsidR="00DA554C" w:rsidRPr="00DA554C" w14:paraId="25808A36" w14:textId="77777777" w:rsidTr="009B659C">
        <w:trPr>
          <w:trHeight w:val="300"/>
        </w:trPr>
        <w:tc>
          <w:tcPr>
            <w:tcW w:w="346" w:type="pct"/>
            <w:tcBorders>
              <w:top w:val="nil"/>
              <w:left w:val="single" w:sz="4" w:space="0" w:color="auto"/>
              <w:bottom w:val="nil"/>
              <w:right w:val="nil"/>
            </w:tcBorders>
            <w:noWrap/>
            <w:vAlign w:val="center"/>
            <w:hideMark/>
          </w:tcPr>
          <w:p w14:paraId="634A8AE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DBFDB8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Aged Care Restrictive Practices Substitute Decision-maker Act 2024</w:t>
            </w:r>
          </w:p>
        </w:tc>
        <w:tc>
          <w:tcPr>
            <w:tcW w:w="521" w:type="pct"/>
            <w:tcBorders>
              <w:top w:val="nil"/>
              <w:left w:val="single" w:sz="4" w:space="0" w:color="auto"/>
              <w:bottom w:val="nil"/>
              <w:right w:val="nil"/>
            </w:tcBorders>
            <w:vAlign w:val="center"/>
            <w:hideMark/>
          </w:tcPr>
          <w:p w14:paraId="0456479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D05AC3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DABDE6B" w14:textId="77777777" w:rsidR="00DA554C" w:rsidRPr="00DA554C" w:rsidRDefault="00DA554C" w:rsidP="00DA554C">
            <w:pPr>
              <w:jc w:val="center"/>
              <w:rPr>
                <w:rFonts w:ascii="Times New Roman" w:hAnsi="Times New Roman"/>
                <w:lang w:eastAsia="ko-KR"/>
              </w:rPr>
            </w:pPr>
          </w:p>
        </w:tc>
      </w:tr>
      <w:tr w:rsidR="00DA554C" w:rsidRPr="00DA554C" w14:paraId="70A4250D" w14:textId="77777777" w:rsidTr="009B659C">
        <w:trPr>
          <w:trHeight w:val="300"/>
        </w:trPr>
        <w:tc>
          <w:tcPr>
            <w:tcW w:w="346" w:type="pct"/>
            <w:tcBorders>
              <w:top w:val="nil"/>
              <w:left w:val="single" w:sz="4" w:space="0" w:color="auto"/>
              <w:bottom w:val="nil"/>
              <w:right w:val="nil"/>
            </w:tcBorders>
            <w:noWrap/>
            <w:vAlign w:val="center"/>
            <w:hideMark/>
          </w:tcPr>
          <w:p w14:paraId="4F42FD3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7F8879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Assisted Reproductive Treatment Act 2008</w:t>
            </w:r>
          </w:p>
        </w:tc>
        <w:tc>
          <w:tcPr>
            <w:tcW w:w="521" w:type="pct"/>
            <w:tcBorders>
              <w:top w:val="nil"/>
              <w:left w:val="single" w:sz="4" w:space="0" w:color="auto"/>
              <w:bottom w:val="nil"/>
              <w:right w:val="nil"/>
            </w:tcBorders>
            <w:vAlign w:val="center"/>
            <w:hideMark/>
          </w:tcPr>
          <w:p w14:paraId="74765B35"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B95F8A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37167B3" w14:textId="77777777" w:rsidR="00DA554C" w:rsidRPr="00DA554C" w:rsidRDefault="00DA554C" w:rsidP="00DA554C">
            <w:pPr>
              <w:jc w:val="center"/>
              <w:rPr>
                <w:rFonts w:ascii="Times New Roman" w:hAnsi="Times New Roman"/>
                <w:lang w:eastAsia="ko-KR"/>
              </w:rPr>
            </w:pPr>
          </w:p>
        </w:tc>
      </w:tr>
      <w:tr w:rsidR="00DA554C" w:rsidRPr="00DA554C" w14:paraId="791986D8" w14:textId="77777777" w:rsidTr="009B659C">
        <w:trPr>
          <w:trHeight w:val="300"/>
        </w:trPr>
        <w:tc>
          <w:tcPr>
            <w:tcW w:w="346" w:type="pct"/>
            <w:tcBorders>
              <w:top w:val="nil"/>
              <w:left w:val="single" w:sz="4" w:space="0" w:color="auto"/>
              <w:bottom w:val="nil"/>
              <w:right w:val="nil"/>
            </w:tcBorders>
            <w:noWrap/>
            <w:vAlign w:val="center"/>
            <w:hideMark/>
          </w:tcPr>
          <w:p w14:paraId="642E5A8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154FD1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Children, Youth and Families Act 2005</w:t>
            </w:r>
          </w:p>
        </w:tc>
        <w:tc>
          <w:tcPr>
            <w:tcW w:w="521" w:type="pct"/>
            <w:tcBorders>
              <w:top w:val="nil"/>
              <w:left w:val="single" w:sz="4" w:space="0" w:color="auto"/>
              <w:bottom w:val="nil"/>
              <w:right w:val="nil"/>
            </w:tcBorders>
            <w:vAlign w:val="center"/>
            <w:hideMark/>
          </w:tcPr>
          <w:p w14:paraId="147E065E"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1C701A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A97B579" w14:textId="77777777" w:rsidR="00DA554C" w:rsidRPr="00DA554C" w:rsidRDefault="00DA554C" w:rsidP="00DA554C">
            <w:pPr>
              <w:jc w:val="center"/>
              <w:rPr>
                <w:rFonts w:ascii="Times New Roman" w:hAnsi="Times New Roman"/>
                <w:lang w:eastAsia="ko-KR"/>
              </w:rPr>
            </w:pPr>
          </w:p>
        </w:tc>
      </w:tr>
      <w:tr w:rsidR="00DA554C" w:rsidRPr="00DA554C" w14:paraId="719D77B2" w14:textId="77777777" w:rsidTr="009B659C">
        <w:trPr>
          <w:trHeight w:val="285"/>
        </w:trPr>
        <w:tc>
          <w:tcPr>
            <w:tcW w:w="346" w:type="pct"/>
            <w:tcBorders>
              <w:top w:val="nil"/>
              <w:left w:val="single" w:sz="4" w:space="0" w:color="auto"/>
              <w:bottom w:val="nil"/>
              <w:right w:val="nil"/>
            </w:tcBorders>
            <w:noWrap/>
            <w:vAlign w:val="center"/>
            <w:hideMark/>
          </w:tcPr>
          <w:p w14:paraId="63570CE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D9693EC"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Disability Act 2006</w:t>
            </w:r>
          </w:p>
        </w:tc>
        <w:tc>
          <w:tcPr>
            <w:tcW w:w="521" w:type="pct"/>
            <w:tcBorders>
              <w:top w:val="nil"/>
              <w:left w:val="single" w:sz="4" w:space="0" w:color="auto"/>
              <w:bottom w:val="nil"/>
              <w:right w:val="nil"/>
            </w:tcBorders>
            <w:vAlign w:val="center"/>
            <w:hideMark/>
          </w:tcPr>
          <w:p w14:paraId="34B5795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0FC9F5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67A01A1" w14:textId="77777777" w:rsidR="00DA554C" w:rsidRPr="00DA554C" w:rsidRDefault="00DA554C" w:rsidP="00DA554C">
            <w:pPr>
              <w:jc w:val="center"/>
              <w:rPr>
                <w:rFonts w:ascii="Times New Roman" w:hAnsi="Times New Roman"/>
                <w:lang w:eastAsia="ko-KR"/>
              </w:rPr>
            </w:pPr>
          </w:p>
        </w:tc>
      </w:tr>
      <w:tr w:rsidR="00DA554C" w:rsidRPr="00DA554C" w14:paraId="2A11A0C9" w14:textId="77777777" w:rsidTr="009B659C">
        <w:trPr>
          <w:trHeight w:val="285"/>
        </w:trPr>
        <w:tc>
          <w:tcPr>
            <w:tcW w:w="346" w:type="pct"/>
            <w:tcBorders>
              <w:top w:val="nil"/>
              <w:left w:val="single" w:sz="4" w:space="0" w:color="auto"/>
              <w:bottom w:val="nil"/>
              <w:right w:val="nil"/>
            </w:tcBorders>
            <w:noWrap/>
            <w:vAlign w:val="center"/>
            <w:hideMark/>
          </w:tcPr>
          <w:p w14:paraId="4105CB5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655D2BF"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Equal Opportunity Act 2010</w:t>
            </w:r>
            <w:r w:rsidRPr="00DA554C">
              <w:rPr>
                <w:rFonts w:ascii="Arial" w:hAnsi="Arial" w:cs="Arial"/>
                <w:color w:val="000000"/>
                <w:sz w:val="18"/>
                <w:szCs w:val="18"/>
                <w:lang w:eastAsia="ko-KR"/>
              </w:rPr>
              <w:t>,</w:t>
            </w:r>
            <w:r w:rsidRPr="00DA554C">
              <w:rPr>
                <w:rFonts w:ascii="Arial" w:hAnsi="Arial" w:cs="Arial"/>
                <w:b/>
                <w:bCs/>
                <w:color w:val="000000"/>
                <w:sz w:val="18"/>
                <w:szCs w:val="18"/>
                <w:lang w:eastAsia="ko-KR"/>
              </w:rPr>
              <w:t xml:space="preserve"> </w:t>
            </w:r>
            <w:r w:rsidRPr="00DA554C">
              <w:rPr>
                <w:rFonts w:ascii="Arial" w:hAnsi="Arial" w:cs="Arial"/>
                <w:color w:val="000000"/>
                <w:sz w:val="18"/>
                <w:szCs w:val="18"/>
                <w:lang w:eastAsia="ko-KR"/>
              </w:rPr>
              <w:t>except section 89(5)(a)</w:t>
            </w:r>
          </w:p>
        </w:tc>
        <w:tc>
          <w:tcPr>
            <w:tcW w:w="521" w:type="pct"/>
            <w:tcBorders>
              <w:top w:val="nil"/>
              <w:left w:val="single" w:sz="4" w:space="0" w:color="auto"/>
              <w:bottom w:val="nil"/>
              <w:right w:val="nil"/>
            </w:tcBorders>
            <w:vAlign w:val="center"/>
            <w:hideMark/>
          </w:tcPr>
          <w:p w14:paraId="7582A79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063A97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A6905D4" w14:textId="77777777" w:rsidR="00DA554C" w:rsidRPr="00DA554C" w:rsidRDefault="00DA554C" w:rsidP="00DA554C">
            <w:pPr>
              <w:jc w:val="center"/>
              <w:rPr>
                <w:rFonts w:ascii="Times New Roman" w:hAnsi="Times New Roman"/>
                <w:lang w:eastAsia="ko-KR"/>
              </w:rPr>
            </w:pPr>
          </w:p>
        </w:tc>
      </w:tr>
      <w:tr w:rsidR="00DA554C" w:rsidRPr="00DA554C" w14:paraId="6F3352C3" w14:textId="77777777" w:rsidTr="009B659C">
        <w:trPr>
          <w:trHeight w:val="300"/>
        </w:trPr>
        <w:tc>
          <w:tcPr>
            <w:tcW w:w="346" w:type="pct"/>
            <w:tcBorders>
              <w:top w:val="nil"/>
              <w:left w:val="single" w:sz="4" w:space="0" w:color="auto"/>
              <w:bottom w:val="nil"/>
              <w:right w:val="nil"/>
            </w:tcBorders>
            <w:noWrap/>
            <w:vAlign w:val="center"/>
            <w:hideMark/>
          </w:tcPr>
          <w:p w14:paraId="015201C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21B296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Freedom of Information Act 1982</w:t>
            </w:r>
            <w:r w:rsidRPr="00DA554C">
              <w:rPr>
                <w:rFonts w:ascii="Arial" w:hAnsi="Arial" w:cs="Arial"/>
                <w:color w:val="000000"/>
                <w:sz w:val="18"/>
                <w:szCs w:val="18"/>
                <w:lang w:eastAsia="ko-KR"/>
              </w:rPr>
              <w:t>, applications under section 50 if—</w:t>
            </w:r>
          </w:p>
        </w:tc>
        <w:tc>
          <w:tcPr>
            <w:tcW w:w="521" w:type="pct"/>
            <w:tcBorders>
              <w:top w:val="nil"/>
              <w:left w:val="single" w:sz="4" w:space="0" w:color="auto"/>
              <w:bottom w:val="nil"/>
              <w:right w:val="nil"/>
            </w:tcBorders>
            <w:vAlign w:val="center"/>
            <w:hideMark/>
          </w:tcPr>
          <w:p w14:paraId="2711174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5B724E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E0FCCDE" w14:textId="77777777" w:rsidR="00DA554C" w:rsidRPr="00DA554C" w:rsidRDefault="00DA554C" w:rsidP="00DA554C">
            <w:pPr>
              <w:jc w:val="center"/>
              <w:rPr>
                <w:rFonts w:ascii="Times New Roman" w:hAnsi="Times New Roman"/>
                <w:lang w:eastAsia="ko-KR"/>
              </w:rPr>
            </w:pPr>
          </w:p>
        </w:tc>
      </w:tr>
      <w:tr w:rsidR="00DA554C" w:rsidRPr="00DA554C" w14:paraId="3B949AC6" w14:textId="77777777" w:rsidTr="009B659C">
        <w:trPr>
          <w:trHeight w:val="510"/>
        </w:trPr>
        <w:tc>
          <w:tcPr>
            <w:tcW w:w="346" w:type="pct"/>
            <w:tcBorders>
              <w:top w:val="nil"/>
              <w:left w:val="single" w:sz="4" w:space="0" w:color="auto"/>
              <w:bottom w:val="nil"/>
              <w:right w:val="nil"/>
            </w:tcBorders>
            <w:noWrap/>
            <w:vAlign w:val="center"/>
            <w:hideMark/>
          </w:tcPr>
          <w:p w14:paraId="1EFAF54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C9FA68B"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(a) the application is for the review of a deemed decision under section 49J or 53 refusing to grant access to a document; or</w:t>
            </w:r>
          </w:p>
        </w:tc>
        <w:tc>
          <w:tcPr>
            <w:tcW w:w="521" w:type="pct"/>
            <w:tcBorders>
              <w:top w:val="nil"/>
              <w:left w:val="single" w:sz="4" w:space="0" w:color="auto"/>
              <w:bottom w:val="nil"/>
              <w:right w:val="nil"/>
            </w:tcBorders>
            <w:vAlign w:val="center"/>
            <w:hideMark/>
          </w:tcPr>
          <w:p w14:paraId="33C4D380"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20F2A76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80CBBFD" w14:textId="77777777" w:rsidR="00DA554C" w:rsidRPr="00DA554C" w:rsidRDefault="00DA554C" w:rsidP="00DA554C">
            <w:pPr>
              <w:jc w:val="center"/>
              <w:rPr>
                <w:rFonts w:ascii="Times New Roman" w:hAnsi="Times New Roman"/>
                <w:lang w:eastAsia="ko-KR"/>
              </w:rPr>
            </w:pPr>
          </w:p>
        </w:tc>
      </w:tr>
      <w:tr w:rsidR="00DA554C" w:rsidRPr="00DA554C" w14:paraId="52644B92" w14:textId="77777777" w:rsidTr="009B659C">
        <w:trPr>
          <w:trHeight w:val="510"/>
        </w:trPr>
        <w:tc>
          <w:tcPr>
            <w:tcW w:w="346" w:type="pct"/>
            <w:tcBorders>
              <w:top w:val="nil"/>
              <w:left w:val="single" w:sz="4" w:space="0" w:color="auto"/>
              <w:bottom w:val="nil"/>
              <w:right w:val="nil"/>
            </w:tcBorders>
            <w:noWrap/>
            <w:vAlign w:val="center"/>
            <w:hideMark/>
          </w:tcPr>
          <w:p w14:paraId="4F026AC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2AC8489D"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(b) the applicant is a natural person and the document to which access is sought contains information relating to the applicant's personal affairs</w:t>
            </w:r>
          </w:p>
        </w:tc>
        <w:tc>
          <w:tcPr>
            <w:tcW w:w="521" w:type="pct"/>
            <w:tcBorders>
              <w:top w:val="nil"/>
              <w:left w:val="single" w:sz="4" w:space="0" w:color="auto"/>
              <w:bottom w:val="nil"/>
              <w:right w:val="nil"/>
            </w:tcBorders>
            <w:vAlign w:val="center"/>
            <w:hideMark/>
          </w:tcPr>
          <w:p w14:paraId="60967877"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0798475F"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7F6CEB1" w14:textId="77777777" w:rsidR="00DA554C" w:rsidRPr="00DA554C" w:rsidRDefault="00DA554C" w:rsidP="00DA554C">
            <w:pPr>
              <w:jc w:val="center"/>
              <w:rPr>
                <w:rFonts w:ascii="Times New Roman" w:hAnsi="Times New Roman"/>
                <w:lang w:eastAsia="ko-KR"/>
              </w:rPr>
            </w:pPr>
          </w:p>
        </w:tc>
      </w:tr>
      <w:tr w:rsidR="00DA554C" w:rsidRPr="00DA554C" w14:paraId="3DE280D8" w14:textId="77777777" w:rsidTr="009B659C">
        <w:trPr>
          <w:trHeight w:val="300"/>
        </w:trPr>
        <w:tc>
          <w:tcPr>
            <w:tcW w:w="346" w:type="pct"/>
            <w:tcBorders>
              <w:top w:val="nil"/>
              <w:left w:val="single" w:sz="4" w:space="0" w:color="auto"/>
              <w:bottom w:val="nil"/>
              <w:right w:val="nil"/>
            </w:tcBorders>
            <w:noWrap/>
            <w:vAlign w:val="center"/>
            <w:hideMark/>
          </w:tcPr>
          <w:p w14:paraId="6CB3EFD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E04CFB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Gender Equality Act 2020</w:t>
            </w:r>
          </w:p>
        </w:tc>
        <w:tc>
          <w:tcPr>
            <w:tcW w:w="521" w:type="pct"/>
            <w:tcBorders>
              <w:top w:val="nil"/>
              <w:left w:val="single" w:sz="4" w:space="0" w:color="auto"/>
              <w:bottom w:val="nil"/>
              <w:right w:val="nil"/>
            </w:tcBorders>
            <w:vAlign w:val="center"/>
            <w:hideMark/>
          </w:tcPr>
          <w:p w14:paraId="29A26E30"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769E9D3"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53C1AF2" w14:textId="77777777" w:rsidR="00DA554C" w:rsidRPr="00DA554C" w:rsidRDefault="00DA554C" w:rsidP="00DA554C">
            <w:pPr>
              <w:jc w:val="center"/>
              <w:rPr>
                <w:rFonts w:ascii="Times New Roman" w:hAnsi="Times New Roman"/>
                <w:lang w:eastAsia="ko-KR"/>
              </w:rPr>
            </w:pPr>
          </w:p>
        </w:tc>
      </w:tr>
      <w:tr w:rsidR="00DA554C" w:rsidRPr="00DA554C" w14:paraId="0829ED40" w14:textId="77777777" w:rsidTr="009B659C">
        <w:trPr>
          <w:trHeight w:val="300"/>
        </w:trPr>
        <w:tc>
          <w:tcPr>
            <w:tcW w:w="346" w:type="pct"/>
            <w:tcBorders>
              <w:top w:val="nil"/>
              <w:left w:val="single" w:sz="4" w:space="0" w:color="auto"/>
              <w:bottom w:val="nil"/>
              <w:right w:val="nil"/>
            </w:tcBorders>
            <w:noWrap/>
            <w:vAlign w:val="center"/>
            <w:hideMark/>
          </w:tcPr>
          <w:p w14:paraId="3575AA8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E1B982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Guardianship and Administration Act 2019</w:t>
            </w:r>
          </w:p>
        </w:tc>
        <w:tc>
          <w:tcPr>
            <w:tcW w:w="521" w:type="pct"/>
            <w:tcBorders>
              <w:top w:val="nil"/>
              <w:left w:val="single" w:sz="4" w:space="0" w:color="auto"/>
              <w:bottom w:val="nil"/>
              <w:right w:val="nil"/>
            </w:tcBorders>
            <w:vAlign w:val="center"/>
            <w:hideMark/>
          </w:tcPr>
          <w:p w14:paraId="03A97A0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7BAE7E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85FA42B" w14:textId="77777777" w:rsidR="00DA554C" w:rsidRPr="00DA554C" w:rsidRDefault="00DA554C" w:rsidP="00DA554C">
            <w:pPr>
              <w:jc w:val="center"/>
              <w:rPr>
                <w:rFonts w:ascii="Times New Roman" w:hAnsi="Times New Roman"/>
                <w:lang w:eastAsia="ko-KR"/>
              </w:rPr>
            </w:pPr>
          </w:p>
        </w:tc>
      </w:tr>
      <w:tr w:rsidR="00DA554C" w:rsidRPr="00DA554C" w14:paraId="4B5E83FC" w14:textId="77777777" w:rsidTr="009B659C">
        <w:trPr>
          <w:trHeight w:val="300"/>
        </w:trPr>
        <w:tc>
          <w:tcPr>
            <w:tcW w:w="346" w:type="pct"/>
            <w:tcBorders>
              <w:top w:val="nil"/>
              <w:left w:val="single" w:sz="4" w:space="0" w:color="auto"/>
              <w:bottom w:val="nil"/>
              <w:right w:val="nil"/>
            </w:tcBorders>
            <w:noWrap/>
            <w:vAlign w:val="center"/>
            <w:hideMark/>
          </w:tcPr>
          <w:p w14:paraId="4B7F6BD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2581A4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Health Records Act 2001</w:t>
            </w:r>
          </w:p>
        </w:tc>
        <w:tc>
          <w:tcPr>
            <w:tcW w:w="521" w:type="pct"/>
            <w:tcBorders>
              <w:top w:val="nil"/>
              <w:left w:val="single" w:sz="4" w:space="0" w:color="auto"/>
              <w:bottom w:val="nil"/>
              <w:right w:val="nil"/>
            </w:tcBorders>
            <w:vAlign w:val="center"/>
            <w:hideMark/>
          </w:tcPr>
          <w:p w14:paraId="38F4D81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413543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4924B46" w14:textId="77777777" w:rsidR="00DA554C" w:rsidRPr="00DA554C" w:rsidRDefault="00DA554C" w:rsidP="00DA554C">
            <w:pPr>
              <w:jc w:val="center"/>
              <w:rPr>
                <w:rFonts w:ascii="Times New Roman" w:hAnsi="Times New Roman"/>
                <w:lang w:eastAsia="ko-KR"/>
              </w:rPr>
            </w:pPr>
          </w:p>
        </w:tc>
      </w:tr>
      <w:tr w:rsidR="00DA554C" w:rsidRPr="00DA554C" w14:paraId="20399F4C" w14:textId="77777777" w:rsidTr="009B659C">
        <w:trPr>
          <w:trHeight w:val="300"/>
        </w:trPr>
        <w:tc>
          <w:tcPr>
            <w:tcW w:w="346" w:type="pct"/>
            <w:tcBorders>
              <w:top w:val="nil"/>
              <w:left w:val="single" w:sz="4" w:space="0" w:color="auto"/>
              <w:bottom w:val="nil"/>
              <w:right w:val="nil"/>
            </w:tcBorders>
            <w:noWrap/>
            <w:vAlign w:val="center"/>
            <w:hideMark/>
          </w:tcPr>
          <w:p w14:paraId="03FA464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3678CB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Medical Treatment Planning and Decisions Act 2016</w:t>
            </w:r>
          </w:p>
        </w:tc>
        <w:tc>
          <w:tcPr>
            <w:tcW w:w="521" w:type="pct"/>
            <w:tcBorders>
              <w:top w:val="nil"/>
              <w:left w:val="single" w:sz="4" w:space="0" w:color="auto"/>
              <w:bottom w:val="nil"/>
              <w:right w:val="nil"/>
            </w:tcBorders>
            <w:vAlign w:val="center"/>
            <w:hideMark/>
          </w:tcPr>
          <w:p w14:paraId="268EA17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8D579FF"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0B5F9B6" w14:textId="77777777" w:rsidR="00DA554C" w:rsidRPr="00DA554C" w:rsidRDefault="00DA554C" w:rsidP="00DA554C">
            <w:pPr>
              <w:jc w:val="center"/>
              <w:rPr>
                <w:rFonts w:ascii="Times New Roman" w:hAnsi="Times New Roman"/>
                <w:lang w:eastAsia="ko-KR"/>
              </w:rPr>
            </w:pPr>
          </w:p>
        </w:tc>
      </w:tr>
      <w:tr w:rsidR="00DA554C" w:rsidRPr="00DA554C" w14:paraId="12F5195C" w14:textId="77777777" w:rsidTr="009B659C">
        <w:trPr>
          <w:trHeight w:val="300"/>
        </w:trPr>
        <w:tc>
          <w:tcPr>
            <w:tcW w:w="346" w:type="pct"/>
            <w:tcBorders>
              <w:top w:val="nil"/>
              <w:left w:val="single" w:sz="4" w:space="0" w:color="auto"/>
              <w:bottom w:val="nil"/>
              <w:right w:val="nil"/>
            </w:tcBorders>
            <w:noWrap/>
            <w:vAlign w:val="center"/>
            <w:hideMark/>
          </w:tcPr>
          <w:p w14:paraId="5DA0FAD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3C37727"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Mental Health and Wellbeing Act 2022</w:t>
            </w:r>
          </w:p>
        </w:tc>
        <w:tc>
          <w:tcPr>
            <w:tcW w:w="521" w:type="pct"/>
            <w:tcBorders>
              <w:top w:val="nil"/>
              <w:left w:val="single" w:sz="4" w:space="0" w:color="auto"/>
              <w:bottom w:val="nil"/>
              <w:right w:val="nil"/>
            </w:tcBorders>
            <w:vAlign w:val="center"/>
            <w:hideMark/>
          </w:tcPr>
          <w:p w14:paraId="7CBEC85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E1996A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6B4D8FB" w14:textId="77777777" w:rsidR="00DA554C" w:rsidRPr="00DA554C" w:rsidRDefault="00DA554C" w:rsidP="00DA554C">
            <w:pPr>
              <w:jc w:val="center"/>
              <w:rPr>
                <w:rFonts w:ascii="Times New Roman" w:hAnsi="Times New Roman"/>
                <w:lang w:eastAsia="ko-KR"/>
              </w:rPr>
            </w:pPr>
          </w:p>
        </w:tc>
      </w:tr>
      <w:tr w:rsidR="00DA554C" w:rsidRPr="00DA554C" w14:paraId="22DD571A" w14:textId="77777777" w:rsidTr="009B659C">
        <w:trPr>
          <w:trHeight w:val="300"/>
        </w:trPr>
        <w:tc>
          <w:tcPr>
            <w:tcW w:w="346" w:type="pct"/>
            <w:tcBorders>
              <w:top w:val="nil"/>
              <w:left w:val="single" w:sz="4" w:space="0" w:color="auto"/>
              <w:bottom w:val="nil"/>
              <w:right w:val="nil"/>
            </w:tcBorders>
            <w:noWrap/>
            <w:vAlign w:val="center"/>
            <w:hideMark/>
          </w:tcPr>
          <w:p w14:paraId="5FDAA1C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17D5ACF"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Powers of Attorney Act 2014</w:t>
            </w:r>
          </w:p>
        </w:tc>
        <w:tc>
          <w:tcPr>
            <w:tcW w:w="521" w:type="pct"/>
            <w:tcBorders>
              <w:top w:val="nil"/>
              <w:left w:val="single" w:sz="4" w:space="0" w:color="auto"/>
              <w:bottom w:val="nil"/>
              <w:right w:val="nil"/>
            </w:tcBorders>
            <w:vAlign w:val="center"/>
            <w:hideMark/>
          </w:tcPr>
          <w:p w14:paraId="21119948"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B32301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F6B4FB4" w14:textId="77777777" w:rsidR="00DA554C" w:rsidRPr="00DA554C" w:rsidRDefault="00DA554C" w:rsidP="00DA554C">
            <w:pPr>
              <w:jc w:val="center"/>
              <w:rPr>
                <w:rFonts w:ascii="Times New Roman" w:hAnsi="Times New Roman"/>
                <w:lang w:eastAsia="ko-KR"/>
              </w:rPr>
            </w:pPr>
          </w:p>
        </w:tc>
      </w:tr>
      <w:tr w:rsidR="00DA554C" w:rsidRPr="00DA554C" w14:paraId="672FF2DA" w14:textId="77777777" w:rsidTr="009B659C">
        <w:trPr>
          <w:trHeight w:val="300"/>
        </w:trPr>
        <w:tc>
          <w:tcPr>
            <w:tcW w:w="346" w:type="pct"/>
            <w:tcBorders>
              <w:top w:val="nil"/>
              <w:left w:val="single" w:sz="4" w:space="0" w:color="auto"/>
              <w:bottom w:val="nil"/>
              <w:right w:val="nil"/>
            </w:tcBorders>
            <w:noWrap/>
            <w:vAlign w:val="center"/>
            <w:hideMark/>
          </w:tcPr>
          <w:p w14:paraId="2063487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BDF52F9"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Privacy and Data Protection Act 2014</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617EE33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BDF76C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6DC297A" w14:textId="77777777" w:rsidR="00DA554C" w:rsidRPr="00DA554C" w:rsidRDefault="00DA554C" w:rsidP="00DA554C">
            <w:pPr>
              <w:jc w:val="center"/>
              <w:rPr>
                <w:rFonts w:ascii="Times New Roman" w:hAnsi="Times New Roman"/>
                <w:lang w:eastAsia="ko-KR"/>
              </w:rPr>
            </w:pPr>
          </w:p>
        </w:tc>
      </w:tr>
      <w:tr w:rsidR="00DA554C" w:rsidRPr="00DA554C" w14:paraId="5EAAA177" w14:textId="77777777" w:rsidTr="009B659C">
        <w:trPr>
          <w:trHeight w:val="285"/>
        </w:trPr>
        <w:tc>
          <w:tcPr>
            <w:tcW w:w="346" w:type="pct"/>
            <w:tcBorders>
              <w:top w:val="nil"/>
              <w:left w:val="single" w:sz="4" w:space="0" w:color="auto"/>
              <w:bottom w:val="nil"/>
              <w:right w:val="nil"/>
            </w:tcBorders>
            <w:noWrap/>
            <w:vAlign w:val="center"/>
            <w:hideMark/>
          </w:tcPr>
          <w:p w14:paraId="3584849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7E058B2"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Public Health and Wellbeing Act 2008</w:t>
            </w:r>
            <w:r w:rsidRPr="00DA554C">
              <w:rPr>
                <w:rFonts w:ascii="Arial" w:hAnsi="Arial" w:cs="Arial"/>
                <w:color w:val="000000"/>
                <w:sz w:val="18"/>
                <w:szCs w:val="18"/>
                <w:lang w:eastAsia="ko-KR"/>
              </w:rPr>
              <w:t>, sections 122 and 204</w:t>
            </w:r>
          </w:p>
        </w:tc>
        <w:tc>
          <w:tcPr>
            <w:tcW w:w="521" w:type="pct"/>
            <w:tcBorders>
              <w:top w:val="nil"/>
              <w:left w:val="single" w:sz="4" w:space="0" w:color="auto"/>
              <w:bottom w:val="nil"/>
              <w:right w:val="nil"/>
            </w:tcBorders>
            <w:vAlign w:val="center"/>
            <w:hideMark/>
          </w:tcPr>
          <w:p w14:paraId="34B78074"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EC7A92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CB1DE51" w14:textId="77777777" w:rsidR="00DA554C" w:rsidRPr="00DA554C" w:rsidRDefault="00DA554C" w:rsidP="00DA554C">
            <w:pPr>
              <w:jc w:val="center"/>
              <w:rPr>
                <w:rFonts w:ascii="Times New Roman" w:hAnsi="Times New Roman"/>
                <w:lang w:eastAsia="ko-KR"/>
              </w:rPr>
            </w:pPr>
          </w:p>
        </w:tc>
      </w:tr>
      <w:tr w:rsidR="00DA554C" w:rsidRPr="00DA554C" w14:paraId="0789160E" w14:textId="77777777" w:rsidTr="009B659C">
        <w:trPr>
          <w:trHeight w:val="300"/>
        </w:trPr>
        <w:tc>
          <w:tcPr>
            <w:tcW w:w="346" w:type="pct"/>
            <w:tcBorders>
              <w:top w:val="nil"/>
              <w:left w:val="single" w:sz="4" w:space="0" w:color="auto"/>
              <w:bottom w:val="nil"/>
              <w:right w:val="nil"/>
            </w:tcBorders>
            <w:noWrap/>
            <w:vAlign w:val="center"/>
            <w:hideMark/>
          </w:tcPr>
          <w:p w14:paraId="53013C7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17A03E3"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Racial and Religious Tolerance Act 2001</w:t>
            </w:r>
          </w:p>
        </w:tc>
        <w:tc>
          <w:tcPr>
            <w:tcW w:w="521" w:type="pct"/>
            <w:tcBorders>
              <w:top w:val="nil"/>
              <w:left w:val="single" w:sz="4" w:space="0" w:color="auto"/>
              <w:bottom w:val="nil"/>
              <w:right w:val="nil"/>
            </w:tcBorders>
            <w:vAlign w:val="center"/>
            <w:hideMark/>
          </w:tcPr>
          <w:p w14:paraId="70F4070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CBFC45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3DCC547" w14:textId="77777777" w:rsidR="00DA554C" w:rsidRPr="00DA554C" w:rsidRDefault="00DA554C" w:rsidP="00DA554C">
            <w:pPr>
              <w:jc w:val="center"/>
              <w:rPr>
                <w:rFonts w:ascii="Times New Roman" w:hAnsi="Times New Roman"/>
                <w:lang w:eastAsia="ko-KR"/>
              </w:rPr>
            </w:pPr>
          </w:p>
        </w:tc>
      </w:tr>
      <w:tr w:rsidR="00DA554C" w:rsidRPr="00DA554C" w14:paraId="0F4F251A" w14:textId="77777777" w:rsidTr="009B659C">
        <w:trPr>
          <w:trHeight w:val="1035"/>
        </w:trPr>
        <w:tc>
          <w:tcPr>
            <w:tcW w:w="346" w:type="pct"/>
            <w:tcBorders>
              <w:top w:val="nil"/>
              <w:left w:val="single" w:sz="4" w:space="0" w:color="auto"/>
              <w:bottom w:val="nil"/>
              <w:right w:val="nil"/>
            </w:tcBorders>
            <w:noWrap/>
            <w:vAlign w:val="center"/>
            <w:hideMark/>
          </w:tcPr>
          <w:p w14:paraId="311FC1B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2A57973F"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Residential Tenancies Act 1997</w:t>
            </w:r>
            <w:r w:rsidRPr="00DA554C">
              <w:rPr>
                <w:rFonts w:ascii="Arial" w:hAnsi="Arial" w:cs="Arial"/>
                <w:color w:val="000000"/>
                <w:sz w:val="18"/>
                <w:szCs w:val="18"/>
                <w:lang w:eastAsia="ko-KR"/>
              </w:rPr>
              <w:t xml:space="preserve">, Part 10, Part 12A, and any application under that Act considered suitable to be dealt with as an RDRV proceeding under section 93D of the </w:t>
            </w:r>
            <w:r w:rsidRPr="00DA554C">
              <w:rPr>
                <w:rFonts w:ascii="Arial" w:hAnsi="Arial" w:cs="Arial"/>
                <w:b/>
                <w:bCs/>
                <w:color w:val="000000"/>
                <w:sz w:val="18"/>
                <w:szCs w:val="18"/>
                <w:lang w:eastAsia="ko-KR"/>
              </w:rPr>
              <w:t>Victorian Civil and Administrative Tribunal Act 1998</w:t>
            </w:r>
            <w:r w:rsidRPr="00DA554C">
              <w:rPr>
                <w:rFonts w:ascii="Arial" w:hAnsi="Arial" w:cs="Arial"/>
                <w:color w:val="000000"/>
                <w:sz w:val="18"/>
                <w:szCs w:val="18"/>
                <w:lang w:eastAsia="ko-KR"/>
              </w:rPr>
              <w:t xml:space="preserve">, unless notice has been provided to the principal registrar under section 93G of the </w:t>
            </w:r>
            <w:r w:rsidRPr="00DA554C">
              <w:rPr>
                <w:rFonts w:ascii="Arial" w:hAnsi="Arial" w:cs="Arial"/>
                <w:b/>
                <w:bCs/>
                <w:color w:val="000000"/>
                <w:sz w:val="18"/>
                <w:szCs w:val="18"/>
                <w:lang w:eastAsia="ko-KR"/>
              </w:rPr>
              <w:t xml:space="preserve">Victorian Civil and Administrative Tribunal Act 1998 </w:t>
            </w:r>
            <w:r w:rsidRPr="00DA554C">
              <w:rPr>
                <w:rFonts w:ascii="Arial" w:hAnsi="Arial" w:cs="Arial"/>
                <w:color w:val="000000"/>
                <w:sz w:val="18"/>
                <w:szCs w:val="18"/>
                <w:lang w:eastAsia="ko-KR"/>
              </w:rPr>
              <w:t>that the RDRV proceeding has been unsuccessful.</w:t>
            </w:r>
          </w:p>
        </w:tc>
        <w:tc>
          <w:tcPr>
            <w:tcW w:w="521" w:type="pct"/>
            <w:tcBorders>
              <w:top w:val="nil"/>
              <w:left w:val="single" w:sz="4" w:space="0" w:color="auto"/>
              <w:bottom w:val="nil"/>
              <w:right w:val="nil"/>
            </w:tcBorders>
            <w:vAlign w:val="center"/>
            <w:hideMark/>
          </w:tcPr>
          <w:p w14:paraId="7D5218D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18FB87C"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1A558DF" w14:textId="77777777" w:rsidR="00DA554C" w:rsidRPr="00DA554C" w:rsidRDefault="00DA554C" w:rsidP="00DA554C">
            <w:pPr>
              <w:jc w:val="center"/>
              <w:rPr>
                <w:rFonts w:ascii="Times New Roman" w:hAnsi="Times New Roman"/>
                <w:lang w:eastAsia="ko-KR"/>
              </w:rPr>
            </w:pPr>
          </w:p>
        </w:tc>
      </w:tr>
      <w:tr w:rsidR="00DA554C" w:rsidRPr="00DA554C" w14:paraId="66D79276" w14:textId="77777777" w:rsidTr="009B659C">
        <w:trPr>
          <w:trHeight w:val="285"/>
        </w:trPr>
        <w:tc>
          <w:tcPr>
            <w:tcW w:w="346" w:type="pct"/>
            <w:tcBorders>
              <w:top w:val="nil"/>
              <w:left w:val="single" w:sz="4" w:space="0" w:color="auto"/>
              <w:bottom w:val="nil"/>
              <w:right w:val="nil"/>
            </w:tcBorders>
            <w:noWrap/>
            <w:vAlign w:val="center"/>
            <w:hideMark/>
          </w:tcPr>
          <w:p w14:paraId="6A4F11D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66D26B2"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Social Services Regulation Act 2021</w:t>
            </w:r>
            <w:r w:rsidRPr="00DA554C">
              <w:rPr>
                <w:rFonts w:ascii="Arial" w:hAnsi="Arial" w:cs="Arial"/>
                <w:color w:val="000000"/>
                <w:sz w:val="18"/>
                <w:szCs w:val="18"/>
                <w:lang w:eastAsia="ko-KR"/>
              </w:rPr>
              <w:t>, sections 256 and 272</w:t>
            </w:r>
          </w:p>
        </w:tc>
        <w:tc>
          <w:tcPr>
            <w:tcW w:w="521" w:type="pct"/>
            <w:tcBorders>
              <w:top w:val="nil"/>
              <w:left w:val="single" w:sz="4" w:space="0" w:color="auto"/>
              <w:bottom w:val="nil"/>
              <w:right w:val="nil"/>
            </w:tcBorders>
            <w:vAlign w:val="center"/>
            <w:hideMark/>
          </w:tcPr>
          <w:p w14:paraId="54726B95"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49602C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9F5695B" w14:textId="77777777" w:rsidR="00DA554C" w:rsidRPr="00DA554C" w:rsidRDefault="00DA554C" w:rsidP="00DA554C">
            <w:pPr>
              <w:jc w:val="center"/>
              <w:rPr>
                <w:rFonts w:ascii="Times New Roman" w:hAnsi="Times New Roman"/>
                <w:lang w:eastAsia="ko-KR"/>
              </w:rPr>
            </w:pPr>
          </w:p>
        </w:tc>
      </w:tr>
      <w:tr w:rsidR="00DA554C" w:rsidRPr="00DA554C" w14:paraId="47846817" w14:textId="77777777" w:rsidTr="009B659C">
        <w:trPr>
          <w:trHeight w:val="285"/>
        </w:trPr>
        <w:tc>
          <w:tcPr>
            <w:tcW w:w="346" w:type="pct"/>
            <w:tcBorders>
              <w:top w:val="nil"/>
              <w:left w:val="single" w:sz="4" w:space="0" w:color="auto"/>
              <w:bottom w:val="nil"/>
              <w:right w:val="nil"/>
            </w:tcBorders>
            <w:noWrap/>
            <w:vAlign w:val="center"/>
            <w:hideMark/>
          </w:tcPr>
          <w:p w14:paraId="771AA0D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39A42F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Voluntary Assisted Dying Act 2017</w:t>
            </w:r>
          </w:p>
        </w:tc>
        <w:tc>
          <w:tcPr>
            <w:tcW w:w="521" w:type="pct"/>
            <w:tcBorders>
              <w:top w:val="nil"/>
              <w:left w:val="single" w:sz="4" w:space="0" w:color="auto"/>
              <w:bottom w:val="nil"/>
              <w:right w:val="nil"/>
            </w:tcBorders>
            <w:vAlign w:val="center"/>
            <w:hideMark/>
          </w:tcPr>
          <w:p w14:paraId="60088B6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c>
          <w:tcPr>
            <w:tcW w:w="483" w:type="pct"/>
            <w:tcBorders>
              <w:top w:val="nil"/>
              <w:left w:val="nil"/>
              <w:bottom w:val="nil"/>
              <w:right w:val="nil"/>
            </w:tcBorders>
            <w:vAlign w:val="center"/>
            <w:hideMark/>
          </w:tcPr>
          <w:p w14:paraId="42D8975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c>
          <w:tcPr>
            <w:tcW w:w="598" w:type="pct"/>
            <w:tcBorders>
              <w:top w:val="nil"/>
              <w:left w:val="nil"/>
              <w:bottom w:val="nil"/>
              <w:right w:val="single" w:sz="4" w:space="0" w:color="auto"/>
            </w:tcBorders>
            <w:vAlign w:val="center"/>
            <w:hideMark/>
          </w:tcPr>
          <w:p w14:paraId="0A32521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59543BF3" w14:textId="77777777" w:rsidTr="009B659C">
        <w:trPr>
          <w:trHeight w:val="1365"/>
        </w:trPr>
        <w:tc>
          <w:tcPr>
            <w:tcW w:w="346" w:type="pct"/>
            <w:tcBorders>
              <w:top w:val="single" w:sz="4" w:space="0" w:color="auto"/>
              <w:left w:val="single" w:sz="4" w:space="0" w:color="auto"/>
              <w:bottom w:val="single" w:sz="4" w:space="0" w:color="auto"/>
              <w:right w:val="nil"/>
            </w:tcBorders>
            <w:noWrap/>
            <w:vAlign w:val="center"/>
            <w:hideMark/>
          </w:tcPr>
          <w:p w14:paraId="3D9A207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2.</w:t>
            </w:r>
          </w:p>
        </w:tc>
        <w:tc>
          <w:tcPr>
            <w:tcW w:w="3052" w:type="pct"/>
            <w:tcBorders>
              <w:top w:val="single" w:sz="4" w:space="0" w:color="auto"/>
              <w:left w:val="single" w:sz="4" w:space="0" w:color="auto"/>
              <w:bottom w:val="nil"/>
              <w:right w:val="nil"/>
            </w:tcBorders>
            <w:vAlign w:val="center"/>
            <w:hideMark/>
          </w:tcPr>
          <w:p w14:paraId="5CDCFEA0"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the commencement of a proceeding under the </w:t>
            </w:r>
            <w:r w:rsidRPr="00DA554C">
              <w:rPr>
                <w:rFonts w:ascii="Arial" w:hAnsi="Arial" w:cs="Arial"/>
                <w:b/>
                <w:bCs/>
                <w:color w:val="000000"/>
                <w:sz w:val="18"/>
                <w:szCs w:val="18"/>
                <w:lang w:eastAsia="ko-KR"/>
              </w:rPr>
              <w:t>Residential Tenancies Act 1997</w:t>
            </w:r>
            <w:r w:rsidRPr="00DA554C">
              <w:rPr>
                <w:rFonts w:ascii="Arial" w:hAnsi="Arial" w:cs="Arial"/>
                <w:color w:val="000000"/>
                <w:sz w:val="18"/>
                <w:szCs w:val="18"/>
                <w:lang w:eastAsia="ko-KR"/>
              </w:rPr>
              <w:t xml:space="preserve">, except Part 10, Part 12A and any application under that Act considered suitable to be dealt with as an RDRV proceeding under section 93D of the </w:t>
            </w:r>
            <w:r w:rsidRPr="00DA554C">
              <w:rPr>
                <w:rFonts w:ascii="Arial" w:hAnsi="Arial" w:cs="Arial"/>
                <w:b/>
                <w:bCs/>
                <w:color w:val="000000"/>
                <w:sz w:val="18"/>
                <w:szCs w:val="18"/>
                <w:lang w:eastAsia="ko-KR"/>
              </w:rPr>
              <w:t>Victorian Civil and Administrative Tribunal Act 1998</w:t>
            </w:r>
            <w:r w:rsidRPr="00DA554C">
              <w:rPr>
                <w:rFonts w:ascii="Arial" w:hAnsi="Arial" w:cs="Arial"/>
                <w:color w:val="000000"/>
                <w:sz w:val="18"/>
                <w:szCs w:val="18"/>
                <w:lang w:eastAsia="ko-KR"/>
              </w:rPr>
              <w:t xml:space="preserve">, unless notice has been provided to the principal registrar under section 93G of the </w:t>
            </w:r>
            <w:r w:rsidRPr="00DA554C">
              <w:rPr>
                <w:rFonts w:ascii="Arial" w:hAnsi="Arial" w:cs="Arial"/>
                <w:b/>
                <w:bCs/>
                <w:color w:val="000000"/>
                <w:sz w:val="18"/>
                <w:szCs w:val="18"/>
                <w:lang w:eastAsia="ko-KR"/>
              </w:rPr>
              <w:t>Victorian Civil and Administrative Tribunal Act 1998</w:t>
            </w:r>
            <w:r w:rsidRPr="00DA554C">
              <w:rPr>
                <w:rFonts w:ascii="Arial" w:hAnsi="Arial" w:cs="Arial"/>
                <w:color w:val="000000"/>
                <w:sz w:val="18"/>
                <w:szCs w:val="18"/>
                <w:lang w:eastAsia="ko-KR"/>
              </w:rPr>
              <w:t xml:space="preserve"> that the RDRV proceeding has been unsuccessful</w:t>
            </w:r>
          </w:p>
        </w:tc>
        <w:tc>
          <w:tcPr>
            <w:tcW w:w="521" w:type="pct"/>
            <w:tcBorders>
              <w:top w:val="single" w:sz="4" w:space="0" w:color="auto"/>
              <w:left w:val="single" w:sz="4" w:space="0" w:color="auto"/>
              <w:bottom w:val="single" w:sz="4" w:space="0" w:color="auto"/>
              <w:right w:val="nil"/>
            </w:tcBorders>
            <w:vAlign w:val="center"/>
            <w:hideMark/>
          </w:tcPr>
          <w:p w14:paraId="2521283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117.9</w:t>
            </w:r>
          </w:p>
        </w:tc>
        <w:tc>
          <w:tcPr>
            <w:tcW w:w="483" w:type="pct"/>
            <w:tcBorders>
              <w:top w:val="single" w:sz="4" w:space="0" w:color="auto"/>
              <w:left w:val="nil"/>
              <w:bottom w:val="single" w:sz="4" w:space="0" w:color="auto"/>
              <w:right w:val="nil"/>
            </w:tcBorders>
            <w:vAlign w:val="center"/>
            <w:hideMark/>
          </w:tcPr>
          <w:p w14:paraId="041011D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38.9</w:t>
            </w:r>
          </w:p>
        </w:tc>
        <w:tc>
          <w:tcPr>
            <w:tcW w:w="598" w:type="pct"/>
            <w:tcBorders>
              <w:top w:val="single" w:sz="4" w:space="0" w:color="auto"/>
              <w:left w:val="nil"/>
              <w:bottom w:val="single" w:sz="4" w:space="0" w:color="auto"/>
              <w:right w:val="single" w:sz="4" w:space="0" w:color="auto"/>
            </w:tcBorders>
            <w:vAlign w:val="center"/>
            <w:hideMark/>
          </w:tcPr>
          <w:p w14:paraId="7788E20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3A7DF26C" w14:textId="77777777" w:rsidTr="009B659C">
        <w:trPr>
          <w:trHeight w:val="510"/>
        </w:trPr>
        <w:tc>
          <w:tcPr>
            <w:tcW w:w="346" w:type="pct"/>
            <w:tcBorders>
              <w:top w:val="single" w:sz="4" w:space="0" w:color="auto"/>
              <w:left w:val="single" w:sz="4" w:space="0" w:color="auto"/>
              <w:bottom w:val="nil"/>
              <w:right w:val="nil"/>
            </w:tcBorders>
            <w:noWrap/>
            <w:vAlign w:val="center"/>
            <w:hideMark/>
          </w:tcPr>
          <w:p w14:paraId="0F8CBA9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w:t>
            </w:r>
          </w:p>
        </w:tc>
        <w:tc>
          <w:tcPr>
            <w:tcW w:w="3052" w:type="pct"/>
            <w:tcBorders>
              <w:top w:val="single" w:sz="4" w:space="0" w:color="auto"/>
              <w:left w:val="single" w:sz="4" w:space="0" w:color="auto"/>
              <w:bottom w:val="nil"/>
              <w:right w:val="nil"/>
            </w:tcBorders>
            <w:vAlign w:val="center"/>
            <w:hideMark/>
          </w:tcPr>
          <w:p w14:paraId="24DFCAA4"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commencement of a proceeding under the following enabling enactments or provisions of enabling enactments—</w:t>
            </w:r>
          </w:p>
        </w:tc>
        <w:tc>
          <w:tcPr>
            <w:tcW w:w="521" w:type="pct"/>
            <w:tcBorders>
              <w:top w:val="single" w:sz="4" w:space="0" w:color="auto"/>
              <w:left w:val="single" w:sz="4" w:space="0" w:color="auto"/>
              <w:bottom w:val="nil"/>
              <w:right w:val="nil"/>
            </w:tcBorders>
            <w:vAlign w:val="center"/>
            <w:hideMark/>
          </w:tcPr>
          <w:p w14:paraId="386DB27F"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63657F76"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47D7BD17" w14:textId="77777777" w:rsidR="00DA554C" w:rsidRPr="00DA554C" w:rsidRDefault="00DA554C" w:rsidP="00DA554C">
            <w:pPr>
              <w:jc w:val="center"/>
              <w:rPr>
                <w:rFonts w:ascii="Times New Roman" w:hAnsi="Times New Roman"/>
                <w:lang w:eastAsia="ko-KR"/>
              </w:rPr>
            </w:pPr>
          </w:p>
        </w:tc>
      </w:tr>
      <w:tr w:rsidR="00DA554C" w:rsidRPr="00DA554C" w14:paraId="2A52D46A" w14:textId="77777777" w:rsidTr="009B659C">
        <w:trPr>
          <w:trHeight w:val="285"/>
        </w:trPr>
        <w:tc>
          <w:tcPr>
            <w:tcW w:w="346" w:type="pct"/>
            <w:tcBorders>
              <w:top w:val="nil"/>
              <w:left w:val="single" w:sz="4" w:space="0" w:color="auto"/>
              <w:bottom w:val="nil"/>
              <w:right w:val="nil"/>
            </w:tcBorders>
            <w:noWrap/>
            <w:vAlign w:val="center"/>
            <w:hideMark/>
          </w:tcPr>
          <w:p w14:paraId="0CC9F5A0" w14:textId="77777777" w:rsidR="00DA554C" w:rsidRPr="00DA554C" w:rsidRDefault="00DA554C" w:rsidP="00DA554C">
            <w:pPr>
              <w:jc w:val="center"/>
              <w:rPr>
                <w:rFonts w:ascii="Times New Roman" w:hAnsi="Times New Roman"/>
                <w:lang w:eastAsia="ko-KR"/>
              </w:rPr>
            </w:pPr>
          </w:p>
        </w:tc>
        <w:tc>
          <w:tcPr>
            <w:tcW w:w="3052" w:type="pct"/>
            <w:tcBorders>
              <w:top w:val="nil"/>
              <w:left w:val="single" w:sz="4" w:space="0" w:color="auto"/>
              <w:bottom w:val="nil"/>
              <w:right w:val="nil"/>
            </w:tcBorders>
            <w:vAlign w:val="center"/>
            <w:hideMark/>
          </w:tcPr>
          <w:p w14:paraId="3AE0AD2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Motor Car Traders Act 1986</w:t>
            </w:r>
            <w:r w:rsidRPr="00DA554C">
              <w:rPr>
                <w:rFonts w:ascii="Arial" w:hAnsi="Arial" w:cs="Arial"/>
                <w:color w:val="000000"/>
                <w:sz w:val="18"/>
                <w:szCs w:val="18"/>
                <w:lang w:eastAsia="ko-KR"/>
              </w:rPr>
              <w:t>, section 45</w:t>
            </w:r>
          </w:p>
        </w:tc>
        <w:tc>
          <w:tcPr>
            <w:tcW w:w="521" w:type="pct"/>
            <w:tcBorders>
              <w:top w:val="nil"/>
              <w:left w:val="single" w:sz="4" w:space="0" w:color="auto"/>
              <w:bottom w:val="nil"/>
              <w:right w:val="nil"/>
            </w:tcBorders>
            <w:vAlign w:val="center"/>
            <w:hideMark/>
          </w:tcPr>
          <w:p w14:paraId="58607E1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8D179D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73D00C1" w14:textId="77777777" w:rsidR="00DA554C" w:rsidRPr="00DA554C" w:rsidRDefault="00DA554C" w:rsidP="00DA554C">
            <w:pPr>
              <w:jc w:val="center"/>
              <w:rPr>
                <w:rFonts w:ascii="Times New Roman" w:hAnsi="Times New Roman"/>
                <w:lang w:eastAsia="ko-KR"/>
              </w:rPr>
            </w:pPr>
          </w:p>
        </w:tc>
      </w:tr>
      <w:tr w:rsidR="00DA554C" w:rsidRPr="00DA554C" w14:paraId="21277AE3" w14:textId="77777777" w:rsidTr="009B659C">
        <w:trPr>
          <w:trHeight w:val="285"/>
        </w:trPr>
        <w:tc>
          <w:tcPr>
            <w:tcW w:w="346" w:type="pct"/>
            <w:tcBorders>
              <w:top w:val="nil"/>
              <w:left w:val="single" w:sz="4" w:space="0" w:color="auto"/>
              <w:bottom w:val="nil"/>
              <w:right w:val="nil"/>
            </w:tcBorders>
            <w:noWrap/>
            <w:vAlign w:val="center"/>
            <w:hideMark/>
          </w:tcPr>
          <w:p w14:paraId="46ABBA5A" w14:textId="77777777" w:rsidR="00DA554C" w:rsidRPr="00DA554C" w:rsidRDefault="00DA554C" w:rsidP="00DA554C">
            <w:pPr>
              <w:jc w:val="center"/>
              <w:rPr>
                <w:rFonts w:ascii="Times New Roman" w:hAnsi="Times New Roman"/>
                <w:lang w:eastAsia="ko-KR"/>
              </w:rPr>
            </w:pPr>
          </w:p>
        </w:tc>
        <w:tc>
          <w:tcPr>
            <w:tcW w:w="3052" w:type="pct"/>
            <w:tcBorders>
              <w:top w:val="nil"/>
              <w:left w:val="single" w:sz="4" w:space="0" w:color="auto"/>
              <w:bottom w:val="single" w:sz="4" w:space="0" w:color="auto"/>
              <w:right w:val="nil"/>
            </w:tcBorders>
            <w:vAlign w:val="center"/>
            <w:hideMark/>
          </w:tcPr>
          <w:p w14:paraId="4518F25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Social Services Regulation Act 2021</w:t>
            </w:r>
            <w:r w:rsidRPr="00DA554C">
              <w:rPr>
                <w:rFonts w:ascii="Arial" w:hAnsi="Arial" w:cs="Arial"/>
                <w:color w:val="000000"/>
                <w:sz w:val="18"/>
                <w:szCs w:val="18"/>
                <w:lang w:eastAsia="ko-KR"/>
              </w:rPr>
              <w:t>, section 274</w:t>
            </w:r>
          </w:p>
        </w:tc>
        <w:tc>
          <w:tcPr>
            <w:tcW w:w="521" w:type="pct"/>
            <w:tcBorders>
              <w:top w:val="nil"/>
              <w:left w:val="single" w:sz="4" w:space="0" w:color="auto"/>
              <w:bottom w:val="single" w:sz="4" w:space="0" w:color="auto"/>
              <w:right w:val="nil"/>
            </w:tcBorders>
            <w:vAlign w:val="center"/>
            <w:hideMark/>
          </w:tcPr>
          <w:p w14:paraId="6916307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117.9</w:t>
            </w:r>
          </w:p>
        </w:tc>
        <w:tc>
          <w:tcPr>
            <w:tcW w:w="483" w:type="pct"/>
            <w:tcBorders>
              <w:top w:val="nil"/>
              <w:left w:val="nil"/>
              <w:bottom w:val="single" w:sz="4" w:space="0" w:color="auto"/>
              <w:right w:val="nil"/>
            </w:tcBorders>
            <w:vAlign w:val="center"/>
            <w:hideMark/>
          </w:tcPr>
          <w:p w14:paraId="134F751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38.9</w:t>
            </w:r>
          </w:p>
        </w:tc>
        <w:tc>
          <w:tcPr>
            <w:tcW w:w="598" w:type="pct"/>
            <w:tcBorders>
              <w:top w:val="nil"/>
              <w:left w:val="nil"/>
              <w:bottom w:val="single" w:sz="4" w:space="0" w:color="auto"/>
              <w:right w:val="single" w:sz="4" w:space="0" w:color="auto"/>
            </w:tcBorders>
            <w:vAlign w:val="center"/>
            <w:hideMark/>
          </w:tcPr>
          <w:p w14:paraId="6A4CD8D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13.0</w:t>
            </w:r>
          </w:p>
        </w:tc>
      </w:tr>
      <w:tr w:rsidR="00DA554C" w:rsidRPr="00DA554C" w14:paraId="26A43E45" w14:textId="77777777" w:rsidTr="009B659C">
        <w:trPr>
          <w:trHeight w:val="435"/>
        </w:trPr>
        <w:tc>
          <w:tcPr>
            <w:tcW w:w="346" w:type="pct"/>
            <w:tcBorders>
              <w:top w:val="single" w:sz="4" w:space="0" w:color="auto"/>
              <w:left w:val="single" w:sz="4" w:space="0" w:color="auto"/>
              <w:bottom w:val="nil"/>
              <w:right w:val="single" w:sz="4" w:space="0" w:color="auto"/>
            </w:tcBorders>
            <w:noWrap/>
            <w:vAlign w:val="center"/>
            <w:hideMark/>
          </w:tcPr>
          <w:p w14:paraId="02A2149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lastRenderedPageBreak/>
              <w:t>4</w:t>
            </w:r>
          </w:p>
        </w:tc>
        <w:tc>
          <w:tcPr>
            <w:tcW w:w="3052" w:type="pct"/>
            <w:tcBorders>
              <w:top w:val="single" w:sz="4" w:space="0" w:color="auto"/>
              <w:left w:val="nil"/>
              <w:bottom w:val="nil"/>
              <w:right w:val="nil"/>
            </w:tcBorders>
            <w:vAlign w:val="center"/>
            <w:hideMark/>
          </w:tcPr>
          <w:p w14:paraId="1EFC61DC"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commencement of a proceeding under the following enabling enactments or provisions of enabling enactments—</w:t>
            </w:r>
          </w:p>
        </w:tc>
        <w:tc>
          <w:tcPr>
            <w:tcW w:w="521" w:type="pct"/>
            <w:tcBorders>
              <w:top w:val="single" w:sz="4" w:space="0" w:color="auto"/>
              <w:left w:val="single" w:sz="4" w:space="0" w:color="auto"/>
              <w:bottom w:val="nil"/>
              <w:right w:val="nil"/>
            </w:tcBorders>
            <w:vAlign w:val="center"/>
            <w:hideMark/>
          </w:tcPr>
          <w:p w14:paraId="53430492"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4D13491A"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77E85225" w14:textId="77777777" w:rsidR="00DA554C" w:rsidRPr="00DA554C" w:rsidRDefault="00DA554C" w:rsidP="00DA554C">
            <w:pPr>
              <w:jc w:val="center"/>
              <w:rPr>
                <w:rFonts w:ascii="Times New Roman" w:hAnsi="Times New Roman"/>
                <w:lang w:eastAsia="ko-KR"/>
              </w:rPr>
            </w:pPr>
          </w:p>
        </w:tc>
      </w:tr>
      <w:tr w:rsidR="00DA554C" w:rsidRPr="00DA554C" w14:paraId="394A8813" w14:textId="77777777" w:rsidTr="009B659C">
        <w:trPr>
          <w:trHeight w:val="525"/>
        </w:trPr>
        <w:tc>
          <w:tcPr>
            <w:tcW w:w="346" w:type="pct"/>
            <w:tcBorders>
              <w:top w:val="nil"/>
              <w:left w:val="single" w:sz="4" w:space="0" w:color="auto"/>
              <w:bottom w:val="nil"/>
              <w:right w:val="single" w:sz="4" w:space="0" w:color="auto"/>
            </w:tcBorders>
            <w:noWrap/>
            <w:vAlign w:val="center"/>
            <w:hideMark/>
          </w:tcPr>
          <w:p w14:paraId="05F5950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9636E69"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Building Act 1993</w:t>
            </w:r>
            <w:r w:rsidRPr="00DA554C">
              <w:rPr>
                <w:rFonts w:ascii="Arial" w:hAnsi="Arial" w:cs="Arial"/>
                <w:color w:val="000000"/>
                <w:sz w:val="18"/>
                <w:szCs w:val="18"/>
                <w:lang w:eastAsia="ko-KR"/>
              </w:rPr>
              <w:t>, except sections 25J and 186, Division 12 of Part 12A, section 187ZI and clause 10(3) and (4) of Schedule 7</w:t>
            </w:r>
          </w:p>
        </w:tc>
        <w:tc>
          <w:tcPr>
            <w:tcW w:w="521" w:type="pct"/>
            <w:tcBorders>
              <w:top w:val="nil"/>
              <w:left w:val="single" w:sz="4" w:space="0" w:color="auto"/>
              <w:bottom w:val="nil"/>
              <w:right w:val="nil"/>
            </w:tcBorders>
            <w:vAlign w:val="center"/>
            <w:hideMark/>
          </w:tcPr>
          <w:p w14:paraId="368F7A74"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959727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789B752" w14:textId="77777777" w:rsidR="00DA554C" w:rsidRPr="00DA554C" w:rsidRDefault="00DA554C" w:rsidP="00DA554C">
            <w:pPr>
              <w:jc w:val="center"/>
              <w:rPr>
                <w:rFonts w:ascii="Times New Roman" w:hAnsi="Times New Roman"/>
                <w:lang w:eastAsia="ko-KR"/>
              </w:rPr>
            </w:pPr>
          </w:p>
        </w:tc>
      </w:tr>
      <w:tr w:rsidR="00DA554C" w:rsidRPr="00DA554C" w14:paraId="633E677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7B531F1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EDC7532"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Company Titles (Home Units) Act 2013</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2A88CFB7"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D955D1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6206137" w14:textId="77777777" w:rsidR="00DA554C" w:rsidRPr="00DA554C" w:rsidRDefault="00DA554C" w:rsidP="00DA554C">
            <w:pPr>
              <w:jc w:val="center"/>
              <w:rPr>
                <w:rFonts w:ascii="Times New Roman" w:hAnsi="Times New Roman"/>
                <w:lang w:eastAsia="ko-KR"/>
              </w:rPr>
            </w:pPr>
          </w:p>
        </w:tc>
      </w:tr>
      <w:tr w:rsidR="00DA554C" w:rsidRPr="00DA554C" w14:paraId="16FEC16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C148DC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B8F2E88"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Domestic Building Contracts Act 1995</w:t>
            </w:r>
            <w:r w:rsidRPr="00DA554C">
              <w:rPr>
                <w:rFonts w:ascii="Arial" w:hAnsi="Arial" w:cs="Arial"/>
                <w:color w:val="000000"/>
                <w:sz w:val="18"/>
                <w:szCs w:val="18"/>
                <w:lang w:eastAsia="ko-KR"/>
              </w:rPr>
              <w:t>,</w:t>
            </w:r>
            <w:r w:rsidRPr="00DA554C">
              <w:rPr>
                <w:rFonts w:ascii="Arial" w:hAnsi="Arial" w:cs="Arial"/>
                <w:b/>
                <w:bCs/>
                <w:color w:val="000000"/>
                <w:sz w:val="18"/>
                <w:szCs w:val="18"/>
                <w:lang w:eastAsia="ko-KR"/>
              </w:rPr>
              <w:t xml:space="preserve"> </w:t>
            </w:r>
            <w:r w:rsidRPr="00DA554C">
              <w:rPr>
                <w:rFonts w:ascii="Arial" w:hAnsi="Arial" w:cs="Arial"/>
                <w:color w:val="000000"/>
                <w:sz w:val="18"/>
                <w:szCs w:val="18"/>
                <w:lang w:eastAsia="ko-KR"/>
              </w:rPr>
              <w:t>sections 45F, 63, 65, 66, 67 and 67A</w:t>
            </w:r>
          </w:p>
        </w:tc>
        <w:tc>
          <w:tcPr>
            <w:tcW w:w="521" w:type="pct"/>
            <w:tcBorders>
              <w:top w:val="nil"/>
              <w:left w:val="single" w:sz="4" w:space="0" w:color="auto"/>
              <w:bottom w:val="nil"/>
              <w:right w:val="nil"/>
            </w:tcBorders>
            <w:vAlign w:val="center"/>
            <w:hideMark/>
          </w:tcPr>
          <w:p w14:paraId="6EF8F65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00F46D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51D7AD9" w14:textId="77777777" w:rsidR="00DA554C" w:rsidRPr="00DA554C" w:rsidRDefault="00DA554C" w:rsidP="00DA554C">
            <w:pPr>
              <w:jc w:val="center"/>
              <w:rPr>
                <w:rFonts w:ascii="Times New Roman" w:hAnsi="Times New Roman"/>
                <w:lang w:eastAsia="ko-KR"/>
              </w:rPr>
            </w:pPr>
          </w:p>
        </w:tc>
      </w:tr>
      <w:tr w:rsidR="00DA554C" w:rsidRPr="00DA554C" w14:paraId="6AAD6B7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64D8B5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7E67D8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Estate Agents Act 1980</w:t>
            </w:r>
            <w:r w:rsidRPr="00DA554C">
              <w:rPr>
                <w:rFonts w:ascii="Arial" w:hAnsi="Arial" w:cs="Arial"/>
                <w:color w:val="000000"/>
                <w:sz w:val="18"/>
                <w:szCs w:val="18"/>
                <w:lang w:eastAsia="ko-KR"/>
              </w:rPr>
              <w:t>, sections 56A(4) and 56B(1)</w:t>
            </w:r>
          </w:p>
        </w:tc>
        <w:tc>
          <w:tcPr>
            <w:tcW w:w="521" w:type="pct"/>
            <w:tcBorders>
              <w:top w:val="nil"/>
              <w:left w:val="single" w:sz="4" w:space="0" w:color="auto"/>
              <w:bottom w:val="nil"/>
              <w:right w:val="nil"/>
            </w:tcBorders>
            <w:vAlign w:val="center"/>
            <w:hideMark/>
          </w:tcPr>
          <w:p w14:paraId="506AEC2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0F35A6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2E01C61" w14:textId="77777777" w:rsidR="00DA554C" w:rsidRPr="00DA554C" w:rsidRDefault="00DA554C" w:rsidP="00DA554C">
            <w:pPr>
              <w:jc w:val="center"/>
              <w:rPr>
                <w:rFonts w:ascii="Times New Roman" w:hAnsi="Times New Roman"/>
                <w:lang w:eastAsia="ko-KR"/>
              </w:rPr>
            </w:pPr>
          </w:p>
        </w:tc>
      </w:tr>
      <w:tr w:rsidR="00DA554C" w:rsidRPr="00DA554C" w14:paraId="73CBFE1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A01615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2014484"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Housing Act 1983</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45AE4EF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B188A3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77A2437" w14:textId="77777777" w:rsidR="00DA554C" w:rsidRPr="00DA554C" w:rsidRDefault="00DA554C" w:rsidP="00DA554C">
            <w:pPr>
              <w:jc w:val="center"/>
              <w:rPr>
                <w:rFonts w:ascii="Times New Roman" w:hAnsi="Times New Roman"/>
                <w:lang w:eastAsia="ko-KR"/>
              </w:rPr>
            </w:pPr>
          </w:p>
        </w:tc>
      </w:tr>
      <w:tr w:rsidR="00DA554C" w:rsidRPr="00DA554C" w14:paraId="365261BD"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73E077D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562AD7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Owner Drivers and Forestry Contractors Act 2005</w:t>
            </w:r>
          </w:p>
        </w:tc>
        <w:tc>
          <w:tcPr>
            <w:tcW w:w="521" w:type="pct"/>
            <w:tcBorders>
              <w:top w:val="nil"/>
              <w:left w:val="single" w:sz="4" w:space="0" w:color="auto"/>
              <w:bottom w:val="nil"/>
              <w:right w:val="nil"/>
            </w:tcBorders>
            <w:vAlign w:val="center"/>
            <w:hideMark/>
          </w:tcPr>
          <w:p w14:paraId="35A50B17"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7A743E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6E5BB62" w14:textId="77777777" w:rsidR="00DA554C" w:rsidRPr="00DA554C" w:rsidRDefault="00DA554C" w:rsidP="00DA554C">
            <w:pPr>
              <w:jc w:val="center"/>
              <w:rPr>
                <w:rFonts w:ascii="Times New Roman" w:hAnsi="Times New Roman"/>
                <w:lang w:eastAsia="ko-KR"/>
              </w:rPr>
            </w:pPr>
          </w:p>
        </w:tc>
      </w:tr>
      <w:tr w:rsidR="00DA554C" w:rsidRPr="00DA554C" w14:paraId="5B2B763D"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17C5FE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B7835B9"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Retirement Villages Act 1986</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7DB1F05E"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E5F313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4F020EA" w14:textId="77777777" w:rsidR="00DA554C" w:rsidRPr="00DA554C" w:rsidRDefault="00DA554C" w:rsidP="00DA554C">
            <w:pPr>
              <w:jc w:val="center"/>
              <w:rPr>
                <w:rFonts w:ascii="Times New Roman" w:hAnsi="Times New Roman"/>
                <w:lang w:eastAsia="ko-KR"/>
              </w:rPr>
            </w:pPr>
          </w:p>
        </w:tc>
      </w:tr>
      <w:tr w:rsidR="00DA554C" w:rsidRPr="00DA554C" w14:paraId="399CE6D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D63FC1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FCA0651"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Retirement Villages (Contractual Arrangements) Regulations 2017</w:t>
            </w:r>
          </w:p>
        </w:tc>
        <w:tc>
          <w:tcPr>
            <w:tcW w:w="521" w:type="pct"/>
            <w:tcBorders>
              <w:top w:val="nil"/>
              <w:left w:val="single" w:sz="4" w:space="0" w:color="auto"/>
              <w:bottom w:val="nil"/>
              <w:right w:val="nil"/>
            </w:tcBorders>
            <w:vAlign w:val="center"/>
            <w:hideMark/>
          </w:tcPr>
          <w:p w14:paraId="34615214"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14969E7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149DC7F" w14:textId="77777777" w:rsidR="00DA554C" w:rsidRPr="00DA554C" w:rsidRDefault="00DA554C" w:rsidP="00DA554C">
            <w:pPr>
              <w:jc w:val="center"/>
              <w:rPr>
                <w:rFonts w:ascii="Times New Roman" w:hAnsi="Times New Roman"/>
                <w:lang w:eastAsia="ko-KR"/>
              </w:rPr>
            </w:pPr>
          </w:p>
        </w:tc>
      </w:tr>
      <w:tr w:rsidR="00DA554C" w:rsidRPr="00DA554C" w14:paraId="55AFBBD8" w14:textId="77777777" w:rsidTr="009B659C">
        <w:trPr>
          <w:trHeight w:val="510"/>
        </w:trPr>
        <w:tc>
          <w:tcPr>
            <w:tcW w:w="346" w:type="pct"/>
            <w:tcBorders>
              <w:top w:val="nil"/>
              <w:left w:val="single" w:sz="4" w:space="0" w:color="auto"/>
              <w:bottom w:val="nil"/>
              <w:right w:val="single" w:sz="4" w:space="0" w:color="auto"/>
            </w:tcBorders>
            <w:noWrap/>
            <w:vAlign w:val="center"/>
            <w:hideMark/>
          </w:tcPr>
          <w:p w14:paraId="535116A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8DE0BB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Sale of Land Act 1962</w:t>
            </w:r>
          </w:p>
        </w:tc>
        <w:tc>
          <w:tcPr>
            <w:tcW w:w="521" w:type="pct"/>
            <w:tcBorders>
              <w:top w:val="nil"/>
              <w:left w:val="single" w:sz="4" w:space="0" w:color="auto"/>
              <w:bottom w:val="nil"/>
              <w:right w:val="nil"/>
            </w:tcBorders>
            <w:vAlign w:val="center"/>
            <w:hideMark/>
          </w:tcPr>
          <w:p w14:paraId="2974FEB2"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85BAC83"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FF5D9C2" w14:textId="77777777" w:rsidR="00DA554C" w:rsidRPr="00DA554C" w:rsidRDefault="00DA554C" w:rsidP="00DA554C">
            <w:pPr>
              <w:jc w:val="center"/>
              <w:rPr>
                <w:rFonts w:ascii="Times New Roman" w:hAnsi="Times New Roman"/>
                <w:lang w:eastAsia="ko-KR"/>
              </w:rPr>
            </w:pPr>
          </w:p>
        </w:tc>
      </w:tr>
      <w:tr w:rsidR="00DA554C" w:rsidRPr="00DA554C" w14:paraId="393904E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1C63B8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CE6F074"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Subdivision Act 1988</w:t>
            </w:r>
            <w:r w:rsidRPr="00DA554C">
              <w:rPr>
                <w:rFonts w:ascii="Arial" w:hAnsi="Arial" w:cs="Arial"/>
                <w:color w:val="000000"/>
                <w:sz w:val="18"/>
                <w:szCs w:val="18"/>
                <w:lang w:eastAsia="ko-KR"/>
              </w:rPr>
              <w:t>, Part 5</w:t>
            </w:r>
          </w:p>
        </w:tc>
        <w:tc>
          <w:tcPr>
            <w:tcW w:w="521" w:type="pct"/>
            <w:tcBorders>
              <w:top w:val="nil"/>
              <w:left w:val="single" w:sz="4" w:space="0" w:color="auto"/>
              <w:bottom w:val="nil"/>
              <w:right w:val="nil"/>
            </w:tcBorders>
            <w:vAlign w:val="center"/>
            <w:hideMark/>
          </w:tcPr>
          <w:p w14:paraId="02A36B62"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25B4EE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3EE54D4" w14:textId="77777777" w:rsidR="00DA554C" w:rsidRPr="00DA554C" w:rsidRDefault="00DA554C" w:rsidP="00DA554C">
            <w:pPr>
              <w:jc w:val="center"/>
              <w:rPr>
                <w:rFonts w:ascii="Times New Roman" w:hAnsi="Times New Roman"/>
                <w:lang w:eastAsia="ko-KR"/>
              </w:rPr>
            </w:pPr>
          </w:p>
        </w:tc>
      </w:tr>
      <w:tr w:rsidR="00DA554C" w:rsidRPr="00DA554C" w14:paraId="7E1701B7" w14:textId="77777777" w:rsidTr="009B659C">
        <w:trPr>
          <w:trHeight w:val="285"/>
        </w:trPr>
        <w:tc>
          <w:tcPr>
            <w:tcW w:w="346" w:type="pct"/>
            <w:tcBorders>
              <w:top w:val="nil"/>
              <w:left w:val="single" w:sz="4" w:space="0" w:color="auto"/>
              <w:bottom w:val="single" w:sz="4" w:space="0" w:color="auto"/>
              <w:right w:val="single" w:sz="4" w:space="0" w:color="auto"/>
            </w:tcBorders>
            <w:noWrap/>
            <w:vAlign w:val="center"/>
            <w:hideMark/>
          </w:tcPr>
          <w:p w14:paraId="5B7D30F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single" w:sz="4" w:space="0" w:color="auto"/>
              <w:right w:val="nil"/>
            </w:tcBorders>
            <w:vAlign w:val="center"/>
            <w:hideMark/>
          </w:tcPr>
          <w:p w14:paraId="6CCC258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Water Act 1989</w:t>
            </w:r>
            <w:r w:rsidRPr="00DA554C">
              <w:rPr>
                <w:rFonts w:ascii="Arial" w:hAnsi="Arial" w:cs="Arial"/>
                <w:color w:val="000000"/>
                <w:sz w:val="18"/>
                <w:szCs w:val="18"/>
                <w:lang w:eastAsia="ko-KR"/>
              </w:rPr>
              <w:t xml:space="preserve">, section 19 </w:t>
            </w:r>
          </w:p>
        </w:tc>
        <w:tc>
          <w:tcPr>
            <w:tcW w:w="521" w:type="pct"/>
            <w:tcBorders>
              <w:top w:val="nil"/>
              <w:left w:val="single" w:sz="4" w:space="0" w:color="auto"/>
              <w:bottom w:val="nil"/>
              <w:right w:val="nil"/>
            </w:tcBorders>
            <w:vAlign w:val="center"/>
            <w:hideMark/>
          </w:tcPr>
          <w:p w14:paraId="6EC9B0C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879.5</w:t>
            </w:r>
          </w:p>
        </w:tc>
        <w:tc>
          <w:tcPr>
            <w:tcW w:w="483" w:type="pct"/>
            <w:tcBorders>
              <w:top w:val="nil"/>
              <w:left w:val="nil"/>
              <w:bottom w:val="nil"/>
              <w:right w:val="nil"/>
            </w:tcBorders>
            <w:vAlign w:val="center"/>
            <w:hideMark/>
          </w:tcPr>
          <w:p w14:paraId="4A8F5CE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290.2</w:t>
            </w:r>
          </w:p>
        </w:tc>
        <w:tc>
          <w:tcPr>
            <w:tcW w:w="598" w:type="pct"/>
            <w:tcBorders>
              <w:top w:val="nil"/>
              <w:left w:val="nil"/>
              <w:bottom w:val="nil"/>
              <w:right w:val="single" w:sz="4" w:space="0" w:color="auto"/>
            </w:tcBorders>
            <w:vAlign w:val="center"/>
            <w:hideMark/>
          </w:tcPr>
          <w:p w14:paraId="78EB833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96.7</w:t>
            </w:r>
          </w:p>
        </w:tc>
      </w:tr>
      <w:tr w:rsidR="00DA554C" w:rsidRPr="00DA554C" w14:paraId="7422128B" w14:textId="77777777" w:rsidTr="009B659C">
        <w:trPr>
          <w:trHeight w:val="420"/>
        </w:trPr>
        <w:tc>
          <w:tcPr>
            <w:tcW w:w="346" w:type="pct"/>
            <w:tcBorders>
              <w:top w:val="single" w:sz="4" w:space="0" w:color="auto"/>
              <w:left w:val="single" w:sz="4" w:space="0" w:color="auto"/>
              <w:bottom w:val="nil"/>
              <w:right w:val="single" w:sz="4" w:space="0" w:color="auto"/>
            </w:tcBorders>
            <w:noWrap/>
            <w:vAlign w:val="center"/>
            <w:hideMark/>
          </w:tcPr>
          <w:p w14:paraId="53A9D72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w:t>
            </w:r>
          </w:p>
        </w:tc>
        <w:tc>
          <w:tcPr>
            <w:tcW w:w="3052" w:type="pct"/>
            <w:tcBorders>
              <w:top w:val="single" w:sz="4" w:space="0" w:color="auto"/>
              <w:left w:val="nil"/>
              <w:bottom w:val="nil"/>
              <w:right w:val="nil"/>
            </w:tcBorders>
            <w:vAlign w:val="center"/>
            <w:hideMark/>
          </w:tcPr>
          <w:p w14:paraId="35B0790B"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commencement of a proceeding under the following enabling enactments or provisions of enabling enactments—</w:t>
            </w:r>
          </w:p>
        </w:tc>
        <w:tc>
          <w:tcPr>
            <w:tcW w:w="521" w:type="pct"/>
            <w:tcBorders>
              <w:top w:val="single" w:sz="4" w:space="0" w:color="auto"/>
              <w:left w:val="single" w:sz="4" w:space="0" w:color="auto"/>
              <w:bottom w:val="nil"/>
              <w:right w:val="nil"/>
            </w:tcBorders>
            <w:vAlign w:val="center"/>
            <w:hideMark/>
          </w:tcPr>
          <w:p w14:paraId="4E206E77"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4D3AB268"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5FDB1E30" w14:textId="77777777" w:rsidR="00DA554C" w:rsidRPr="00DA554C" w:rsidRDefault="00DA554C" w:rsidP="00DA554C">
            <w:pPr>
              <w:jc w:val="center"/>
              <w:rPr>
                <w:rFonts w:ascii="Times New Roman" w:hAnsi="Times New Roman"/>
                <w:lang w:eastAsia="ko-KR"/>
              </w:rPr>
            </w:pPr>
          </w:p>
        </w:tc>
      </w:tr>
      <w:tr w:rsidR="00DA554C" w:rsidRPr="00DA554C" w14:paraId="0A4F3B80"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A2E490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CB5103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Accident Compensation Act 1985</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093C43C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800364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B2F2299" w14:textId="77777777" w:rsidR="00DA554C" w:rsidRPr="00DA554C" w:rsidRDefault="00DA554C" w:rsidP="00DA554C">
            <w:pPr>
              <w:jc w:val="center"/>
              <w:rPr>
                <w:rFonts w:ascii="Times New Roman" w:hAnsi="Times New Roman"/>
                <w:lang w:eastAsia="ko-KR"/>
              </w:rPr>
            </w:pPr>
          </w:p>
        </w:tc>
      </w:tr>
      <w:tr w:rsidR="00DA554C" w:rsidRPr="00DA554C" w14:paraId="7E6C8485"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CAA50F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CF1587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Accident Towing Services Act 2007</w:t>
            </w:r>
          </w:p>
        </w:tc>
        <w:tc>
          <w:tcPr>
            <w:tcW w:w="521" w:type="pct"/>
            <w:tcBorders>
              <w:top w:val="nil"/>
              <w:left w:val="single" w:sz="4" w:space="0" w:color="auto"/>
              <w:bottom w:val="nil"/>
              <w:right w:val="nil"/>
            </w:tcBorders>
            <w:vAlign w:val="center"/>
            <w:hideMark/>
          </w:tcPr>
          <w:p w14:paraId="61DCB32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AD2207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A3500CD" w14:textId="77777777" w:rsidR="00DA554C" w:rsidRPr="00DA554C" w:rsidRDefault="00DA554C" w:rsidP="00DA554C">
            <w:pPr>
              <w:jc w:val="center"/>
              <w:rPr>
                <w:rFonts w:ascii="Times New Roman" w:hAnsi="Times New Roman"/>
                <w:lang w:eastAsia="ko-KR"/>
              </w:rPr>
            </w:pPr>
          </w:p>
        </w:tc>
      </w:tr>
      <w:tr w:rsidR="00DA554C" w:rsidRPr="00DA554C" w14:paraId="1535E46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424F08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82C61F4"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Accident Towing Services Regulations 2019</w:t>
            </w:r>
          </w:p>
        </w:tc>
        <w:tc>
          <w:tcPr>
            <w:tcW w:w="521" w:type="pct"/>
            <w:tcBorders>
              <w:top w:val="nil"/>
              <w:left w:val="single" w:sz="4" w:space="0" w:color="auto"/>
              <w:bottom w:val="nil"/>
              <w:right w:val="nil"/>
            </w:tcBorders>
            <w:vAlign w:val="center"/>
            <w:hideMark/>
          </w:tcPr>
          <w:p w14:paraId="19B6B199"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10C7F9E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2CAB2B0" w14:textId="77777777" w:rsidR="00DA554C" w:rsidRPr="00DA554C" w:rsidRDefault="00DA554C" w:rsidP="00DA554C">
            <w:pPr>
              <w:jc w:val="center"/>
              <w:rPr>
                <w:rFonts w:ascii="Times New Roman" w:hAnsi="Times New Roman"/>
                <w:lang w:eastAsia="ko-KR"/>
              </w:rPr>
            </w:pPr>
          </w:p>
        </w:tc>
      </w:tr>
      <w:tr w:rsidR="00DA554C" w:rsidRPr="00DA554C" w14:paraId="4A30F7E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F8719E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CFA9E4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Adoption Act 1984</w:t>
            </w:r>
            <w:r w:rsidRPr="00DA554C">
              <w:rPr>
                <w:rFonts w:ascii="Arial" w:hAnsi="Arial" w:cs="Arial"/>
                <w:color w:val="000000"/>
                <w:sz w:val="18"/>
                <w:szCs w:val="18"/>
                <w:lang w:eastAsia="ko-KR"/>
              </w:rPr>
              <w:t>,</w:t>
            </w:r>
            <w:r w:rsidRPr="00DA554C">
              <w:rPr>
                <w:rFonts w:ascii="Arial" w:hAnsi="Arial" w:cs="Arial"/>
                <w:b/>
                <w:bCs/>
                <w:color w:val="000000"/>
                <w:sz w:val="18"/>
                <w:szCs w:val="18"/>
                <w:lang w:eastAsia="ko-KR"/>
              </w:rPr>
              <w:t xml:space="preserve"> </w:t>
            </w:r>
            <w:r w:rsidRPr="00DA554C">
              <w:rPr>
                <w:rFonts w:ascii="Arial" w:hAnsi="Arial" w:cs="Arial"/>
                <w:color w:val="000000"/>
                <w:sz w:val="18"/>
                <w:szCs w:val="18"/>
                <w:lang w:eastAsia="ko-KR"/>
              </w:rPr>
              <w:t>section 129A</w:t>
            </w:r>
          </w:p>
        </w:tc>
        <w:tc>
          <w:tcPr>
            <w:tcW w:w="521" w:type="pct"/>
            <w:tcBorders>
              <w:top w:val="nil"/>
              <w:left w:val="single" w:sz="4" w:space="0" w:color="auto"/>
              <w:bottom w:val="nil"/>
              <w:right w:val="nil"/>
            </w:tcBorders>
            <w:vAlign w:val="center"/>
            <w:hideMark/>
          </w:tcPr>
          <w:p w14:paraId="0595A81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95F101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EFA0F7D" w14:textId="77777777" w:rsidR="00DA554C" w:rsidRPr="00DA554C" w:rsidRDefault="00DA554C" w:rsidP="00DA554C">
            <w:pPr>
              <w:jc w:val="center"/>
              <w:rPr>
                <w:rFonts w:ascii="Times New Roman" w:hAnsi="Times New Roman"/>
                <w:lang w:eastAsia="ko-KR"/>
              </w:rPr>
            </w:pPr>
          </w:p>
        </w:tc>
      </w:tr>
      <w:tr w:rsidR="00DA554C" w:rsidRPr="00DA554C" w14:paraId="3AE534D3"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3A3AD1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9351AF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Agricultural and Veterinary Chemicals (Control of Use) Act 1992</w:t>
            </w:r>
          </w:p>
        </w:tc>
        <w:tc>
          <w:tcPr>
            <w:tcW w:w="521" w:type="pct"/>
            <w:tcBorders>
              <w:top w:val="nil"/>
              <w:left w:val="single" w:sz="4" w:space="0" w:color="auto"/>
              <w:bottom w:val="nil"/>
              <w:right w:val="nil"/>
            </w:tcBorders>
            <w:vAlign w:val="center"/>
            <w:hideMark/>
          </w:tcPr>
          <w:p w14:paraId="155818A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FB6648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33A9EA7" w14:textId="77777777" w:rsidR="00DA554C" w:rsidRPr="00DA554C" w:rsidRDefault="00DA554C" w:rsidP="00DA554C">
            <w:pPr>
              <w:jc w:val="center"/>
              <w:rPr>
                <w:rFonts w:ascii="Times New Roman" w:hAnsi="Times New Roman"/>
                <w:lang w:eastAsia="ko-KR"/>
              </w:rPr>
            </w:pPr>
          </w:p>
        </w:tc>
      </w:tr>
      <w:tr w:rsidR="00DA554C" w:rsidRPr="00DA554C" w14:paraId="77E9667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628596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54FB44BF"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Architects Act 1991</w:t>
            </w:r>
          </w:p>
        </w:tc>
        <w:tc>
          <w:tcPr>
            <w:tcW w:w="521" w:type="pct"/>
            <w:tcBorders>
              <w:top w:val="nil"/>
              <w:left w:val="single" w:sz="4" w:space="0" w:color="auto"/>
              <w:bottom w:val="nil"/>
              <w:right w:val="nil"/>
            </w:tcBorders>
            <w:vAlign w:val="center"/>
            <w:hideMark/>
          </w:tcPr>
          <w:p w14:paraId="46893C4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9DAA1C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37C056F" w14:textId="77777777" w:rsidR="00DA554C" w:rsidRPr="00DA554C" w:rsidRDefault="00DA554C" w:rsidP="00DA554C">
            <w:pPr>
              <w:jc w:val="center"/>
              <w:rPr>
                <w:rFonts w:ascii="Times New Roman" w:hAnsi="Times New Roman"/>
                <w:lang w:eastAsia="ko-KR"/>
              </w:rPr>
            </w:pPr>
          </w:p>
        </w:tc>
      </w:tr>
      <w:tr w:rsidR="00DA554C" w:rsidRPr="00DA554C" w14:paraId="4F8C7FD4"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00DAA4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74AD3D7"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Associations Incorporation Reform Act 2012</w:t>
            </w:r>
          </w:p>
        </w:tc>
        <w:tc>
          <w:tcPr>
            <w:tcW w:w="521" w:type="pct"/>
            <w:tcBorders>
              <w:top w:val="nil"/>
              <w:left w:val="single" w:sz="4" w:space="0" w:color="auto"/>
              <w:bottom w:val="nil"/>
              <w:right w:val="nil"/>
            </w:tcBorders>
            <w:vAlign w:val="center"/>
            <w:hideMark/>
          </w:tcPr>
          <w:p w14:paraId="4CADBBB7"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00748C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280BAD5" w14:textId="77777777" w:rsidR="00DA554C" w:rsidRPr="00DA554C" w:rsidRDefault="00DA554C" w:rsidP="00DA554C">
            <w:pPr>
              <w:jc w:val="center"/>
              <w:rPr>
                <w:rFonts w:ascii="Times New Roman" w:hAnsi="Times New Roman"/>
                <w:lang w:eastAsia="ko-KR"/>
              </w:rPr>
            </w:pPr>
          </w:p>
        </w:tc>
      </w:tr>
      <w:tr w:rsidR="00DA554C" w:rsidRPr="00DA554C" w14:paraId="45D7E314" w14:textId="77777777" w:rsidTr="009B659C">
        <w:trPr>
          <w:trHeight w:val="510"/>
        </w:trPr>
        <w:tc>
          <w:tcPr>
            <w:tcW w:w="346" w:type="pct"/>
            <w:tcBorders>
              <w:top w:val="nil"/>
              <w:left w:val="single" w:sz="4" w:space="0" w:color="auto"/>
              <w:bottom w:val="nil"/>
              <w:right w:val="single" w:sz="4" w:space="0" w:color="auto"/>
            </w:tcBorders>
            <w:noWrap/>
            <w:vAlign w:val="center"/>
            <w:hideMark/>
          </w:tcPr>
          <w:p w14:paraId="5C10CAF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B48707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Back to Work Act 2015</w:t>
            </w:r>
          </w:p>
        </w:tc>
        <w:tc>
          <w:tcPr>
            <w:tcW w:w="521" w:type="pct"/>
            <w:tcBorders>
              <w:top w:val="nil"/>
              <w:left w:val="single" w:sz="4" w:space="0" w:color="auto"/>
              <w:bottom w:val="nil"/>
              <w:right w:val="nil"/>
            </w:tcBorders>
            <w:vAlign w:val="center"/>
            <w:hideMark/>
          </w:tcPr>
          <w:p w14:paraId="750EE77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7D3559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18852A8" w14:textId="77777777" w:rsidR="00DA554C" w:rsidRPr="00DA554C" w:rsidRDefault="00DA554C" w:rsidP="00DA554C">
            <w:pPr>
              <w:jc w:val="center"/>
              <w:rPr>
                <w:rFonts w:ascii="Times New Roman" w:hAnsi="Times New Roman"/>
                <w:lang w:eastAsia="ko-KR"/>
              </w:rPr>
            </w:pPr>
          </w:p>
        </w:tc>
      </w:tr>
      <w:tr w:rsidR="00DA554C" w:rsidRPr="00DA554C" w14:paraId="6429038E"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62F4D4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5FB3B26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Biological Control Act 1986</w:t>
            </w:r>
          </w:p>
        </w:tc>
        <w:tc>
          <w:tcPr>
            <w:tcW w:w="521" w:type="pct"/>
            <w:tcBorders>
              <w:top w:val="nil"/>
              <w:left w:val="single" w:sz="4" w:space="0" w:color="auto"/>
              <w:bottom w:val="nil"/>
              <w:right w:val="nil"/>
            </w:tcBorders>
            <w:vAlign w:val="center"/>
            <w:hideMark/>
          </w:tcPr>
          <w:p w14:paraId="0BCFA93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89BFC6C"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32F99B8" w14:textId="77777777" w:rsidR="00DA554C" w:rsidRPr="00DA554C" w:rsidRDefault="00DA554C" w:rsidP="00DA554C">
            <w:pPr>
              <w:jc w:val="center"/>
              <w:rPr>
                <w:rFonts w:ascii="Times New Roman" w:hAnsi="Times New Roman"/>
                <w:lang w:eastAsia="ko-KR"/>
              </w:rPr>
            </w:pPr>
          </w:p>
        </w:tc>
      </w:tr>
      <w:tr w:rsidR="00DA554C" w:rsidRPr="00DA554C" w14:paraId="1E242633"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47A450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1B6698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Births, Deaths and Marriages Registration Act 1996</w:t>
            </w:r>
          </w:p>
        </w:tc>
        <w:tc>
          <w:tcPr>
            <w:tcW w:w="521" w:type="pct"/>
            <w:tcBorders>
              <w:top w:val="nil"/>
              <w:left w:val="single" w:sz="4" w:space="0" w:color="auto"/>
              <w:bottom w:val="nil"/>
              <w:right w:val="nil"/>
            </w:tcBorders>
            <w:vAlign w:val="center"/>
            <w:hideMark/>
          </w:tcPr>
          <w:p w14:paraId="3DFBD11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0911FCC"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A7D90AD" w14:textId="77777777" w:rsidR="00DA554C" w:rsidRPr="00DA554C" w:rsidRDefault="00DA554C" w:rsidP="00DA554C">
            <w:pPr>
              <w:jc w:val="center"/>
              <w:rPr>
                <w:rFonts w:ascii="Times New Roman" w:hAnsi="Times New Roman"/>
                <w:lang w:eastAsia="ko-KR"/>
              </w:rPr>
            </w:pPr>
          </w:p>
        </w:tc>
      </w:tr>
      <w:tr w:rsidR="00DA554C" w:rsidRPr="00DA554C" w14:paraId="4769EC4B" w14:textId="77777777" w:rsidTr="009B659C">
        <w:trPr>
          <w:trHeight w:val="555"/>
        </w:trPr>
        <w:tc>
          <w:tcPr>
            <w:tcW w:w="346" w:type="pct"/>
            <w:tcBorders>
              <w:top w:val="nil"/>
              <w:left w:val="single" w:sz="4" w:space="0" w:color="auto"/>
              <w:bottom w:val="nil"/>
              <w:right w:val="single" w:sz="4" w:space="0" w:color="auto"/>
            </w:tcBorders>
            <w:noWrap/>
            <w:vAlign w:val="center"/>
            <w:hideMark/>
          </w:tcPr>
          <w:p w14:paraId="6BDA404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EE1B8A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Building Act 1993</w:t>
            </w:r>
            <w:r w:rsidRPr="00DA554C">
              <w:rPr>
                <w:rFonts w:ascii="Arial" w:hAnsi="Arial" w:cs="Arial"/>
                <w:color w:val="000000"/>
                <w:sz w:val="18"/>
                <w:szCs w:val="18"/>
                <w:lang w:eastAsia="ko-KR"/>
              </w:rPr>
              <w:t>, sections 25J and 186, Division 12 of Part 12A, section 187ZI and clause 10(3) and (4) of Schedule 7</w:t>
            </w:r>
          </w:p>
        </w:tc>
        <w:tc>
          <w:tcPr>
            <w:tcW w:w="521" w:type="pct"/>
            <w:tcBorders>
              <w:top w:val="nil"/>
              <w:left w:val="single" w:sz="4" w:space="0" w:color="auto"/>
              <w:bottom w:val="nil"/>
              <w:right w:val="nil"/>
            </w:tcBorders>
            <w:vAlign w:val="center"/>
            <w:hideMark/>
          </w:tcPr>
          <w:p w14:paraId="2475505C"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39898A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02570EC" w14:textId="77777777" w:rsidR="00DA554C" w:rsidRPr="00DA554C" w:rsidRDefault="00DA554C" w:rsidP="00DA554C">
            <w:pPr>
              <w:jc w:val="center"/>
              <w:rPr>
                <w:rFonts w:ascii="Times New Roman" w:hAnsi="Times New Roman"/>
                <w:lang w:eastAsia="ko-KR"/>
              </w:rPr>
            </w:pPr>
          </w:p>
        </w:tc>
      </w:tr>
      <w:tr w:rsidR="00DA554C" w:rsidRPr="00DA554C" w14:paraId="6ECC5F54"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59ADBE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0F3F567"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Bus Safety Act 2009</w:t>
            </w:r>
          </w:p>
        </w:tc>
        <w:tc>
          <w:tcPr>
            <w:tcW w:w="521" w:type="pct"/>
            <w:tcBorders>
              <w:top w:val="nil"/>
              <w:left w:val="single" w:sz="4" w:space="0" w:color="auto"/>
              <w:bottom w:val="nil"/>
              <w:right w:val="nil"/>
            </w:tcBorders>
            <w:vAlign w:val="center"/>
            <w:hideMark/>
          </w:tcPr>
          <w:p w14:paraId="0A1A5640"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F6B82F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A8BC333" w14:textId="77777777" w:rsidR="00DA554C" w:rsidRPr="00DA554C" w:rsidRDefault="00DA554C" w:rsidP="00DA554C">
            <w:pPr>
              <w:jc w:val="center"/>
              <w:rPr>
                <w:rFonts w:ascii="Times New Roman" w:hAnsi="Times New Roman"/>
                <w:lang w:eastAsia="ko-KR"/>
              </w:rPr>
            </w:pPr>
          </w:p>
        </w:tc>
      </w:tr>
      <w:tr w:rsidR="00DA554C" w:rsidRPr="00DA554C" w14:paraId="3F1BA673"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3172179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100FD37"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Business Licensing Authority Act 1998</w:t>
            </w:r>
          </w:p>
        </w:tc>
        <w:tc>
          <w:tcPr>
            <w:tcW w:w="521" w:type="pct"/>
            <w:tcBorders>
              <w:top w:val="nil"/>
              <w:left w:val="single" w:sz="4" w:space="0" w:color="auto"/>
              <w:bottom w:val="nil"/>
              <w:right w:val="nil"/>
            </w:tcBorders>
            <w:vAlign w:val="center"/>
            <w:hideMark/>
          </w:tcPr>
          <w:p w14:paraId="1DFEE147"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615206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389234B" w14:textId="77777777" w:rsidR="00DA554C" w:rsidRPr="00DA554C" w:rsidRDefault="00DA554C" w:rsidP="00DA554C">
            <w:pPr>
              <w:jc w:val="center"/>
              <w:rPr>
                <w:rFonts w:ascii="Times New Roman" w:hAnsi="Times New Roman"/>
                <w:lang w:eastAsia="ko-KR"/>
              </w:rPr>
            </w:pPr>
          </w:p>
        </w:tc>
      </w:tr>
      <w:tr w:rsidR="00DA554C" w:rsidRPr="00DA554C" w14:paraId="3088F6B0"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2CD581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AB8C9F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Cemeteries and Crematoria Act 2003</w:t>
            </w:r>
          </w:p>
        </w:tc>
        <w:tc>
          <w:tcPr>
            <w:tcW w:w="521" w:type="pct"/>
            <w:tcBorders>
              <w:top w:val="nil"/>
              <w:left w:val="single" w:sz="4" w:space="0" w:color="auto"/>
              <w:bottom w:val="nil"/>
              <w:right w:val="nil"/>
            </w:tcBorders>
            <w:vAlign w:val="center"/>
            <w:hideMark/>
          </w:tcPr>
          <w:p w14:paraId="5E29B6C4"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1555E7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315A5DD" w14:textId="77777777" w:rsidR="00DA554C" w:rsidRPr="00DA554C" w:rsidRDefault="00DA554C" w:rsidP="00DA554C">
            <w:pPr>
              <w:jc w:val="center"/>
              <w:rPr>
                <w:rFonts w:ascii="Times New Roman" w:hAnsi="Times New Roman"/>
                <w:lang w:eastAsia="ko-KR"/>
              </w:rPr>
            </w:pPr>
          </w:p>
        </w:tc>
      </w:tr>
      <w:tr w:rsidR="00DA554C" w:rsidRPr="00DA554C" w14:paraId="0F05A504"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16C965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DD0E16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Children's Services Act 1996</w:t>
            </w:r>
          </w:p>
        </w:tc>
        <w:tc>
          <w:tcPr>
            <w:tcW w:w="521" w:type="pct"/>
            <w:tcBorders>
              <w:top w:val="nil"/>
              <w:left w:val="single" w:sz="4" w:space="0" w:color="auto"/>
              <w:bottom w:val="nil"/>
              <w:right w:val="nil"/>
            </w:tcBorders>
            <w:vAlign w:val="center"/>
            <w:hideMark/>
          </w:tcPr>
          <w:p w14:paraId="2164C73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23AB6A3"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17D4D28" w14:textId="77777777" w:rsidR="00DA554C" w:rsidRPr="00DA554C" w:rsidRDefault="00DA554C" w:rsidP="00DA554C">
            <w:pPr>
              <w:jc w:val="center"/>
              <w:rPr>
                <w:rFonts w:ascii="Times New Roman" w:hAnsi="Times New Roman"/>
                <w:lang w:eastAsia="ko-KR"/>
              </w:rPr>
            </w:pPr>
          </w:p>
        </w:tc>
      </w:tr>
      <w:tr w:rsidR="00DA554C" w:rsidRPr="00DA554C" w14:paraId="37E04F16"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69847B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B05343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Commercial Passenger Vehicle Industry Act 2017</w:t>
            </w:r>
          </w:p>
        </w:tc>
        <w:tc>
          <w:tcPr>
            <w:tcW w:w="521" w:type="pct"/>
            <w:tcBorders>
              <w:top w:val="nil"/>
              <w:left w:val="single" w:sz="4" w:space="0" w:color="auto"/>
              <w:bottom w:val="nil"/>
              <w:right w:val="nil"/>
            </w:tcBorders>
            <w:vAlign w:val="center"/>
            <w:hideMark/>
          </w:tcPr>
          <w:p w14:paraId="11B0126C"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ABF6BD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C97D558" w14:textId="77777777" w:rsidR="00DA554C" w:rsidRPr="00DA554C" w:rsidRDefault="00DA554C" w:rsidP="00DA554C">
            <w:pPr>
              <w:jc w:val="center"/>
              <w:rPr>
                <w:rFonts w:ascii="Times New Roman" w:hAnsi="Times New Roman"/>
                <w:lang w:eastAsia="ko-KR"/>
              </w:rPr>
            </w:pPr>
          </w:p>
        </w:tc>
      </w:tr>
      <w:tr w:rsidR="00DA554C" w:rsidRPr="00DA554C" w14:paraId="0512ED5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3346C8B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D8F30D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Conveyancers Act 2006</w:t>
            </w:r>
            <w:r w:rsidRPr="00DA554C">
              <w:rPr>
                <w:rFonts w:ascii="Arial" w:hAnsi="Arial" w:cs="Arial"/>
                <w:color w:val="000000"/>
                <w:sz w:val="18"/>
                <w:szCs w:val="18"/>
                <w:lang w:eastAsia="ko-KR"/>
              </w:rPr>
              <w:t>, sections 33, 34, 146 and 187</w:t>
            </w:r>
          </w:p>
        </w:tc>
        <w:tc>
          <w:tcPr>
            <w:tcW w:w="521" w:type="pct"/>
            <w:tcBorders>
              <w:top w:val="nil"/>
              <w:left w:val="single" w:sz="4" w:space="0" w:color="auto"/>
              <w:bottom w:val="nil"/>
              <w:right w:val="nil"/>
            </w:tcBorders>
            <w:vAlign w:val="center"/>
            <w:hideMark/>
          </w:tcPr>
          <w:p w14:paraId="39521E9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E6D842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A742742" w14:textId="77777777" w:rsidR="00DA554C" w:rsidRPr="00DA554C" w:rsidRDefault="00DA554C" w:rsidP="00DA554C">
            <w:pPr>
              <w:jc w:val="center"/>
              <w:rPr>
                <w:rFonts w:ascii="Times New Roman" w:hAnsi="Times New Roman"/>
                <w:lang w:eastAsia="ko-KR"/>
              </w:rPr>
            </w:pPr>
          </w:p>
        </w:tc>
      </w:tr>
      <w:tr w:rsidR="00DA554C" w:rsidRPr="00DA554C" w14:paraId="61479DE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226E3D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8FF7769"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Co</w:t>
            </w:r>
            <w:r w:rsidRPr="00DA554C">
              <w:rPr>
                <w:rFonts w:ascii="Arial" w:hAnsi="Arial" w:cs="Arial"/>
                <w:color w:val="000000"/>
                <w:sz w:val="18"/>
                <w:szCs w:val="18"/>
                <w:lang w:eastAsia="ko-KR"/>
              </w:rPr>
              <w:noBreakHyphen/>
              <w:t>operatives National Law (Victoria)</w:t>
            </w:r>
          </w:p>
        </w:tc>
        <w:tc>
          <w:tcPr>
            <w:tcW w:w="521" w:type="pct"/>
            <w:tcBorders>
              <w:top w:val="nil"/>
              <w:left w:val="single" w:sz="4" w:space="0" w:color="auto"/>
              <w:bottom w:val="nil"/>
              <w:right w:val="nil"/>
            </w:tcBorders>
            <w:vAlign w:val="center"/>
            <w:hideMark/>
          </w:tcPr>
          <w:p w14:paraId="2B94DBDA"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08C2F27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9DCA8E1" w14:textId="77777777" w:rsidR="00DA554C" w:rsidRPr="00DA554C" w:rsidRDefault="00DA554C" w:rsidP="00DA554C">
            <w:pPr>
              <w:jc w:val="center"/>
              <w:rPr>
                <w:rFonts w:ascii="Times New Roman" w:hAnsi="Times New Roman"/>
                <w:lang w:eastAsia="ko-KR"/>
              </w:rPr>
            </w:pPr>
          </w:p>
        </w:tc>
      </w:tr>
      <w:tr w:rsidR="00DA554C" w:rsidRPr="00DA554C" w14:paraId="7533B086"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3824CF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8CE63B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Country Fire Authority Act 1958</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70D50740"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78407E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F30FBAB" w14:textId="77777777" w:rsidR="00DA554C" w:rsidRPr="00DA554C" w:rsidRDefault="00DA554C" w:rsidP="00DA554C">
            <w:pPr>
              <w:jc w:val="center"/>
              <w:rPr>
                <w:rFonts w:ascii="Times New Roman" w:hAnsi="Times New Roman"/>
                <w:lang w:eastAsia="ko-KR"/>
              </w:rPr>
            </w:pPr>
          </w:p>
        </w:tc>
      </w:tr>
      <w:tr w:rsidR="00DA554C" w:rsidRPr="00DA554C" w14:paraId="7CC50F3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B0809F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5E739B0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Dairy Act 2000</w:t>
            </w:r>
          </w:p>
        </w:tc>
        <w:tc>
          <w:tcPr>
            <w:tcW w:w="521" w:type="pct"/>
            <w:tcBorders>
              <w:top w:val="nil"/>
              <w:left w:val="single" w:sz="4" w:space="0" w:color="auto"/>
              <w:bottom w:val="nil"/>
              <w:right w:val="nil"/>
            </w:tcBorders>
            <w:vAlign w:val="center"/>
            <w:hideMark/>
          </w:tcPr>
          <w:p w14:paraId="14103CC2"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DF79BB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F1CBE80" w14:textId="77777777" w:rsidR="00DA554C" w:rsidRPr="00DA554C" w:rsidRDefault="00DA554C" w:rsidP="00DA554C">
            <w:pPr>
              <w:jc w:val="center"/>
              <w:rPr>
                <w:rFonts w:ascii="Times New Roman" w:hAnsi="Times New Roman"/>
                <w:lang w:eastAsia="ko-KR"/>
              </w:rPr>
            </w:pPr>
          </w:p>
        </w:tc>
      </w:tr>
      <w:tr w:rsidR="00DA554C" w:rsidRPr="00DA554C" w14:paraId="1025CF56"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EE66FB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5959010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Dangerous Goods Act 1985</w:t>
            </w:r>
          </w:p>
        </w:tc>
        <w:tc>
          <w:tcPr>
            <w:tcW w:w="521" w:type="pct"/>
            <w:tcBorders>
              <w:top w:val="nil"/>
              <w:left w:val="single" w:sz="4" w:space="0" w:color="auto"/>
              <w:bottom w:val="nil"/>
              <w:right w:val="nil"/>
            </w:tcBorders>
            <w:vAlign w:val="center"/>
            <w:hideMark/>
          </w:tcPr>
          <w:p w14:paraId="4688FD7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070F0F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7D7E2D4" w14:textId="77777777" w:rsidR="00DA554C" w:rsidRPr="00DA554C" w:rsidRDefault="00DA554C" w:rsidP="00DA554C">
            <w:pPr>
              <w:jc w:val="center"/>
              <w:rPr>
                <w:rFonts w:ascii="Times New Roman" w:hAnsi="Times New Roman"/>
                <w:lang w:eastAsia="ko-KR"/>
              </w:rPr>
            </w:pPr>
          </w:p>
        </w:tc>
      </w:tr>
      <w:tr w:rsidR="00DA554C" w:rsidRPr="00DA554C" w14:paraId="2FCC33F9"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58FD47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lastRenderedPageBreak/>
              <w:t xml:space="preserve"> </w:t>
            </w:r>
          </w:p>
        </w:tc>
        <w:tc>
          <w:tcPr>
            <w:tcW w:w="3052" w:type="pct"/>
            <w:tcBorders>
              <w:top w:val="nil"/>
              <w:left w:val="nil"/>
              <w:bottom w:val="nil"/>
              <w:right w:val="nil"/>
            </w:tcBorders>
            <w:vAlign w:val="center"/>
            <w:hideMark/>
          </w:tcPr>
          <w:p w14:paraId="49D5770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Development Victoria Act 2003</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1D43ECB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1DCB93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BB953AF" w14:textId="77777777" w:rsidR="00DA554C" w:rsidRPr="00DA554C" w:rsidRDefault="00DA554C" w:rsidP="00DA554C">
            <w:pPr>
              <w:jc w:val="center"/>
              <w:rPr>
                <w:rFonts w:ascii="Times New Roman" w:hAnsi="Times New Roman"/>
                <w:lang w:eastAsia="ko-KR"/>
              </w:rPr>
            </w:pPr>
          </w:p>
        </w:tc>
      </w:tr>
      <w:tr w:rsidR="00DA554C" w:rsidRPr="00DA554C" w14:paraId="3E544F50"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7F2914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FBD1981"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Disability Act 2006</w:t>
            </w:r>
            <w:r w:rsidRPr="00DA554C">
              <w:rPr>
                <w:rFonts w:ascii="Arial" w:hAnsi="Arial" w:cs="Arial"/>
                <w:color w:val="000000"/>
                <w:sz w:val="18"/>
                <w:szCs w:val="18"/>
                <w:lang w:eastAsia="ko-KR"/>
              </w:rPr>
              <w:t>, section 45</w:t>
            </w:r>
          </w:p>
        </w:tc>
        <w:tc>
          <w:tcPr>
            <w:tcW w:w="521" w:type="pct"/>
            <w:tcBorders>
              <w:top w:val="nil"/>
              <w:left w:val="single" w:sz="4" w:space="0" w:color="auto"/>
              <w:bottom w:val="nil"/>
              <w:right w:val="nil"/>
            </w:tcBorders>
            <w:vAlign w:val="center"/>
            <w:hideMark/>
          </w:tcPr>
          <w:p w14:paraId="54883E3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9C84B8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405672F" w14:textId="77777777" w:rsidR="00DA554C" w:rsidRPr="00DA554C" w:rsidRDefault="00DA554C" w:rsidP="00DA554C">
            <w:pPr>
              <w:jc w:val="center"/>
              <w:rPr>
                <w:rFonts w:ascii="Times New Roman" w:hAnsi="Times New Roman"/>
                <w:lang w:eastAsia="ko-KR"/>
              </w:rPr>
            </w:pPr>
          </w:p>
        </w:tc>
      </w:tr>
      <w:tr w:rsidR="00DA554C" w:rsidRPr="00DA554C" w14:paraId="66E8F4D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37396B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469BE7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Disability Service Safeguards Act 2018</w:t>
            </w:r>
          </w:p>
        </w:tc>
        <w:tc>
          <w:tcPr>
            <w:tcW w:w="521" w:type="pct"/>
            <w:tcBorders>
              <w:top w:val="nil"/>
              <w:left w:val="single" w:sz="4" w:space="0" w:color="auto"/>
              <w:bottom w:val="nil"/>
              <w:right w:val="nil"/>
            </w:tcBorders>
            <w:vAlign w:val="center"/>
            <w:hideMark/>
          </w:tcPr>
          <w:p w14:paraId="27BD198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C89F7C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3F3B162" w14:textId="77777777" w:rsidR="00DA554C" w:rsidRPr="00DA554C" w:rsidRDefault="00DA554C" w:rsidP="00DA554C">
            <w:pPr>
              <w:jc w:val="center"/>
              <w:rPr>
                <w:rFonts w:ascii="Times New Roman" w:hAnsi="Times New Roman"/>
                <w:lang w:eastAsia="ko-KR"/>
              </w:rPr>
            </w:pPr>
          </w:p>
        </w:tc>
      </w:tr>
      <w:tr w:rsidR="00DA554C" w:rsidRPr="00DA554C" w14:paraId="56D58AB6"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2068A4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FF42814"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Domestic Animals Act 1994</w:t>
            </w:r>
          </w:p>
        </w:tc>
        <w:tc>
          <w:tcPr>
            <w:tcW w:w="521" w:type="pct"/>
            <w:tcBorders>
              <w:top w:val="nil"/>
              <w:left w:val="single" w:sz="4" w:space="0" w:color="auto"/>
              <w:bottom w:val="nil"/>
              <w:right w:val="nil"/>
            </w:tcBorders>
            <w:vAlign w:val="center"/>
            <w:hideMark/>
          </w:tcPr>
          <w:p w14:paraId="74B25005"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7B4B7F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B026B26" w14:textId="77777777" w:rsidR="00DA554C" w:rsidRPr="00DA554C" w:rsidRDefault="00DA554C" w:rsidP="00DA554C">
            <w:pPr>
              <w:jc w:val="center"/>
              <w:rPr>
                <w:rFonts w:ascii="Times New Roman" w:hAnsi="Times New Roman"/>
                <w:lang w:eastAsia="ko-KR"/>
              </w:rPr>
            </w:pPr>
          </w:p>
        </w:tc>
      </w:tr>
      <w:tr w:rsidR="00DA554C" w:rsidRPr="00DA554C" w14:paraId="0021076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937565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AF8028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Drugs, Poisons and Controlled Substances Act 1981</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5784B97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9CD248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DFF8F15" w14:textId="77777777" w:rsidR="00DA554C" w:rsidRPr="00DA554C" w:rsidRDefault="00DA554C" w:rsidP="00DA554C">
            <w:pPr>
              <w:jc w:val="center"/>
              <w:rPr>
                <w:rFonts w:ascii="Times New Roman" w:hAnsi="Times New Roman"/>
                <w:lang w:eastAsia="ko-KR"/>
              </w:rPr>
            </w:pPr>
          </w:p>
        </w:tc>
      </w:tr>
      <w:tr w:rsidR="00DA554C" w:rsidRPr="00DA554C" w14:paraId="34C8EB38"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E24B35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100AC55"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Education and Care Services National Law (Victoria)</w:t>
            </w:r>
          </w:p>
        </w:tc>
        <w:tc>
          <w:tcPr>
            <w:tcW w:w="521" w:type="pct"/>
            <w:tcBorders>
              <w:top w:val="nil"/>
              <w:left w:val="single" w:sz="4" w:space="0" w:color="auto"/>
              <w:bottom w:val="nil"/>
              <w:right w:val="nil"/>
            </w:tcBorders>
            <w:vAlign w:val="center"/>
            <w:hideMark/>
          </w:tcPr>
          <w:p w14:paraId="01E002AB"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09D3123F"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16FB03E" w14:textId="77777777" w:rsidR="00DA554C" w:rsidRPr="00DA554C" w:rsidRDefault="00DA554C" w:rsidP="00DA554C">
            <w:pPr>
              <w:jc w:val="center"/>
              <w:rPr>
                <w:rFonts w:ascii="Times New Roman" w:hAnsi="Times New Roman"/>
                <w:lang w:eastAsia="ko-KR"/>
              </w:rPr>
            </w:pPr>
          </w:p>
        </w:tc>
      </w:tr>
      <w:tr w:rsidR="00DA554C" w:rsidRPr="00DA554C" w14:paraId="7BB6968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AF4907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3575B32"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Education and Training Reform Act 2006</w:t>
            </w:r>
            <w:r w:rsidRPr="00DA554C">
              <w:rPr>
                <w:rFonts w:ascii="Arial" w:hAnsi="Arial" w:cs="Arial"/>
                <w:color w:val="000000"/>
                <w:sz w:val="18"/>
                <w:szCs w:val="18"/>
                <w:lang w:eastAsia="ko-KR"/>
              </w:rPr>
              <w:t>, Division 14 of Part 2.6 and Part 4.8</w:t>
            </w:r>
          </w:p>
        </w:tc>
        <w:tc>
          <w:tcPr>
            <w:tcW w:w="521" w:type="pct"/>
            <w:tcBorders>
              <w:top w:val="nil"/>
              <w:left w:val="single" w:sz="4" w:space="0" w:color="auto"/>
              <w:bottom w:val="nil"/>
              <w:right w:val="nil"/>
            </w:tcBorders>
            <w:vAlign w:val="center"/>
            <w:hideMark/>
          </w:tcPr>
          <w:p w14:paraId="39525835"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70EAC9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8FF784A" w14:textId="77777777" w:rsidR="00DA554C" w:rsidRPr="00DA554C" w:rsidRDefault="00DA554C" w:rsidP="00DA554C">
            <w:pPr>
              <w:jc w:val="center"/>
              <w:rPr>
                <w:rFonts w:ascii="Times New Roman" w:hAnsi="Times New Roman"/>
                <w:lang w:eastAsia="ko-KR"/>
              </w:rPr>
            </w:pPr>
          </w:p>
        </w:tc>
      </w:tr>
      <w:tr w:rsidR="00DA554C" w:rsidRPr="00DA554C" w14:paraId="49CAE90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6B8DB2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CBC76F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Electoral Act 2002</w:t>
            </w:r>
          </w:p>
        </w:tc>
        <w:tc>
          <w:tcPr>
            <w:tcW w:w="521" w:type="pct"/>
            <w:tcBorders>
              <w:top w:val="nil"/>
              <w:left w:val="single" w:sz="4" w:space="0" w:color="auto"/>
              <w:bottom w:val="nil"/>
              <w:right w:val="nil"/>
            </w:tcBorders>
            <w:vAlign w:val="center"/>
            <w:hideMark/>
          </w:tcPr>
          <w:p w14:paraId="052C5E4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229E2B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BEBA2A1" w14:textId="77777777" w:rsidR="00DA554C" w:rsidRPr="00DA554C" w:rsidRDefault="00DA554C" w:rsidP="00DA554C">
            <w:pPr>
              <w:jc w:val="center"/>
              <w:rPr>
                <w:rFonts w:ascii="Times New Roman" w:hAnsi="Times New Roman"/>
                <w:lang w:eastAsia="ko-KR"/>
              </w:rPr>
            </w:pPr>
          </w:p>
        </w:tc>
      </w:tr>
      <w:tr w:rsidR="00DA554C" w:rsidRPr="00DA554C" w14:paraId="55D5DBE0"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859C89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770508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Electricity Safety Act 1998</w:t>
            </w:r>
          </w:p>
        </w:tc>
        <w:tc>
          <w:tcPr>
            <w:tcW w:w="521" w:type="pct"/>
            <w:tcBorders>
              <w:top w:val="nil"/>
              <w:left w:val="single" w:sz="4" w:space="0" w:color="auto"/>
              <w:bottom w:val="nil"/>
              <w:right w:val="nil"/>
            </w:tcBorders>
            <w:vAlign w:val="center"/>
            <w:hideMark/>
          </w:tcPr>
          <w:p w14:paraId="2ACDE31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78DF56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C0C1030" w14:textId="77777777" w:rsidR="00DA554C" w:rsidRPr="00DA554C" w:rsidRDefault="00DA554C" w:rsidP="00DA554C">
            <w:pPr>
              <w:jc w:val="center"/>
              <w:rPr>
                <w:rFonts w:ascii="Times New Roman" w:hAnsi="Times New Roman"/>
                <w:lang w:eastAsia="ko-KR"/>
              </w:rPr>
            </w:pPr>
          </w:p>
        </w:tc>
      </w:tr>
      <w:tr w:rsidR="00DA554C" w:rsidRPr="00DA554C" w14:paraId="2868236B"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861036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CCD71C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Emergency Management Act 1986</w:t>
            </w:r>
          </w:p>
        </w:tc>
        <w:tc>
          <w:tcPr>
            <w:tcW w:w="521" w:type="pct"/>
            <w:tcBorders>
              <w:top w:val="nil"/>
              <w:left w:val="single" w:sz="4" w:space="0" w:color="auto"/>
              <w:bottom w:val="nil"/>
              <w:right w:val="nil"/>
            </w:tcBorders>
            <w:vAlign w:val="center"/>
            <w:hideMark/>
          </w:tcPr>
          <w:p w14:paraId="40917D9C"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88C9F9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5D430FD" w14:textId="77777777" w:rsidR="00DA554C" w:rsidRPr="00DA554C" w:rsidRDefault="00DA554C" w:rsidP="00DA554C">
            <w:pPr>
              <w:jc w:val="center"/>
              <w:rPr>
                <w:rFonts w:ascii="Times New Roman" w:hAnsi="Times New Roman"/>
                <w:lang w:eastAsia="ko-KR"/>
              </w:rPr>
            </w:pPr>
          </w:p>
        </w:tc>
      </w:tr>
      <w:tr w:rsidR="00DA554C" w:rsidRPr="00DA554C" w14:paraId="37AD481B"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3E237A9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223C27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Emergency Services Superannuation Act 1986</w:t>
            </w:r>
          </w:p>
        </w:tc>
        <w:tc>
          <w:tcPr>
            <w:tcW w:w="521" w:type="pct"/>
            <w:tcBorders>
              <w:top w:val="nil"/>
              <w:left w:val="single" w:sz="4" w:space="0" w:color="auto"/>
              <w:bottom w:val="nil"/>
              <w:right w:val="nil"/>
            </w:tcBorders>
            <w:vAlign w:val="center"/>
            <w:hideMark/>
          </w:tcPr>
          <w:p w14:paraId="60E7F225"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D41682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145A3E5" w14:textId="77777777" w:rsidR="00DA554C" w:rsidRPr="00DA554C" w:rsidRDefault="00DA554C" w:rsidP="00DA554C">
            <w:pPr>
              <w:jc w:val="center"/>
              <w:rPr>
                <w:rFonts w:ascii="Times New Roman" w:hAnsi="Times New Roman"/>
                <w:lang w:eastAsia="ko-KR"/>
              </w:rPr>
            </w:pPr>
          </w:p>
        </w:tc>
      </w:tr>
      <w:tr w:rsidR="00DA554C" w:rsidRPr="00DA554C" w14:paraId="6F846595"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DB40B5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F234EFC"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Equipment (Public Safety) Act 1994</w:t>
            </w:r>
          </w:p>
        </w:tc>
        <w:tc>
          <w:tcPr>
            <w:tcW w:w="521" w:type="pct"/>
            <w:tcBorders>
              <w:top w:val="nil"/>
              <w:left w:val="single" w:sz="4" w:space="0" w:color="auto"/>
              <w:bottom w:val="nil"/>
              <w:right w:val="nil"/>
            </w:tcBorders>
            <w:vAlign w:val="center"/>
            <w:hideMark/>
          </w:tcPr>
          <w:p w14:paraId="1899FF9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6EF798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C1728C9" w14:textId="77777777" w:rsidR="00DA554C" w:rsidRPr="00DA554C" w:rsidRDefault="00DA554C" w:rsidP="00DA554C">
            <w:pPr>
              <w:jc w:val="center"/>
              <w:rPr>
                <w:rFonts w:ascii="Times New Roman" w:hAnsi="Times New Roman"/>
                <w:lang w:eastAsia="ko-KR"/>
              </w:rPr>
            </w:pPr>
          </w:p>
        </w:tc>
      </w:tr>
      <w:tr w:rsidR="00DA554C" w:rsidRPr="00DA554C" w14:paraId="0682D440"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539F8A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5C05958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Essential Services Commission Act 2001</w:t>
            </w:r>
          </w:p>
        </w:tc>
        <w:tc>
          <w:tcPr>
            <w:tcW w:w="521" w:type="pct"/>
            <w:tcBorders>
              <w:top w:val="nil"/>
              <w:left w:val="single" w:sz="4" w:space="0" w:color="auto"/>
              <w:bottom w:val="nil"/>
              <w:right w:val="nil"/>
            </w:tcBorders>
            <w:vAlign w:val="center"/>
            <w:hideMark/>
          </w:tcPr>
          <w:p w14:paraId="5D4755D4"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4B49FC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0624F23" w14:textId="77777777" w:rsidR="00DA554C" w:rsidRPr="00DA554C" w:rsidRDefault="00DA554C" w:rsidP="00DA554C">
            <w:pPr>
              <w:jc w:val="center"/>
              <w:rPr>
                <w:rFonts w:ascii="Times New Roman" w:hAnsi="Times New Roman"/>
                <w:lang w:eastAsia="ko-KR"/>
              </w:rPr>
            </w:pPr>
          </w:p>
        </w:tc>
      </w:tr>
      <w:tr w:rsidR="00DA554C" w:rsidRPr="00DA554C" w14:paraId="0A8FA97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415495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FAB108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Estate Agents Act 1980</w:t>
            </w:r>
            <w:r w:rsidRPr="00DA554C">
              <w:rPr>
                <w:rFonts w:ascii="Arial" w:hAnsi="Arial" w:cs="Arial"/>
                <w:color w:val="000000"/>
                <w:sz w:val="18"/>
                <w:szCs w:val="18"/>
                <w:lang w:eastAsia="ko-KR"/>
              </w:rPr>
              <w:t>, except sections 56A(4) and 56B(1)</w:t>
            </w:r>
          </w:p>
        </w:tc>
        <w:tc>
          <w:tcPr>
            <w:tcW w:w="521" w:type="pct"/>
            <w:tcBorders>
              <w:top w:val="nil"/>
              <w:left w:val="single" w:sz="4" w:space="0" w:color="auto"/>
              <w:bottom w:val="nil"/>
              <w:right w:val="nil"/>
            </w:tcBorders>
            <w:vAlign w:val="center"/>
            <w:hideMark/>
          </w:tcPr>
          <w:p w14:paraId="00A6E6C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DF086A3"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F69D7FC" w14:textId="77777777" w:rsidR="00DA554C" w:rsidRPr="00DA554C" w:rsidRDefault="00DA554C" w:rsidP="00DA554C">
            <w:pPr>
              <w:jc w:val="center"/>
              <w:rPr>
                <w:rFonts w:ascii="Times New Roman" w:hAnsi="Times New Roman"/>
                <w:lang w:eastAsia="ko-KR"/>
              </w:rPr>
            </w:pPr>
          </w:p>
        </w:tc>
      </w:tr>
      <w:tr w:rsidR="00DA554C" w:rsidRPr="00DA554C" w14:paraId="7CC992FF"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464097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CCAE46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Fire Rescue Victoria Act 1958</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1EA9AD0C"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E60667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34803E1" w14:textId="77777777" w:rsidR="00DA554C" w:rsidRPr="00DA554C" w:rsidRDefault="00DA554C" w:rsidP="00DA554C">
            <w:pPr>
              <w:jc w:val="center"/>
              <w:rPr>
                <w:rFonts w:ascii="Times New Roman" w:hAnsi="Times New Roman"/>
                <w:lang w:eastAsia="ko-KR"/>
              </w:rPr>
            </w:pPr>
          </w:p>
        </w:tc>
      </w:tr>
      <w:tr w:rsidR="00DA554C" w:rsidRPr="00DA554C" w14:paraId="3B8BBB5E"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C192CA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CD423A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Firearms Act 1996</w:t>
            </w:r>
            <w:r w:rsidRPr="00DA554C">
              <w:rPr>
                <w:rFonts w:ascii="Arial" w:hAnsi="Arial" w:cs="Arial"/>
                <w:color w:val="000000"/>
                <w:sz w:val="18"/>
                <w:szCs w:val="18"/>
                <w:lang w:eastAsia="ko-KR"/>
              </w:rPr>
              <w:t>, section 182</w:t>
            </w:r>
          </w:p>
        </w:tc>
        <w:tc>
          <w:tcPr>
            <w:tcW w:w="521" w:type="pct"/>
            <w:tcBorders>
              <w:top w:val="nil"/>
              <w:left w:val="single" w:sz="4" w:space="0" w:color="auto"/>
              <w:bottom w:val="nil"/>
              <w:right w:val="nil"/>
            </w:tcBorders>
            <w:vAlign w:val="center"/>
            <w:hideMark/>
          </w:tcPr>
          <w:p w14:paraId="01684444"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80F979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936EF6C" w14:textId="77777777" w:rsidR="00DA554C" w:rsidRPr="00DA554C" w:rsidRDefault="00DA554C" w:rsidP="00DA554C">
            <w:pPr>
              <w:jc w:val="center"/>
              <w:rPr>
                <w:rFonts w:ascii="Times New Roman" w:hAnsi="Times New Roman"/>
                <w:lang w:eastAsia="ko-KR"/>
              </w:rPr>
            </w:pPr>
          </w:p>
        </w:tc>
      </w:tr>
      <w:tr w:rsidR="00DA554C" w:rsidRPr="00DA554C" w14:paraId="38F7E6FF"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7A9FDF0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23BD17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Fisheries Act 1995</w:t>
            </w:r>
          </w:p>
        </w:tc>
        <w:tc>
          <w:tcPr>
            <w:tcW w:w="521" w:type="pct"/>
            <w:tcBorders>
              <w:top w:val="nil"/>
              <w:left w:val="single" w:sz="4" w:space="0" w:color="auto"/>
              <w:bottom w:val="nil"/>
              <w:right w:val="nil"/>
            </w:tcBorders>
            <w:vAlign w:val="center"/>
            <w:hideMark/>
          </w:tcPr>
          <w:p w14:paraId="2BE02F88"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28C31B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75B69D4" w14:textId="77777777" w:rsidR="00DA554C" w:rsidRPr="00DA554C" w:rsidRDefault="00DA554C" w:rsidP="00DA554C">
            <w:pPr>
              <w:jc w:val="center"/>
              <w:rPr>
                <w:rFonts w:ascii="Times New Roman" w:hAnsi="Times New Roman"/>
                <w:lang w:eastAsia="ko-KR"/>
              </w:rPr>
            </w:pPr>
          </w:p>
        </w:tc>
      </w:tr>
      <w:tr w:rsidR="00DA554C" w:rsidRPr="00DA554C" w14:paraId="4CF2211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9659D9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A5B018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Freedom of Information Act 1982</w:t>
            </w:r>
            <w:r w:rsidRPr="00DA554C">
              <w:rPr>
                <w:rFonts w:ascii="Arial" w:hAnsi="Arial" w:cs="Arial"/>
                <w:color w:val="000000"/>
                <w:sz w:val="18"/>
                <w:szCs w:val="18"/>
                <w:lang w:eastAsia="ko-KR"/>
              </w:rPr>
              <w:t>,</w:t>
            </w:r>
            <w:r w:rsidRPr="00DA554C">
              <w:rPr>
                <w:rFonts w:ascii="Arial" w:hAnsi="Arial" w:cs="Arial"/>
                <w:b/>
                <w:bCs/>
                <w:color w:val="000000"/>
                <w:sz w:val="18"/>
                <w:szCs w:val="18"/>
                <w:lang w:eastAsia="ko-KR"/>
              </w:rPr>
              <w:t xml:space="preserve"> </w:t>
            </w:r>
            <w:r w:rsidRPr="00DA554C">
              <w:rPr>
                <w:rFonts w:ascii="Arial" w:hAnsi="Arial" w:cs="Arial"/>
                <w:color w:val="000000"/>
                <w:sz w:val="18"/>
                <w:szCs w:val="18"/>
                <w:lang w:eastAsia="ko-KR"/>
              </w:rPr>
              <w:t>except applications under section 50 if—</w:t>
            </w:r>
          </w:p>
        </w:tc>
        <w:tc>
          <w:tcPr>
            <w:tcW w:w="521" w:type="pct"/>
            <w:tcBorders>
              <w:top w:val="nil"/>
              <w:left w:val="single" w:sz="4" w:space="0" w:color="auto"/>
              <w:bottom w:val="nil"/>
              <w:right w:val="nil"/>
            </w:tcBorders>
            <w:vAlign w:val="center"/>
            <w:hideMark/>
          </w:tcPr>
          <w:p w14:paraId="405715F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7F2E18C"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BC3ADDE" w14:textId="77777777" w:rsidR="00DA554C" w:rsidRPr="00DA554C" w:rsidRDefault="00DA554C" w:rsidP="00DA554C">
            <w:pPr>
              <w:jc w:val="center"/>
              <w:rPr>
                <w:rFonts w:ascii="Times New Roman" w:hAnsi="Times New Roman"/>
                <w:lang w:eastAsia="ko-KR"/>
              </w:rPr>
            </w:pPr>
          </w:p>
        </w:tc>
      </w:tr>
      <w:tr w:rsidR="00DA554C" w:rsidRPr="00DA554C" w14:paraId="65DC7F65" w14:textId="77777777" w:rsidTr="009B659C">
        <w:trPr>
          <w:trHeight w:val="450"/>
        </w:trPr>
        <w:tc>
          <w:tcPr>
            <w:tcW w:w="346" w:type="pct"/>
            <w:tcBorders>
              <w:top w:val="nil"/>
              <w:left w:val="single" w:sz="4" w:space="0" w:color="auto"/>
              <w:bottom w:val="nil"/>
              <w:right w:val="single" w:sz="4" w:space="0" w:color="auto"/>
            </w:tcBorders>
            <w:noWrap/>
            <w:vAlign w:val="center"/>
            <w:hideMark/>
          </w:tcPr>
          <w:p w14:paraId="7FEBA07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D777815"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(a) the application is for the review of a deemed decision under section 49J or 53 refusing to grant access to a document; or</w:t>
            </w:r>
          </w:p>
        </w:tc>
        <w:tc>
          <w:tcPr>
            <w:tcW w:w="521" w:type="pct"/>
            <w:tcBorders>
              <w:top w:val="nil"/>
              <w:left w:val="single" w:sz="4" w:space="0" w:color="auto"/>
              <w:bottom w:val="nil"/>
              <w:right w:val="nil"/>
            </w:tcBorders>
            <w:vAlign w:val="center"/>
            <w:hideMark/>
          </w:tcPr>
          <w:p w14:paraId="3B466D82"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17E3F0B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E956F53" w14:textId="77777777" w:rsidR="00DA554C" w:rsidRPr="00DA554C" w:rsidRDefault="00DA554C" w:rsidP="00DA554C">
            <w:pPr>
              <w:jc w:val="center"/>
              <w:rPr>
                <w:rFonts w:ascii="Times New Roman" w:hAnsi="Times New Roman"/>
                <w:lang w:eastAsia="ko-KR"/>
              </w:rPr>
            </w:pPr>
          </w:p>
        </w:tc>
      </w:tr>
      <w:tr w:rsidR="00DA554C" w:rsidRPr="00DA554C" w14:paraId="6CDE400A" w14:textId="77777777" w:rsidTr="009B659C">
        <w:trPr>
          <w:trHeight w:val="510"/>
        </w:trPr>
        <w:tc>
          <w:tcPr>
            <w:tcW w:w="346" w:type="pct"/>
            <w:tcBorders>
              <w:top w:val="nil"/>
              <w:left w:val="single" w:sz="4" w:space="0" w:color="auto"/>
              <w:bottom w:val="nil"/>
              <w:right w:val="single" w:sz="4" w:space="0" w:color="auto"/>
            </w:tcBorders>
            <w:noWrap/>
            <w:vAlign w:val="center"/>
            <w:hideMark/>
          </w:tcPr>
          <w:p w14:paraId="5710210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0CFF37E"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(b) the applicant is a natural person and the document to which access is sought contains information relating to the applicant's personal affairs</w:t>
            </w:r>
          </w:p>
        </w:tc>
        <w:tc>
          <w:tcPr>
            <w:tcW w:w="521" w:type="pct"/>
            <w:tcBorders>
              <w:top w:val="nil"/>
              <w:left w:val="single" w:sz="4" w:space="0" w:color="auto"/>
              <w:bottom w:val="nil"/>
              <w:right w:val="nil"/>
            </w:tcBorders>
            <w:vAlign w:val="center"/>
            <w:hideMark/>
          </w:tcPr>
          <w:p w14:paraId="64BCFC77"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412E5D5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ABE981C" w14:textId="77777777" w:rsidR="00DA554C" w:rsidRPr="00DA554C" w:rsidRDefault="00DA554C" w:rsidP="00DA554C">
            <w:pPr>
              <w:jc w:val="center"/>
              <w:rPr>
                <w:rFonts w:ascii="Times New Roman" w:hAnsi="Times New Roman"/>
                <w:lang w:eastAsia="ko-KR"/>
              </w:rPr>
            </w:pPr>
          </w:p>
        </w:tc>
      </w:tr>
      <w:tr w:rsidR="00DA554C" w:rsidRPr="00DA554C" w14:paraId="29AE2BB9"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54B9F9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1373E19"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Fundraising Act 1998</w:t>
            </w:r>
          </w:p>
        </w:tc>
        <w:tc>
          <w:tcPr>
            <w:tcW w:w="521" w:type="pct"/>
            <w:tcBorders>
              <w:top w:val="nil"/>
              <w:left w:val="single" w:sz="4" w:space="0" w:color="auto"/>
              <w:bottom w:val="nil"/>
              <w:right w:val="nil"/>
            </w:tcBorders>
            <w:vAlign w:val="center"/>
            <w:hideMark/>
          </w:tcPr>
          <w:p w14:paraId="1F562CC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800DD7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43D95F1" w14:textId="77777777" w:rsidR="00DA554C" w:rsidRPr="00DA554C" w:rsidRDefault="00DA554C" w:rsidP="00DA554C">
            <w:pPr>
              <w:jc w:val="center"/>
              <w:rPr>
                <w:rFonts w:ascii="Times New Roman" w:hAnsi="Times New Roman"/>
                <w:lang w:eastAsia="ko-KR"/>
              </w:rPr>
            </w:pPr>
          </w:p>
        </w:tc>
      </w:tr>
      <w:tr w:rsidR="00DA554C" w:rsidRPr="00DA554C" w14:paraId="188251DD"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9D024A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11A3F2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Gas Safety Act 1997</w:t>
            </w:r>
          </w:p>
        </w:tc>
        <w:tc>
          <w:tcPr>
            <w:tcW w:w="521" w:type="pct"/>
            <w:tcBorders>
              <w:top w:val="nil"/>
              <w:left w:val="single" w:sz="4" w:space="0" w:color="auto"/>
              <w:bottom w:val="nil"/>
              <w:right w:val="nil"/>
            </w:tcBorders>
            <w:vAlign w:val="center"/>
            <w:hideMark/>
          </w:tcPr>
          <w:p w14:paraId="46F6A9DE"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FDF818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C796772" w14:textId="77777777" w:rsidR="00DA554C" w:rsidRPr="00DA554C" w:rsidRDefault="00DA554C" w:rsidP="00DA554C">
            <w:pPr>
              <w:jc w:val="center"/>
              <w:rPr>
                <w:rFonts w:ascii="Times New Roman" w:hAnsi="Times New Roman"/>
                <w:lang w:eastAsia="ko-KR"/>
              </w:rPr>
            </w:pPr>
          </w:p>
        </w:tc>
      </w:tr>
      <w:tr w:rsidR="00DA554C" w:rsidRPr="00DA554C" w14:paraId="5093974B"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A8B4FC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D801328"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Health Practitioner Regulation National Law (Victoria) Act 2009</w:t>
            </w:r>
          </w:p>
        </w:tc>
        <w:tc>
          <w:tcPr>
            <w:tcW w:w="521" w:type="pct"/>
            <w:tcBorders>
              <w:top w:val="nil"/>
              <w:left w:val="single" w:sz="4" w:space="0" w:color="auto"/>
              <w:bottom w:val="nil"/>
              <w:right w:val="nil"/>
            </w:tcBorders>
            <w:vAlign w:val="center"/>
            <w:hideMark/>
          </w:tcPr>
          <w:p w14:paraId="256BB02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F51EB7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4C1F9A8" w14:textId="77777777" w:rsidR="00DA554C" w:rsidRPr="00DA554C" w:rsidRDefault="00DA554C" w:rsidP="00DA554C">
            <w:pPr>
              <w:jc w:val="center"/>
              <w:rPr>
                <w:rFonts w:ascii="Times New Roman" w:hAnsi="Times New Roman"/>
                <w:lang w:eastAsia="ko-KR"/>
              </w:rPr>
            </w:pPr>
          </w:p>
        </w:tc>
      </w:tr>
      <w:tr w:rsidR="00DA554C" w:rsidRPr="00DA554C" w14:paraId="1C11B65B"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91FFC6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B23B5D1"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Health Practitioner Regulation National Law (Victoria)</w:t>
            </w:r>
          </w:p>
        </w:tc>
        <w:tc>
          <w:tcPr>
            <w:tcW w:w="521" w:type="pct"/>
            <w:tcBorders>
              <w:top w:val="nil"/>
              <w:left w:val="single" w:sz="4" w:space="0" w:color="auto"/>
              <w:bottom w:val="nil"/>
              <w:right w:val="nil"/>
            </w:tcBorders>
            <w:vAlign w:val="center"/>
            <w:hideMark/>
          </w:tcPr>
          <w:p w14:paraId="5402F30F"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1033621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E46C574" w14:textId="77777777" w:rsidR="00DA554C" w:rsidRPr="00DA554C" w:rsidRDefault="00DA554C" w:rsidP="00DA554C">
            <w:pPr>
              <w:jc w:val="center"/>
              <w:rPr>
                <w:rFonts w:ascii="Times New Roman" w:hAnsi="Times New Roman"/>
                <w:lang w:eastAsia="ko-KR"/>
              </w:rPr>
            </w:pPr>
          </w:p>
        </w:tc>
      </w:tr>
      <w:tr w:rsidR="00DA554C" w:rsidRPr="00DA554C" w14:paraId="33549E5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E8D71E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357E1F8"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Health Services Act 1988</w:t>
            </w:r>
            <w:r w:rsidRPr="00DA554C">
              <w:rPr>
                <w:rFonts w:ascii="Arial" w:hAnsi="Arial" w:cs="Arial"/>
                <w:color w:val="000000"/>
                <w:sz w:val="18"/>
                <w:szCs w:val="18"/>
                <w:lang w:eastAsia="ko-KR"/>
              </w:rPr>
              <w:t>, sections 57C and 110</w:t>
            </w:r>
          </w:p>
        </w:tc>
        <w:tc>
          <w:tcPr>
            <w:tcW w:w="521" w:type="pct"/>
            <w:tcBorders>
              <w:top w:val="nil"/>
              <w:left w:val="single" w:sz="4" w:space="0" w:color="auto"/>
              <w:bottom w:val="nil"/>
              <w:right w:val="nil"/>
            </w:tcBorders>
            <w:vAlign w:val="center"/>
            <w:hideMark/>
          </w:tcPr>
          <w:p w14:paraId="1D84B758"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77A730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F9C8985" w14:textId="77777777" w:rsidR="00DA554C" w:rsidRPr="00DA554C" w:rsidRDefault="00DA554C" w:rsidP="00DA554C">
            <w:pPr>
              <w:jc w:val="center"/>
              <w:rPr>
                <w:rFonts w:ascii="Times New Roman" w:hAnsi="Times New Roman"/>
                <w:lang w:eastAsia="ko-KR"/>
              </w:rPr>
            </w:pPr>
          </w:p>
        </w:tc>
      </w:tr>
      <w:tr w:rsidR="00DA554C" w:rsidRPr="00DA554C" w14:paraId="311D3499"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04A4B9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D42A23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Labour Hire Licensing Act 2018</w:t>
            </w:r>
          </w:p>
        </w:tc>
        <w:tc>
          <w:tcPr>
            <w:tcW w:w="521" w:type="pct"/>
            <w:tcBorders>
              <w:top w:val="nil"/>
              <w:left w:val="single" w:sz="4" w:space="0" w:color="auto"/>
              <w:bottom w:val="nil"/>
              <w:right w:val="nil"/>
            </w:tcBorders>
            <w:vAlign w:val="center"/>
            <w:hideMark/>
          </w:tcPr>
          <w:p w14:paraId="1056FBD1"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4074BD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6F5DC9C" w14:textId="77777777" w:rsidR="00DA554C" w:rsidRPr="00DA554C" w:rsidRDefault="00DA554C" w:rsidP="00DA554C">
            <w:pPr>
              <w:jc w:val="center"/>
              <w:rPr>
                <w:rFonts w:ascii="Times New Roman" w:hAnsi="Times New Roman"/>
                <w:lang w:eastAsia="ko-KR"/>
              </w:rPr>
            </w:pPr>
          </w:p>
        </w:tc>
      </w:tr>
      <w:tr w:rsidR="00DA554C" w:rsidRPr="00DA554C" w14:paraId="70425813"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877A8F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199442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Liquor Control Reform Act 1998</w:t>
            </w:r>
          </w:p>
        </w:tc>
        <w:tc>
          <w:tcPr>
            <w:tcW w:w="521" w:type="pct"/>
            <w:tcBorders>
              <w:top w:val="nil"/>
              <w:left w:val="single" w:sz="4" w:space="0" w:color="auto"/>
              <w:bottom w:val="nil"/>
              <w:right w:val="nil"/>
            </w:tcBorders>
            <w:vAlign w:val="center"/>
            <w:hideMark/>
          </w:tcPr>
          <w:p w14:paraId="5FD93A47"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B9D9E0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8C3F2B1" w14:textId="77777777" w:rsidR="00DA554C" w:rsidRPr="00DA554C" w:rsidRDefault="00DA554C" w:rsidP="00DA554C">
            <w:pPr>
              <w:jc w:val="center"/>
              <w:rPr>
                <w:rFonts w:ascii="Times New Roman" w:hAnsi="Times New Roman"/>
                <w:lang w:eastAsia="ko-KR"/>
              </w:rPr>
            </w:pPr>
          </w:p>
        </w:tc>
      </w:tr>
      <w:tr w:rsidR="00DA554C" w:rsidRPr="00DA554C" w14:paraId="2051399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3C39C0B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EA246C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Livestock Disease Control Act 1994</w:t>
            </w:r>
          </w:p>
        </w:tc>
        <w:tc>
          <w:tcPr>
            <w:tcW w:w="521" w:type="pct"/>
            <w:tcBorders>
              <w:top w:val="nil"/>
              <w:left w:val="single" w:sz="4" w:space="0" w:color="auto"/>
              <w:bottom w:val="nil"/>
              <w:right w:val="nil"/>
            </w:tcBorders>
            <w:vAlign w:val="center"/>
            <w:hideMark/>
          </w:tcPr>
          <w:p w14:paraId="0283140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9A3CCB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BF1A4F0" w14:textId="77777777" w:rsidR="00DA554C" w:rsidRPr="00DA554C" w:rsidRDefault="00DA554C" w:rsidP="00DA554C">
            <w:pPr>
              <w:jc w:val="center"/>
              <w:rPr>
                <w:rFonts w:ascii="Times New Roman" w:hAnsi="Times New Roman"/>
                <w:lang w:eastAsia="ko-KR"/>
              </w:rPr>
            </w:pPr>
          </w:p>
        </w:tc>
      </w:tr>
      <w:tr w:rsidR="00DA554C" w:rsidRPr="00DA554C" w14:paraId="2B7B3C58"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71A5A3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90421C8"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Local Government Act 1989</w:t>
            </w:r>
            <w:r w:rsidRPr="00DA554C">
              <w:rPr>
                <w:rFonts w:ascii="Arial" w:hAnsi="Arial" w:cs="Arial"/>
                <w:color w:val="000000"/>
                <w:sz w:val="18"/>
                <w:szCs w:val="18"/>
                <w:lang w:eastAsia="ko-KR"/>
              </w:rPr>
              <w:t>, except sections 183, 185 and 185AA</w:t>
            </w:r>
          </w:p>
        </w:tc>
        <w:tc>
          <w:tcPr>
            <w:tcW w:w="521" w:type="pct"/>
            <w:tcBorders>
              <w:top w:val="nil"/>
              <w:left w:val="single" w:sz="4" w:space="0" w:color="auto"/>
              <w:bottom w:val="nil"/>
              <w:right w:val="nil"/>
            </w:tcBorders>
            <w:vAlign w:val="center"/>
            <w:hideMark/>
          </w:tcPr>
          <w:p w14:paraId="2E90F722"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A65A86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8FA0ABF" w14:textId="77777777" w:rsidR="00DA554C" w:rsidRPr="00DA554C" w:rsidRDefault="00DA554C" w:rsidP="00DA554C">
            <w:pPr>
              <w:jc w:val="center"/>
              <w:rPr>
                <w:rFonts w:ascii="Times New Roman" w:hAnsi="Times New Roman"/>
                <w:lang w:eastAsia="ko-KR"/>
              </w:rPr>
            </w:pPr>
          </w:p>
        </w:tc>
      </w:tr>
      <w:tr w:rsidR="00DA554C" w:rsidRPr="00DA554C" w14:paraId="1853D817"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31C6D8A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47272F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Long Service Benefits Portability Act 2018</w:t>
            </w:r>
          </w:p>
        </w:tc>
        <w:tc>
          <w:tcPr>
            <w:tcW w:w="521" w:type="pct"/>
            <w:tcBorders>
              <w:top w:val="nil"/>
              <w:left w:val="single" w:sz="4" w:space="0" w:color="auto"/>
              <w:bottom w:val="nil"/>
              <w:right w:val="nil"/>
            </w:tcBorders>
            <w:vAlign w:val="center"/>
            <w:hideMark/>
          </w:tcPr>
          <w:p w14:paraId="25B0F740"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10A085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8EF1DB7" w14:textId="77777777" w:rsidR="00DA554C" w:rsidRPr="00DA554C" w:rsidRDefault="00DA554C" w:rsidP="00DA554C">
            <w:pPr>
              <w:jc w:val="center"/>
              <w:rPr>
                <w:rFonts w:ascii="Times New Roman" w:hAnsi="Times New Roman"/>
                <w:lang w:eastAsia="ko-KR"/>
              </w:rPr>
            </w:pPr>
          </w:p>
        </w:tc>
      </w:tr>
      <w:tr w:rsidR="00DA554C" w:rsidRPr="00DA554C" w14:paraId="60D12337"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3959F5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E0E437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Major Events Act 2009</w:t>
            </w:r>
          </w:p>
        </w:tc>
        <w:tc>
          <w:tcPr>
            <w:tcW w:w="521" w:type="pct"/>
            <w:tcBorders>
              <w:top w:val="nil"/>
              <w:left w:val="single" w:sz="4" w:space="0" w:color="auto"/>
              <w:bottom w:val="nil"/>
              <w:right w:val="nil"/>
            </w:tcBorders>
            <w:vAlign w:val="center"/>
            <w:hideMark/>
          </w:tcPr>
          <w:p w14:paraId="043EFFEE"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FECFCE3"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1AE8FD8" w14:textId="77777777" w:rsidR="00DA554C" w:rsidRPr="00DA554C" w:rsidRDefault="00DA554C" w:rsidP="00DA554C">
            <w:pPr>
              <w:jc w:val="center"/>
              <w:rPr>
                <w:rFonts w:ascii="Times New Roman" w:hAnsi="Times New Roman"/>
                <w:lang w:eastAsia="ko-KR"/>
              </w:rPr>
            </w:pPr>
          </w:p>
        </w:tc>
      </w:tr>
      <w:tr w:rsidR="00DA554C" w:rsidRPr="00DA554C" w14:paraId="1ABA6248"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240D55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C4534B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Meat Industry Act 1993</w:t>
            </w:r>
            <w:r w:rsidRPr="00DA554C">
              <w:rPr>
                <w:rFonts w:ascii="Arial" w:hAnsi="Arial" w:cs="Arial"/>
                <w:color w:val="000000"/>
                <w:sz w:val="18"/>
                <w:szCs w:val="18"/>
                <w:lang w:eastAsia="ko-KR"/>
              </w:rPr>
              <w:t>, section 24</w:t>
            </w:r>
          </w:p>
        </w:tc>
        <w:tc>
          <w:tcPr>
            <w:tcW w:w="521" w:type="pct"/>
            <w:tcBorders>
              <w:top w:val="nil"/>
              <w:left w:val="single" w:sz="4" w:space="0" w:color="auto"/>
              <w:bottom w:val="nil"/>
              <w:right w:val="nil"/>
            </w:tcBorders>
            <w:vAlign w:val="center"/>
            <w:hideMark/>
          </w:tcPr>
          <w:p w14:paraId="2603F63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10A975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E5CD740" w14:textId="77777777" w:rsidR="00DA554C" w:rsidRPr="00DA554C" w:rsidRDefault="00DA554C" w:rsidP="00DA554C">
            <w:pPr>
              <w:jc w:val="center"/>
              <w:rPr>
                <w:rFonts w:ascii="Times New Roman" w:hAnsi="Times New Roman"/>
                <w:lang w:eastAsia="ko-KR"/>
              </w:rPr>
            </w:pPr>
          </w:p>
        </w:tc>
      </w:tr>
      <w:tr w:rsidR="00DA554C" w:rsidRPr="00DA554C" w14:paraId="5CD926D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7B5933B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820F318"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Melbourne Strategic Assessment (Environment Mitigation Levy) Act 2020</w:t>
            </w:r>
          </w:p>
        </w:tc>
        <w:tc>
          <w:tcPr>
            <w:tcW w:w="521" w:type="pct"/>
            <w:tcBorders>
              <w:top w:val="nil"/>
              <w:left w:val="single" w:sz="4" w:space="0" w:color="auto"/>
              <w:bottom w:val="nil"/>
              <w:right w:val="nil"/>
            </w:tcBorders>
            <w:vAlign w:val="center"/>
            <w:hideMark/>
          </w:tcPr>
          <w:p w14:paraId="131A9D3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F0EE58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987767A" w14:textId="77777777" w:rsidR="00DA554C" w:rsidRPr="00DA554C" w:rsidRDefault="00DA554C" w:rsidP="00DA554C">
            <w:pPr>
              <w:jc w:val="center"/>
              <w:rPr>
                <w:rFonts w:ascii="Times New Roman" w:hAnsi="Times New Roman"/>
                <w:lang w:eastAsia="ko-KR"/>
              </w:rPr>
            </w:pPr>
          </w:p>
        </w:tc>
      </w:tr>
      <w:tr w:rsidR="00DA554C" w:rsidRPr="00DA554C" w14:paraId="2CABEEDB"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1B333E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2DB418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Motor Car Traders Act 1986</w:t>
            </w:r>
            <w:r w:rsidRPr="00DA554C">
              <w:rPr>
                <w:rFonts w:ascii="Arial" w:hAnsi="Arial" w:cs="Arial"/>
                <w:color w:val="000000"/>
                <w:sz w:val="18"/>
                <w:szCs w:val="18"/>
                <w:lang w:eastAsia="ko-KR"/>
              </w:rPr>
              <w:t>, except section 45</w:t>
            </w:r>
          </w:p>
        </w:tc>
        <w:tc>
          <w:tcPr>
            <w:tcW w:w="521" w:type="pct"/>
            <w:tcBorders>
              <w:top w:val="nil"/>
              <w:left w:val="single" w:sz="4" w:space="0" w:color="auto"/>
              <w:bottom w:val="nil"/>
              <w:right w:val="nil"/>
            </w:tcBorders>
            <w:vAlign w:val="center"/>
            <w:hideMark/>
          </w:tcPr>
          <w:p w14:paraId="506D56E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DAC59C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7FCEA0E" w14:textId="77777777" w:rsidR="00DA554C" w:rsidRPr="00DA554C" w:rsidRDefault="00DA554C" w:rsidP="00DA554C">
            <w:pPr>
              <w:jc w:val="center"/>
              <w:rPr>
                <w:rFonts w:ascii="Times New Roman" w:hAnsi="Times New Roman"/>
                <w:lang w:eastAsia="ko-KR"/>
              </w:rPr>
            </w:pPr>
          </w:p>
        </w:tc>
      </w:tr>
      <w:tr w:rsidR="00DA554C" w:rsidRPr="00DA554C" w14:paraId="693476B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AF7243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563652D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Occupational Health and Safety Act 2004</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7D13CBC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B7E7A4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E269525" w14:textId="77777777" w:rsidR="00DA554C" w:rsidRPr="00DA554C" w:rsidRDefault="00DA554C" w:rsidP="00DA554C">
            <w:pPr>
              <w:jc w:val="center"/>
              <w:rPr>
                <w:rFonts w:ascii="Times New Roman" w:hAnsi="Times New Roman"/>
                <w:lang w:eastAsia="ko-KR"/>
              </w:rPr>
            </w:pPr>
          </w:p>
        </w:tc>
      </w:tr>
      <w:tr w:rsidR="00DA554C" w:rsidRPr="00DA554C" w14:paraId="419A854D"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CBA64B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5B71A2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Owners Corporations Act 2006</w:t>
            </w:r>
            <w:r w:rsidRPr="00DA554C">
              <w:rPr>
                <w:rFonts w:ascii="Arial" w:hAnsi="Arial" w:cs="Arial"/>
                <w:color w:val="000000"/>
                <w:sz w:val="18"/>
                <w:szCs w:val="18"/>
                <w:lang w:eastAsia="ko-KR"/>
              </w:rPr>
              <w:t>, section 191</w:t>
            </w:r>
          </w:p>
        </w:tc>
        <w:tc>
          <w:tcPr>
            <w:tcW w:w="521" w:type="pct"/>
            <w:tcBorders>
              <w:top w:val="nil"/>
              <w:left w:val="single" w:sz="4" w:space="0" w:color="auto"/>
              <w:bottom w:val="nil"/>
              <w:right w:val="nil"/>
            </w:tcBorders>
            <w:vAlign w:val="center"/>
            <w:hideMark/>
          </w:tcPr>
          <w:p w14:paraId="4C72F0D5"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08DEAB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F72C920" w14:textId="77777777" w:rsidR="00DA554C" w:rsidRPr="00DA554C" w:rsidRDefault="00DA554C" w:rsidP="00DA554C">
            <w:pPr>
              <w:jc w:val="center"/>
              <w:rPr>
                <w:rFonts w:ascii="Times New Roman" w:hAnsi="Times New Roman"/>
                <w:lang w:eastAsia="ko-KR"/>
              </w:rPr>
            </w:pPr>
          </w:p>
        </w:tc>
      </w:tr>
      <w:tr w:rsidR="00DA554C" w:rsidRPr="00DA554C" w14:paraId="2A0D114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FF8A90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lastRenderedPageBreak/>
              <w:t xml:space="preserve"> </w:t>
            </w:r>
          </w:p>
        </w:tc>
        <w:tc>
          <w:tcPr>
            <w:tcW w:w="3052" w:type="pct"/>
            <w:tcBorders>
              <w:top w:val="nil"/>
              <w:left w:val="nil"/>
              <w:bottom w:val="nil"/>
              <w:right w:val="nil"/>
            </w:tcBorders>
            <w:vAlign w:val="center"/>
            <w:hideMark/>
          </w:tcPr>
          <w:p w14:paraId="617A1589"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Parliamentary Salaries and Superannuation Act 1968</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2399235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4EE13D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C7B8793" w14:textId="77777777" w:rsidR="00DA554C" w:rsidRPr="00DA554C" w:rsidRDefault="00DA554C" w:rsidP="00DA554C">
            <w:pPr>
              <w:jc w:val="center"/>
              <w:rPr>
                <w:rFonts w:ascii="Times New Roman" w:hAnsi="Times New Roman"/>
                <w:lang w:eastAsia="ko-KR"/>
              </w:rPr>
            </w:pPr>
          </w:p>
        </w:tc>
      </w:tr>
      <w:tr w:rsidR="00DA554C" w:rsidRPr="00DA554C" w14:paraId="35AF8996"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25BD86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889056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Pharmacy Regulation Act 2010</w:t>
            </w:r>
            <w:r w:rsidRPr="00DA554C">
              <w:rPr>
                <w:rFonts w:ascii="Arial" w:hAnsi="Arial" w:cs="Arial"/>
                <w:color w:val="000000"/>
                <w:sz w:val="18"/>
                <w:szCs w:val="18"/>
                <w:lang w:eastAsia="ko-KR"/>
              </w:rPr>
              <w:t>,</w:t>
            </w:r>
            <w:r w:rsidRPr="00DA554C">
              <w:rPr>
                <w:rFonts w:ascii="Arial" w:hAnsi="Arial" w:cs="Arial"/>
                <w:b/>
                <w:bCs/>
                <w:color w:val="000000"/>
                <w:sz w:val="18"/>
                <w:szCs w:val="18"/>
                <w:lang w:eastAsia="ko-KR"/>
              </w:rPr>
              <w:t xml:space="preserve"> </w:t>
            </w:r>
            <w:r w:rsidRPr="00DA554C">
              <w:rPr>
                <w:rFonts w:ascii="Arial" w:hAnsi="Arial" w:cs="Arial"/>
                <w:color w:val="000000"/>
                <w:sz w:val="18"/>
                <w:szCs w:val="18"/>
                <w:lang w:eastAsia="ko-KR"/>
              </w:rPr>
              <w:t xml:space="preserve">section 62 </w:t>
            </w:r>
          </w:p>
        </w:tc>
        <w:tc>
          <w:tcPr>
            <w:tcW w:w="521" w:type="pct"/>
            <w:tcBorders>
              <w:top w:val="nil"/>
              <w:left w:val="single" w:sz="4" w:space="0" w:color="auto"/>
              <w:bottom w:val="nil"/>
              <w:right w:val="nil"/>
            </w:tcBorders>
            <w:vAlign w:val="center"/>
            <w:hideMark/>
          </w:tcPr>
          <w:p w14:paraId="2BA176D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C5A07C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4EA258E" w14:textId="77777777" w:rsidR="00DA554C" w:rsidRPr="00DA554C" w:rsidRDefault="00DA554C" w:rsidP="00DA554C">
            <w:pPr>
              <w:jc w:val="center"/>
              <w:rPr>
                <w:rFonts w:ascii="Times New Roman" w:hAnsi="Times New Roman"/>
                <w:lang w:eastAsia="ko-KR"/>
              </w:rPr>
            </w:pPr>
          </w:p>
        </w:tc>
      </w:tr>
      <w:tr w:rsidR="00DA554C" w:rsidRPr="00DA554C" w14:paraId="440152A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A3E008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7A72E5C"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Pipelines Act 2005</w:t>
            </w:r>
            <w:r w:rsidRPr="00DA554C">
              <w:rPr>
                <w:rFonts w:ascii="Arial" w:hAnsi="Arial" w:cs="Arial"/>
                <w:color w:val="000000"/>
                <w:sz w:val="18"/>
                <w:szCs w:val="18"/>
                <w:lang w:eastAsia="ko-KR"/>
              </w:rPr>
              <w:t xml:space="preserve">, sections 64, 83 and 182 </w:t>
            </w:r>
          </w:p>
        </w:tc>
        <w:tc>
          <w:tcPr>
            <w:tcW w:w="521" w:type="pct"/>
            <w:tcBorders>
              <w:top w:val="nil"/>
              <w:left w:val="single" w:sz="4" w:space="0" w:color="auto"/>
              <w:bottom w:val="nil"/>
              <w:right w:val="nil"/>
            </w:tcBorders>
            <w:vAlign w:val="center"/>
            <w:hideMark/>
          </w:tcPr>
          <w:p w14:paraId="53AA47C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6916F2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461B8F4" w14:textId="77777777" w:rsidR="00DA554C" w:rsidRPr="00DA554C" w:rsidRDefault="00DA554C" w:rsidP="00DA554C">
            <w:pPr>
              <w:jc w:val="center"/>
              <w:rPr>
                <w:rFonts w:ascii="Times New Roman" w:hAnsi="Times New Roman"/>
                <w:lang w:eastAsia="ko-KR"/>
              </w:rPr>
            </w:pPr>
          </w:p>
        </w:tc>
      </w:tr>
      <w:tr w:rsidR="00DA554C" w:rsidRPr="00DA554C" w14:paraId="7BD653CB"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1CD1E6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514E6D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Prevention of Cruelty to Animals Act 1986</w:t>
            </w:r>
            <w:r w:rsidRPr="00DA554C">
              <w:rPr>
                <w:rFonts w:ascii="Arial" w:hAnsi="Arial" w:cs="Arial"/>
                <w:color w:val="000000"/>
                <w:sz w:val="18"/>
                <w:szCs w:val="18"/>
                <w:lang w:eastAsia="ko-KR"/>
              </w:rPr>
              <w:t xml:space="preserve">, section 33 </w:t>
            </w:r>
          </w:p>
        </w:tc>
        <w:tc>
          <w:tcPr>
            <w:tcW w:w="521" w:type="pct"/>
            <w:tcBorders>
              <w:top w:val="nil"/>
              <w:left w:val="single" w:sz="4" w:space="0" w:color="auto"/>
              <w:bottom w:val="nil"/>
              <w:right w:val="nil"/>
            </w:tcBorders>
            <w:vAlign w:val="center"/>
            <w:hideMark/>
          </w:tcPr>
          <w:p w14:paraId="7DE84BC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3B0E0D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3ADC11D" w14:textId="77777777" w:rsidR="00DA554C" w:rsidRPr="00DA554C" w:rsidRDefault="00DA554C" w:rsidP="00DA554C">
            <w:pPr>
              <w:jc w:val="center"/>
              <w:rPr>
                <w:rFonts w:ascii="Times New Roman" w:hAnsi="Times New Roman"/>
                <w:lang w:eastAsia="ko-KR"/>
              </w:rPr>
            </w:pPr>
          </w:p>
        </w:tc>
      </w:tr>
      <w:tr w:rsidR="00DA554C" w:rsidRPr="00DA554C" w14:paraId="0587E91B"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8597FE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C8D26DF"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Private Security Act 2004</w:t>
            </w:r>
            <w:r w:rsidRPr="00DA554C">
              <w:rPr>
                <w:rFonts w:ascii="Arial" w:hAnsi="Arial" w:cs="Arial"/>
                <w:color w:val="000000"/>
                <w:sz w:val="18"/>
                <w:szCs w:val="18"/>
                <w:lang w:eastAsia="ko-KR"/>
              </w:rPr>
              <w:t>, Part 7</w:t>
            </w:r>
          </w:p>
        </w:tc>
        <w:tc>
          <w:tcPr>
            <w:tcW w:w="521" w:type="pct"/>
            <w:tcBorders>
              <w:top w:val="nil"/>
              <w:left w:val="single" w:sz="4" w:space="0" w:color="auto"/>
              <w:bottom w:val="nil"/>
              <w:right w:val="nil"/>
            </w:tcBorders>
            <w:vAlign w:val="center"/>
            <w:hideMark/>
          </w:tcPr>
          <w:p w14:paraId="5E19244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592C8B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B2BAC8F" w14:textId="77777777" w:rsidR="00DA554C" w:rsidRPr="00DA554C" w:rsidRDefault="00DA554C" w:rsidP="00DA554C">
            <w:pPr>
              <w:jc w:val="center"/>
              <w:rPr>
                <w:rFonts w:ascii="Times New Roman" w:hAnsi="Times New Roman"/>
                <w:lang w:eastAsia="ko-KR"/>
              </w:rPr>
            </w:pPr>
          </w:p>
        </w:tc>
      </w:tr>
      <w:tr w:rsidR="00DA554C" w:rsidRPr="00DA554C" w14:paraId="5A25C0D6"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A066DB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3AC45E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Professional Boxing and Combat Sports Act 1985</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33024D6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A60B2A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AB26DA8" w14:textId="77777777" w:rsidR="00DA554C" w:rsidRPr="00DA554C" w:rsidRDefault="00DA554C" w:rsidP="00DA554C">
            <w:pPr>
              <w:jc w:val="center"/>
              <w:rPr>
                <w:rFonts w:ascii="Times New Roman" w:hAnsi="Times New Roman"/>
                <w:lang w:eastAsia="ko-KR"/>
              </w:rPr>
            </w:pPr>
          </w:p>
        </w:tc>
      </w:tr>
      <w:tr w:rsidR="00DA554C" w:rsidRPr="00DA554C" w14:paraId="5D36692F"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7563C6C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FCDB5DC"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Professional Engineers Registration Act 2019</w:t>
            </w:r>
          </w:p>
        </w:tc>
        <w:tc>
          <w:tcPr>
            <w:tcW w:w="521" w:type="pct"/>
            <w:tcBorders>
              <w:top w:val="nil"/>
              <w:left w:val="single" w:sz="4" w:space="0" w:color="auto"/>
              <w:bottom w:val="nil"/>
              <w:right w:val="nil"/>
            </w:tcBorders>
            <w:vAlign w:val="center"/>
            <w:hideMark/>
          </w:tcPr>
          <w:p w14:paraId="61C66C3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43396F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A34232E" w14:textId="77777777" w:rsidR="00DA554C" w:rsidRPr="00DA554C" w:rsidRDefault="00DA554C" w:rsidP="00DA554C">
            <w:pPr>
              <w:jc w:val="center"/>
              <w:rPr>
                <w:rFonts w:ascii="Times New Roman" w:hAnsi="Times New Roman"/>
                <w:lang w:eastAsia="ko-KR"/>
              </w:rPr>
            </w:pPr>
          </w:p>
        </w:tc>
      </w:tr>
      <w:tr w:rsidR="00DA554C" w:rsidRPr="00DA554C" w14:paraId="1F883988"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B6E293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C30B1A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Property Law Act 1958</w:t>
            </w:r>
            <w:r w:rsidRPr="00DA554C">
              <w:rPr>
                <w:rFonts w:ascii="Arial" w:hAnsi="Arial" w:cs="Arial"/>
                <w:color w:val="000000"/>
                <w:sz w:val="18"/>
                <w:szCs w:val="18"/>
                <w:lang w:eastAsia="ko-KR"/>
              </w:rPr>
              <w:t>, Part IV</w:t>
            </w:r>
          </w:p>
        </w:tc>
        <w:tc>
          <w:tcPr>
            <w:tcW w:w="521" w:type="pct"/>
            <w:tcBorders>
              <w:top w:val="nil"/>
              <w:left w:val="single" w:sz="4" w:space="0" w:color="auto"/>
              <w:bottom w:val="nil"/>
              <w:right w:val="nil"/>
            </w:tcBorders>
            <w:vAlign w:val="center"/>
            <w:hideMark/>
          </w:tcPr>
          <w:p w14:paraId="131AFDE7"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D8B31E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00734FA" w14:textId="77777777" w:rsidR="00DA554C" w:rsidRPr="00DA554C" w:rsidRDefault="00DA554C" w:rsidP="00DA554C">
            <w:pPr>
              <w:jc w:val="center"/>
              <w:rPr>
                <w:rFonts w:ascii="Times New Roman" w:hAnsi="Times New Roman"/>
                <w:lang w:eastAsia="ko-KR"/>
              </w:rPr>
            </w:pPr>
          </w:p>
        </w:tc>
      </w:tr>
      <w:tr w:rsidR="00DA554C" w:rsidRPr="00DA554C" w14:paraId="32FB46C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813E0A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D9E8D7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Public Health and Wellbeing Act 2008</w:t>
            </w:r>
            <w:r w:rsidRPr="00DA554C">
              <w:rPr>
                <w:rFonts w:ascii="Arial" w:hAnsi="Arial" w:cs="Arial"/>
                <w:color w:val="000000"/>
                <w:sz w:val="18"/>
                <w:szCs w:val="18"/>
                <w:lang w:eastAsia="ko-KR"/>
              </w:rPr>
              <w:t>, section 207</w:t>
            </w:r>
          </w:p>
        </w:tc>
        <w:tc>
          <w:tcPr>
            <w:tcW w:w="521" w:type="pct"/>
            <w:tcBorders>
              <w:top w:val="nil"/>
              <w:left w:val="single" w:sz="4" w:space="0" w:color="auto"/>
              <w:bottom w:val="nil"/>
              <w:right w:val="nil"/>
            </w:tcBorders>
            <w:vAlign w:val="center"/>
            <w:hideMark/>
          </w:tcPr>
          <w:p w14:paraId="06A5A81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C2DFAA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AF5CE62" w14:textId="77777777" w:rsidR="00DA554C" w:rsidRPr="00DA554C" w:rsidRDefault="00DA554C" w:rsidP="00DA554C">
            <w:pPr>
              <w:jc w:val="center"/>
              <w:rPr>
                <w:rFonts w:ascii="Times New Roman" w:hAnsi="Times New Roman"/>
                <w:lang w:eastAsia="ko-KR"/>
              </w:rPr>
            </w:pPr>
          </w:p>
        </w:tc>
      </w:tr>
      <w:tr w:rsidR="00DA554C" w:rsidRPr="00DA554C" w14:paraId="57FAF734"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CD78E4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479D392"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Racing Act 1958</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70B64E18"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CDEE88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E8C508D" w14:textId="77777777" w:rsidR="00DA554C" w:rsidRPr="00DA554C" w:rsidRDefault="00DA554C" w:rsidP="00DA554C">
            <w:pPr>
              <w:jc w:val="center"/>
              <w:rPr>
                <w:rFonts w:ascii="Times New Roman" w:hAnsi="Times New Roman"/>
                <w:lang w:eastAsia="ko-KR"/>
              </w:rPr>
            </w:pPr>
          </w:p>
        </w:tc>
      </w:tr>
      <w:tr w:rsidR="00DA554C" w:rsidRPr="00DA554C" w14:paraId="532933E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1EA78C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B276F6A"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Rail Safety National Law (Victoria)</w:t>
            </w:r>
          </w:p>
        </w:tc>
        <w:tc>
          <w:tcPr>
            <w:tcW w:w="521" w:type="pct"/>
            <w:tcBorders>
              <w:top w:val="nil"/>
              <w:left w:val="single" w:sz="4" w:space="0" w:color="auto"/>
              <w:bottom w:val="nil"/>
              <w:right w:val="nil"/>
            </w:tcBorders>
            <w:vAlign w:val="center"/>
            <w:hideMark/>
          </w:tcPr>
          <w:p w14:paraId="22E9ED2E"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033CD5F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FE9B09C" w14:textId="77777777" w:rsidR="00DA554C" w:rsidRPr="00DA554C" w:rsidRDefault="00DA554C" w:rsidP="00DA554C">
            <w:pPr>
              <w:jc w:val="center"/>
              <w:rPr>
                <w:rFonts w:ascii="Times New Roman" w:hAnsi="Times New Roman"/>
                <w:lang w:eastAsia="ko-KR"/>
              </w:rPr>
            </w:pPr>
          </w:p>
        </w:tc>
      </w:tr>
      <w:tr w:rsidR="00DA554C" w:rsidRPr="00DA554C" w14:paraId="2681FED4"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EB81C1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81AD15C"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Relationships Act 2008</w:t>
            </w:r>
            <w:r w:rsidRPr="00DA554C">
              <w:rPr>
                <w:rFonts w:ascii="Arial" w:hAnsi="Arial" w:cs="Arial"/>
                <w:color w:val="000000"/>
                <w:sz w:val="18"/>
                <w:szCs w:val="18"/>
                <w:lang w:eastAsia="ko-KR"/>
              </w:rPr>
              <w:t>, Part 2.4</w:t>
            </w:r>
          </w:p>
        </w:tc>
        <w:tc>
          <w:tcPr>
            <w:tcW w:w="521" w:type="pct"/>
            <w:tcBorders>
              <w:top w:val="nil"/>
              <w:left w:val="single" w:sz="4" w:space="0" w:color="auto"/>
              <w:bottom w:val="nil"/>
              <w:right w:val="nil"/>
            </w:tcBorders>
            <w:vAlign w:val="center"/>
            <w:hideMark/>
          </w:tcPr>
          <w:p w14:paraId="27DE8E04"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FFAEFE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8D1DFC2" w14:textId="77777777" w:rsidR="00DA554C" w:rsidRPr="00DA554C" w:rsidRDefault="00DA554C" w:rsidP="00DA554C">
            <w:pPr>
              <w:jc w:val="center"/>
              <w:rPr>
                <w:rFonts w:ascii="Times New Roman" w:hAnsi="Times New Roman"/>
                <w:lang w:eastAsia="ko-KR"/>
              </w:rPr>
            </w:pPr>
          </w:p>
        </w:tc>
      </w:tr>
      <w:tr w:rsidR="00DA554C" w:rsidRPr="00DA554C" w14:paraId="789E1CF0"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419CD7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CEC9F94"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Road Management Act 2004</w:t>
            </w:r>
          </w:p>
        </w:tc>
        <w:tc>
          <w:tcPr>
            <w:tcW w:w="521" w:type="pct"/>
            <w:tcBorders>
              <w:top w:val="nil"/>
              <w:left w:val="single" w:sz="4" w:space="0" w:color="auto"/>
              <w:bottom w:val="nil"/>
              <w:right w:val="nil"/>
            </w:tcBorders>
            <w:vAlign w:val="center"/>
            <w:hideMark/>
          </w:tcPr>
          <w:p w14:paraId="2CB2DDF0"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4F90C9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165C75D" w14:textId="77777777" w:rsidR="00DA554C" w:rsidRPr="00DA554C" w:rsidRDefault="00DA554C" w:rsidP="00DA554C">
            <w:pPr>
              <w:jc w:val="center"/>
              <w:rPr>
                <w:rFonts w:ascii="Times New Roman" w:hAnsi="Times New Roman"/>
                <w:lang w:eastAsia="ko-KR"/>
              </w:rPr>
            </w:pPr>
          </w:p>
        </w:tc>
      </w:tr>
      <w:tr w:rsidR="00DA554C" w:rsidRPr="00DA554C" w14:paraId="7FC5346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4C9217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314C871"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Road Management (General) Regulations 2016</w:t>
            </w:r>
          </w:p>
        </w:tc>
        <w:tc>
          <w:tcPr>
            <w:tcW w:w="521" w:type="pct"/>
            <w:tcBorders>
              <w:top w:val="nil"/>
              <w:left w:val="single" w:sz="4" w:space="0" w:color="auto"/>
              <w:bottom w:val="nil"/>
              <w:right w:val="nil"/>
            </w:tcBorders>
            <w:vAlign w:val="center"/>
            <w:hideMark/>
          </w:tcPr>
          <w:p w14:paraId="1F5A491B"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65B3512C"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B3DDFF3" w14:textId="77777777" w:rsidR="00DA554C" w:rsidRPr="00DA554C" w:rsidRDefault="00DA554C" w:rsidP="00DA554C">
            <w:pPr>
              <w:jc w:val="center"/>
              <w:rPr>
                <w:rFonts w:ascii="Times New Roman" w:hAnsi="Times New Roman"/>
                <w:lang w:eastAsia="ko-KR"/>
              </w:rPr>
            </w:pPr>
          </w:p>
        </w:tc>
      </w:tr>
      <w:tr w:rsidR="00DA554C" w:rsidRPr="00DA554C" w14:paraId="1831B390"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B777BE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1D920C3"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Road Safety Act 1986</w:t>
            </w:r>
          </w:p>
        </w:tc>
        <w:tc>
          <w:tcPr>
            <w:tcW w:w="521" w:type="pct"/>
            <w:tcBorders>
              <w:top w:val="nil"/>
              <w:left w:val="single" w:sz="4" w:space="0" w:color="auto"/>
              <w:bottom w:val="nil"/>
              <w:right w:val="nil"/>
            </w:tcBorders>
            <w:vAlign w:val="center"/>
            <w:hideMark/>
          </w:tcPr>
          <w:p w14:paraId="41CABC7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9AE1DF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7BF7D2B" w14:textId="77777777" w:rsidR="00DA554C" w:rsidRPr="00DA554C" w:rsidRDefault="00DA554C" w:rsidP="00DA554C">
            <w:pPr>
              <w:jc w:val="center"/>
              <w:rPr>
                <w:rFonts w:ascii="Times New Roman" w:hAnsi="Times New Roman"/>
                <w:lang w:eastAsia="ko-KR"/>
              </w:rPr>
            </w:pPr>
          </w:p>
        </w:tc>
      </w:tr>
      <w:tr w:rsidR="00DA554C" w:rsidRPr="00DA554C" w14:paraId="6FA285E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5C2661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DD364D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Seafood Safety Act 2003</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41D02F7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ABA049B"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D4F8B5E" w14:textId="77777777" w:rsidR="00DA554C" w:rsidRPr="00DA554C" w:rsidRDefault="00DA554C" w:rsidP="00DA554C">
            <w:pPr>
              <w:jc w:val="center"/>
              <w:rPr>
                <w:rFonts w:ascii="Times New Roman" w:hAnsi="Times New Roman"/>
                <w:lang w:eastAsia="ko-KR"/>
              </w:rPr>
            </w:pPr>
          </w:p>
        </w:tc>
      </w:tr>
      <w:tr w:rsidR="00DA554C" w:rsidRPr="00DA554C" w14:paraId="4023387E"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8F84A1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83EED01"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Second-Hand Dealers and Pawnbrokers Act 1989</w:t>
            </w:r>
            <w:r w:rsidRPr="00DA554C">
              <w:rPr>
                <w:rFonts w:ascii="Arial" w:hAnsi="Arial" w:cs="Arial"/>
                <w:color w:val="000000"/>
                <w:sz w:val="18"/>
                <w:szCs w:val="18"/>
                <w:lang w:eastAsia="ko-KR"/>
              </w:rPr>
              <w:t>, sections 9B, 14 and 18A</w:t>
            </w:r>
          </w:p>
        </w:tc>
        <w:tc>
          <w:tcPr>
            <w:tcW w:w="521" w:type="pct"/>
            <w:tcBorders>
              <w:top w:val="nil"/>
              <w:left w:val="single" w:sz="4" w:space="0" w:color="auto"/>
              <w:bottom w:val="nil"/>
              <w:right w:val="nil"/>
            </w:tcBorders>
            <w:vAlign w:val="center"/>
            <w:hideMark/>
          </w:tcPr>
          <w:p w14:paraId="2117365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28CDF4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15DA22C" w14:textId="77777777" w:rsidR="00DA554C" w:rsidRPr="00DA554C" w:rsidRDefault="00DA554C" w:rsidP="00DA554C">
            <w:pPr>
              <w:jc w:val="center"/>
              <w:rPr>
                <w:rFonts w:ascii="Times New Roman" w:hAnsi="Times New Roman"/>
                <w:lang w:eastAsia="ko-KR"/>
              </w:rPr>
            </w:pPr>
          </w:p>
        </w:tc>
      </w:tr>
      <w:tr w:rsidR="00DA554C" w:rsidRPr="00DA554C" w14:paraId="1A96380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23B10B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EFC24C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Sentencing Act 1991</w:t>
            </w:r>
            <w:r w:rsidRPr="00DA554C">
              <w:rPr>
                <w:rFonts w:ascii="Arial" w:hAnsi="Arial" w:cs="Arial"/>
                <w:color w:val="000000"/>
                <w:sz w:val="18"/>
                <w:szCs w:val="18"/>
                <w:lang w:eastAsia="ko-KR"/>
              </w:rPr>
              <w:t>, section 105L</w:t>
            </w:r>
          </w:p>
        </w:tc>
        <w:tc>
          <w:tcPr>
            <w:tcW w:w="521" w:type="pct"/>
            <w:tcBorders>
              <w:top w:val="nil"/>
              <w:left w:val="single" w:sz="4" w:space="0" w:color="auto"/>
              <w:bottom w:val="nil"/>
              <w:right w:val="nil"/>
            </w:tcBorders>
            <w:vAlign w:val="center"/>
            <w:hideMark/>
          </w:tcPr>
          <w:p w14:paraId="3A1ABA68"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E6E0DC3"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F12AD7B" w14:textId="77777777" w:rsidR="00DA554C" w:rsidRPr="00DA554C" w:rsidRDefault="00DA554C" w:rsidP="00DA554C">
            <w:pPr>
              <w:jc w:val="center"/>
              <w:rPr>
                <w:rFonts w:ascii="Times New Roman" w:hAnsi="Times New Roman"/>
                <w:lang w:eastAsia="ko-KR"/>
              </w:rPr>
            </w:pPr>
          </w:p>
        </w:tc>
      </w:tr>
      <w:tr w:rsidR="00DA554C" w:rsidRPr="00DA554C" w14:paraId="2EAB3C8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FEF3C8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7F2E448"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Small Business Commission Act 2017</w:t>
            </w:r>
            <w:r w:rsidRPr="00DA554C">
              <w:rPr>
                <w:rFonts w:ascii="Arial" w:hAnsi="Arial" w:cs="Arial"/>
                <w:color w:val="000000"/>
                <w:sz w:val="18"/>
                <w:szCs w:val="18"/>
                <w:lang w:eastAsia="ko-KR"/>
              </w:rPr>
              <w:t>,</w:t>
            </w:r>
            <w:r w:rsidRPr="00DA554C">
              <w:rPr>
                <w:rFonts w:ascii="Arial" w:hAnsi="Arial" w:cs="Arial"/>
                <w:b/>
                <w:bCs/>
                <w:color w:val="000000"/>
                <w:sz w:val="18"/>
                <w:szCs w:val="18"/>
                <w:lang w:eastAsia="ko-KR"/>
              </w:rPr>
              <w:t xml:space="preserve"> </w:t>
            </w:r>
            <w:r w:rsidRPr="00DA554C">
              <w:rPr>
                <w:rFonts w:ascii="Arial" w:hAnsi="Arial" w:cs="Arial"/>
                <w:color w:val="000000"/>
                <w:sz w:val="18"/>
                <w:szCs w:val="18"/>
                <w:lang w:eastAsia="ko-KR"/>
              </w:rPr>
              <w:t>section 13</w:t>
            </w:r>
          </w:p>
        </w:tc>
        <w:tc>
          <w:tcPr>
            <w:tcW w:w="521" w:type="pct"/>
            <w:tcBorders>
              <w:top w:val="nil"/>
              <w:left w:val="single" w:sz="4" w:space="0" w:color="auto"/>
              <w:bottom w:val="nil"/>
              <w:right w:val="nil"/>
            </w:tcBorders>
            <w:vAlign w:val="center"/>
            <w:hideMark/>
          </w:tcPr>
          <w:p w14:paraId="6C2C900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49EF9C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1E1CE11" w14:textId="77777777" w:rsidR="00DA554C" w:rsidRPr="00DA554C" w:rsidRDefault="00DA554C" w:rsidP="00DA554C">
            <w:pPr>
              <w:jc w:val="center"/>
              <w:rPr>
                <w:rFonts w:ascii="Times New Roman" w:hAnsi="Times New Roman"/>
                <w:lang w:eastAsia="ko-KR"/>
              </w:rPr>
            </w:pPr>
          </w:p>
        </w:tc>
      </w:tr>
      <w:tr w:rsidR="00DA554C" w:rsidRPr="00DA554C" w14:paraId="16F465B8"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7A3E563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47E854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State Employees Retirement Benefits Act 1979</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44CAB91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02BCD8C"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B79490E" w14:textId="77777777" w:rsidR="00DA554C" w:rsidRPr="00DA554C" w:rsidRDefault="00DA554C" w:rsidP="00DA554C">
            <w:pPr>
              <w:jc w:val="center"/>
              <w:rPr>
                <w:rFonts w:ascii="Times New Roman" w:hAnsi="Times New Roman"/>
                <w:lang w:eastAsia="ko-KR"/>
              </w:rPr>
            </w:pPr>
          </w:p>
        </w:tc>
      </w:tr>
      <w:tr w:rsidR="00DA554C" w:rsidRPr="00DA554C" w14:paraId="6091E8DB"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38EF103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64D2B8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State Superannuation Act 1988</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198B99F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B9E238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CC58527" w14:textId="77777777" w:rsidR="00DA554C" w:rsidRPr="00DA554C" w:rsidRDefault="00DA554C" w:rsidP="00DA554C">
            <w:pPr>
              <w:jc w:val="center"/>
              <w:rPr>
                <w:rFonts w:ascii="Times New Roman" w:hAnsi="Times New Roman"/>
                <w:lang w:eastAsia="ko-KR"/>
              </w:rPr>
            </w:pPr>
          </w:p>
        </w:tc>
      </w:tr>
      <w:tr w:rsidR="00DA554C" w:rsidRPr="00DA554C" w14:paraId="1946FD8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89F028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731079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Superannuation (Portability) Act 1989</w:t>
            </w:r>
          </w:p>
        </w:tc>
        <w:tc>
          <w:tcPr>
            <w:tcW w:w="521" w:type="pct"/>
            <w:tcBorders>
              <w:top w:val="nil"/>
              <w:left w:val="single" w:sz="4" w:space="0" w:color="auto"/>
              <w:bottom w:val="nil"/>
              <w:right w:val="nil"/>
            </w:tcBorders>
            <w:vAlign w:val="center"/>
            <w:hideMark/>
          </w:tcPr>
          <w:p w14:paraId="5EFD83D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EB8F58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8B0FF82" w14:textId="77777777" w:rsidR="00DA554C" w:rsidRPr="00DA554C" w:rsidRDefault="00DA554C" w:rsidP="00DA554C">
            <w:pPr>
              <w:jc w:val="center"/>
              <w:rPr>
                <w:rFonts w:ascii="Times New Roman" w:hAnsi="Times New Roman"/>
                <w:lang w:eastAsia="ko-KR"/>
              </w:rPr>
            </w:pPr>
          </w:p>
        </w:tc>
      </w:tr>
      <w:tr w:rsidR="00DA554C" w:rsidRPr="00DA554C" w14:paraId="415826F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3794C6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F75113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Social Services Regulation Act 2021</w:t>
            </w:r>
            <w:r w:rsidRPr="00DA554C">
              <w:rPr>
                <w:rFonts w:ascii="Arial" w:hAnsi="Arial" w:cs="Arial"/>
                <w:color w:val="000000"/>
                <w:sz w:val="18"/>
                <w:szCs w:val="18"/>
                <w:lang w:eastAsia="ko-KR"/>
              </w:rPr>
              <w:t xml:space="preserve">, section 291 </w:t>
            </w:r>
          </w:p>
        </w:tc>
        <w:tc>
          <w:tcPr>
            <w:tcW w:w="521" w:type="pct"/>
            <w:tcBorders>
              <w:top w:val="nil"/>
              <w:left w:val="single" w:sz="4" w:space="0" w:color="auto"/>
              <w:bottom w:val="nil"/>
              <w:right w:val="nil"/>
            </w:tcBorders>
            <w:vAlign w:val="center"/>
            <w:hideMark/>
          </w:tcPr>
          <w:p w14:paraId="79233AB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791159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3F60CDB" w14:textId="77777777" w:rsidR="00DA554C" w:rsidRPr="00DA554C" w:rsidRDefault="00DA554C" w:rsidP="00DA554C">
            <w:pPr>
              <w:jc w:val="center"/>
              <w:rPr>
                <w:rFonts w:ascii="Times New Roman" w:hAnsi="Times New Roman"/>
                <w:lang w:eastAsia="ko-KR"/>
              </w:rPr>
            </w:pPr>
          </w:p>
        </w:tc>
      </w:tr>
      <w:tr w:rsidR="00DA554C" w:rsidRPr="00DA554C" w14:paraId="116BACAF"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DDACF4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E4ECDE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Surveying Act 2004</w:t>
            </w:r>
            <w:r w:rsidRPr="00DA554C">
              <w:rPr>
                <w:rFonts w:ascii="Arial" w:hAnsi="Arial" w:cs="Arial"/>
                <w:color w:val="000000"/>
                <w:sz w:val="18"/>
                <w:szCs w:val="18"/>
                <w:lang w:eastAsia="ko-KR"/>
              </w:rPr>
              <w:t>, section 33</w:t>
            </w:r>
          </w:p>
        </w:tc>
        <w:tc>
          <w:tcPr>
            <w:tcW w:w="521" w:type="pct"/>
            <w:tcBorders>
              <w:top w:val="nil"/>
              <w:left w:val="single" w:sz="4" w:space="0" w:color="auto"/>
              <w:bottom w:val="nil"/>
              <w:right w:val="nil"/>
            </w:tcBorders>
            <w:vAlign w:val="center"/>
            <w:hideMark/>
          </w:tcPr>
          <w:p w14:paraId="303EF61C"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A74512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B5971B2" w14:textId="77777777" w:rsidR="00DA554C" w:rsidRPr="00DA554C" w:rsidRDefault="00DA554C" w:rsidP="00DA554C">
            <w:pPr>
              <w:jc w:val="center"/>
              <w:rPr>
                <w:rFonts w:ascii="Times New Roman" w:hAnsi="Times New Roman"/>
                <w:lang w:eastAsia="ko-KR"/>
              </w:rPr>
            </w:pPr>
          </w:p>
        </w:tc>
      </w:tr>
      <w:tr w:rsidR="00DA554C" w:rsidRPr="00DA554C" w14:paraId="43BAC3F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ACC621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DDB956C"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taxing Act</w:t>
            </w:r>
          </w:p>
        </w:tc>
        <w:tc>
          <w:tcPr>
            <w:tcW w:w="521" w:type="pct"/>
            <w:tcBorders>
              <w:top w:val="nil"/>
              <w:left w:val="single" w:sz="4" w:space="0" w:color="auto"/>
              <w:bottom w:val="nil"/>
              <w:right w:val="nil"/>
            </w:tcBorders>
            <w:vAlign w:val="center"/>
            <w:hideMark/>
          </w:tcPr>
          <w:p w14:paraId="2C002953"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1D3E2DDF"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57279E2" w14:textId="77777777" w:rsidR="00DA554C" w:rsidRPr="00DA554C" w:rsidRDefault="00DA554C" w:rsidP="00DA554C">
            <w:pPr>
              <w:jc w:val="center"/>
              <w:rPr>
                <w:rFonts w:ascii="Times New Roman" w:hAnsi="Times New Roman"/>
                <w:lang w:eastAsia="ko-KR"/>
              </w:rPr>
            </w:pPr>
          </w:p>
        </w:tc>
      </w:tr>
      <w:tr w:rsidR="00DA554C" w:rsidRPr="00DA554C" w14:paraId="0C0E516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6EFBE3A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5059FF4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Therapeutic Goods (Victoria) Act 2010</w:t>
            </w:r>
            <w:r w:rsidRPr="00DA554C">
              <w:rPr>
                <w:rFonts w:ascii="Arial" w:hAnsi="Arial" w:cs="Arial"/>
                <w:color w:val="000000"/>
                <w:sz w:val="18"/>
                <w:szCs w:val="18"/>
                <w:lang w:eastAsia="ko-KR"/>
              </w:rPr>
              <w:t>, section 30</w:t>
            </w:r>
          </w:p>
        </w:tc>
        <w:tc>
          <w:tcPr>
            <w:tcW w:w="521" w:type="pct"/>
            <w:tcBorders>
              <w:top w:val="nil"/>
              <w:left w:val="single" w:sz="4" w:space="0" w:color="auto"/>
              <w:bottom w:val="nil"/>
              <w:right w:val="nil"/>
            </w:tcBorders>
            <w:vAlign w:val="center"/>
            <w:hideMark/>
          </w:tcPr>
          <w:p w14:paraId="27A2E67D"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F711CE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16DCAEB" w14:textId="77777777" w:rsidR="00DA554C" w:rsidRPr="00DA554C" w:rsidRDefault="00DA554C" w:rsidP="00DA554C">
            <w:pPr>
              <w:jc w:val="center"/>
              <w:rPr>
                <w:rFonts w:ascii="Times New Roman" w:hAnsi="Times New Roman"/>
                <w:lang w:eastAsia="ko-KR"/>
              </w:rPr>
            </w:pPr>
          </w:p>
        </w:tc>
      </w:tr>
      <w:tr w:rsidR="00DA554C" w:rsidRPr="00DA554C" w14:paraId="2457A2D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C564A9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579539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Transport Accident Act 1986</w:t>
            </w:r>
          </w:p>
        </w:tc>
        <w:tc>
          <w:tcPr>
            <w:tcW w:w="521" w:type="pct"/>
            <w:tcBorders>
              <w:top w:val="nil"/>
              <w:left w:val="single" w:sz="4" w:space="0" w:color="auto"/>
              <w:bottom w:val="nil"/>
              <w:right w:val="nil"/>
            </w:tcBorders>
            <w:vAlign w:val="center"/>
            <w:hideMark/>
          </w:tcPr>
          <w:p w14:paraId="0A88603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CDFAC5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BE46732" w14:textId="77777777" w:rsidR="00DA554C" w:rsidRPr="00DA554C" w:rsidRDefault="00DA554C" w:rsidP="00DA554C">
            <w:pPr>
              <w:jc w:val="center"/>
              <w:rPr>
                <w:rFonts w:ascii="Times New Roman" w:hAnsi="Times New Roman"/>
                <w:lang w:eastAsia="ko-KR"/>
              </w:rPr>
            </w:pPr>
          </w:p>
        </w:tc>
      </w:tr>
      <w:tr w:rsidR="00DA554C" w:rsidRPr="00DA554C" w14:paraId="6094E128"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10FA68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6073F29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Transport (Compliance and Miscellaneous) Act 1983</w:t>
            </w:r>
          </w:p>
        </w:tc>
        <w:tc>
          <w:tcPr>
            <w:tcW w:w="521" w:type="pct"/>
            <w:tcBorders>
              <w:top w:val="nil"/>
              <w:left w:val="single" w:sz="4" w:space="0" w:color="auto"/>
              <w:bottom w:val="nil"/>
              <w:right w:val="nil"/>
            </w:tcBorders>
            <w:vAlign w:val="center"/>
            <w:hideMark/>
          </w:tcPr>
          <w:p w14:paraId="5B2D6BA2"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887003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E201A11" w14:textId="77777777" w:rsidR="00DA554C" w:rsidRPr="00DA554C" w:rsidRDefault="00DA554C" w:rsidP="00DA554C">
            <w:pPr>
              <w:jc w:val="center"/>
              <w:rPr>
                <w:rFonts w:ascii="Times New Roman" w:hAnsi="Times New Roman"/>
                <w:lang w:eastAsia="ko-KR"/>
              </w:rPr>
            </w:pPr>
          </w:p>
        </w:tc>
      </w:tr>
      <w:tr w:rsidR="00DA554C" w:rsidRPr="00DA554C" w14:paraId="643D3676"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4A8E936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5ABA728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Transport Superannuation Act 1988</w:t>
            </w:r>
          </w:p>
        </w:tc>
        <w:tc>
          <w:tcPr>
            <w:tcW w:w="521" w:type="pct"/>
            <w:tcBorders>
              <w:top w:val="nil"/>
              <w:left w:val="single" w:sz="4" w:space="0" w:color="auto"/>
              <w:bottom w:val="nil"/>
              <w:right w:val="nil"/>
            </w:tcBorders>
            <w:vAlign w:val="center"/>
            <w:hideMark/>
          </w:tcPr>
          <w:p w14:paraId="3DC9364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B35392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3DF9AA9" w14:textId="77777777" w:rsidR="00DA554C" w:rsidRPr="00DA554C" w:rsidRDefault="00DA554C" w:rsidP="00DA554C">
            <w:pPr>
              <w:jc w:val="center"/>
              <w:rPr>
                <w:rFonts w:ascii="Times New Roman" w:hAnsi="Times New Roman"/>
                <w:lang w:eastAsia="ko-KR"/>
              </w:rPr>
            </w:pPr>
          </w:p>
        </w:tc>
      </w:tr>
      <w:tr w:rsidR="00DA554C" w:rsidRPr="00DA554C" w14:paraId="7CDEC7E4"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B5F2A7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CEC78F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Veterinary Practice Act 1997</w:t>
            </w:r>
            <w:r w:rsidRPr="00DA554C">
              <w:rPr>
                <w:rFonts w:ascii="Arial" w:hAnsi="Arial" w:cs="Arial"/>
                <w:color w:val="000000"/>
                <w:sz w:val="18"/>
                <w:szCs w:val="18"/>
                <w:lang w:eastAsia="ko-KR"/>
              </w:rPr>
              <w:t>, section 55</w:t>
            </w:r>
          </w:p>
        </w:tc>
        <w:tc>
          <w:tcPr>
            <w:tcW w:w="521" w:type="pct"/>
            <w:tcBorders>
              <w:top w:val="nil"/>
              <w:left w:val="single" w:sz="4" w:space="0" w:color="auto"/>
              <w:bottom w:val="nil"/>
              <w:right w:val="nil"/>
            </w:tcBorders>
            <w:vAlign w:val="center"/>
            <w:hideMark/>
          </w:tcPr>
          <w:p w14:paraId="06E9408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D5D0F4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61FCBEB" w14:textId="77777777" w:rsidR="00DA554C" w:rsidRPr="00DA554C" w:rsidRDefault="00DA554C" w:rsidP="00DA554C">
            <w:pPr>
              <w:jc w:val="center"/>
              <w:rPr>
                <w:rFonts w:ascii="Times New Roman" w:hAnsi="Times New Roman"/>
                <w:lang w:eastAsia="ko-KR"/>
              </w:rPr>
            </w:pPr>
          </w:p>
        </w:tc>
      </w:tr>
      <w:tr w:rsidR="00DA554C" w:rsidRPr="00DA554C" w14:paraId="1FFD97AD"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9A767A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63FFB7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Vexatious Proceedings Act 2014</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0F9F9606"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84B0CD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2396C53" w14:textId="77777777" w:rsidR="00DA554C" w:rsidRPr="00DA554C" w:rsidRDefault="00DA554C" w:rsidP="00DA554C">
            <w:pPr>
              <w:jc w:val="center"/>
              <w:rPr>
                <w:rFonts w:ascii="Times New Roman" w:hAnsi="Times New Roman"/>
                <w:lang w:eastAsia="ko-KR"/>
              </w:rPr>
            </w:pPr>
          </w:p>
        </w:tc>
      </w:tr>
      <w:tr w:rsidR="00DA554C" w:rsidRPr="00DA554C" w14:paraId="0CF0E57D"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5EB0947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73DC55F"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Victims of Crime Assistance Act 1996</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57C9A34E"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D8AC05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F020E70" w14:textId="77777777" w:rsidR="00DA554C" w:rsidRPr="00DA554C" w:rsidRDefault="00DA554C" w:rsidP="00DA554C">
            <w:pPr>
              <w:jc w:val="center"/>
              <w:rPr>
                <w:rFonts w:ascii="Times New Roman" w:hAnsi="Times New Roman"/>
                <w:lang w:eastAsia="ko-KR"/>
              </w:rPr>
            </w:pPr>
          </w:p>
        </w:tc>
      </w:tr>
      <w:tr w:rsidR="00DA554C" w:rsidRPr="00DA554C" w14:paraId="26B4C6E7"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10A0973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BD52823"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Victoria State Emergency Service Act 2005</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3B71B1C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3BE5B9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8CC7518" w14:textId="77777777" w:rsidR="00DA554C" w:rsidRPr="00DA554C" w:rsidRDefault="00DA554C" w:rsidP="00DA554C">
            <w:pPr>
              <w:jc w:val="center"/>
              <w:rPr>
                <w:rFonts w:ascii="Times New Roman" w:hAnsi="Times New Roman"/>
                <w:lang w:eastAsia="ko-KR"/>
              </w:rPr>
            </w:pPr>
          </w:p>
        </w:tc>
      </w:tr>
      <w:tr w:rsidR="00DA554C" w:rsidRPr="00DA554C" w14:paraId="039D2DA9"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03F53B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87AD452"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Victoria State Emergency Service Regulations 2017 </w:t>
            </w:r>
          </w:p>
        </w:tc>
        <w:tc>
          <w:tcPr>
            <w:tcW w:w="521" w:type="pct"/>
            <w:tcBorders>
              <w:top w:val="nil"/>
              <w:left w:val="single" w:sz="4" w:space="0" w:color="auto"/>
              <w:bottom w:val="nil"/>
              <w:right w:val="nil"/>
            </w:tcBorders>
            <w:vAlign w:val="center"/>
            <w:hideMark/>
          </w:tcPr>
          <w:p w14:paraId="3B2FFC8C"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3AF855E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403DF5F" w14:textId="77777777" w:rsidR="00DA554C" w:rsidRPr="00DA554C" w:rsidRDefault="00DA554C" w:rsidP="00DA554C">
            <w:pPr>
              <w:jc w:val="center"/>
              <w:rPr>
                <w:rFonts w:ascii="Times New Roman" w:hAnsi="Times New Roman"/>
                <w:lang w:eastAsia="ko-KR"/>
              </w:rPr>
            </w:pPr>
          </w:p>
        </w:tc>
      </w:tr>
      <w:tr w:rsidR="00DA554C" w:rsidRPr="00DA554C" w14:paraId="597D0BE4"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3FED605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094FEE9"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Victorian Plantations Corporation Act 1993</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3F03F14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54D342D"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DD758F8" w14:textId="77777777" w:rsidR="00DA554C" w:rsidRPr="00DA554C" w:rsidRDefault="00DA554C" w:rsidP="00DA554C">
            <w:pPr>
              <w:jc w:val="center"/>
              <w:rPr>
                <w:rFonts w:ascii="Times New Roman" w:hAnsi="Times New Roman"/>
                <w:lang w:eastAsia="ko-KR"/>
              </w:rPr>
            </w:pPr>
          </w:p>
        </w:tc>
      </w:tr>
      <w:tr w:rsidR="00DA554C" w:rsidRPr="00DA554C" w14:paraId="3528B37C"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D3E15F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1DCE93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Wildlife Act 1975</w:t>
            </w:r>
          </w:p>
        </w:tc>
        <w:tc>
          <w:tcPr>
            <w:tcW w:w="521" w:type="pct"/>
            <w:tcBorders>
              <w:top w:val="nil"/>
              <w:left w:val="single" w:sz="4" w:space="0" w:color="auto"/>
              <w:bottom w:val="nil"/>
              <w:right w:val="nil"/>
            </w:tcBorders>
            <w:vAlign w:val="center"/>
            <w:hideMark/>
          </w:tcPr>
          <w:p w14:paraId="52EC9A75"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9EE576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79C6057" w14:textId="77777777" w:rsidR="00DA554C" w:rsidRPr="00DA554C" w:rsidRDefault="00DA554C" w:rsidP="00DA554C">
            <w:pPr>
              <w:jc w:val="center"/>
              <w:rPr>
                <w:rFonts w:ascii="Times New Roman" w:hAnsi="Times New Roman"/>
                <w:lang w:eastAsia="ko-KR"/>
              </w:rPr>
            </w:pPr>
          </w:p>
        </w:tc>
      </w:tr>
      <w:tr w:rsidR="00DA554C" w:rsidRPr="00DA554C" w14:paraId="63D7475E"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757A79A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769910A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Worker Screening Act 2020</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692161A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0AB8B3F"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009D259" w14:textId="77777777" w:rsidR="00DA554C" w:rsidRPr="00DA554C" w:rsidRDefault="00DA554C" w:rsidP="00DA554C">
            <w:pPr>
              <w:jc w:val="center"/>
              <w:rPr>
                <w:rFonts w:ascii="Times New Roman" w:hAnsi="Times New Roman"/>
                <w:lang w:eastAsia="ko-KR"/>
              </w:rPr>
            </w:pPr>
          </w:p>
        </w:tc>
      </w:tr>
      <w:tr w:rsidR="00DA554C" w:rsidRPr="00DA554C" w14:paraId="0F08CDD3" w14:textId="77777777" w:rsidTr="009B659C">
        <w:trPr>
          <w:trHeight w:val="285"/>
        </w:trPr>
        <w:tc>
          <w:tcPr>
            <w:tcW w:w="346" w:type="pct"/>
            <w:tcBorders>
              <w:top w:val="nil"/>
              <w:left w:val="single" w:sz="4" w:space="0" w:color="auto"/>
              <w:bottom w:val="single" w:sz="4" w:space="0" w:color="auto"/>
              <w:right w:val="single" w:sz="4" w:space="0" w:color="auto"/>
            </w:tcBorders>
            <w:noWrap/>
            <w:vAlign w:val="center"/>
            <w:hideMark/>
          </w:tcPr>
          <w:p w14:paraId="54D9D35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438D838D"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Workplace Injury Rehabilitation and Compensation Act 2013</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26FC94F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1,197.6</w:t>
            </w:r>
          </w:p>
        </w:tc>
        <w:tc>
          <w:tcPr>
            <w:tcW w:w="483" w:type="pct"/>
            <w:tcBorders>
              <w:top w:val="nil"/>
              <w:left w:val="nil"/>
              <w:bottom w:val="nil"/>
              <w:right w:val="nil"/>
            </w:tcBorders>
            <w:vAlign w:val="center"/>
            <w:hideMark/>
          </w:tcPr>
          <w:p w14:paraId="42EC5C7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395.2</w:t>
            </w:r>
          </w:p>
        </w:tc>
        <w:tc>
          <w:tcPr>
            <w:tcW w:w="598" w:type="pct"/>
            <w:tcBorders>
              <w:top w:val="nil"/>
              <w:left w:val="nil"/>
              <w:bottom w:val="nil"/>
              <w:right w:val="single" w:sz="4" w:space="0" w:color="auto"/>
            </w:tcBorders>
            <w:vAlign w:val="center"/>
            <w:hideMark/>
          </w:tcPr>
          <w:p w14:paraId="00A32D2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131.7</w:t>
            </w:r>
          </w:p>
        </w:tc>
      </w:tr>
      <w:tr w:rsidR="00DA554C" w:rsidRPr="00DA554C" w14:paraId="426E9846" w14:textId="77777777" w:rsidTr="009B659C">
        <w:trPr>
          <w:trHeight w:val="540"/>
        </w:trPr>
        <w:tc>
          <w:tcPr>
            <w:tcW w:w="346" w:type="pct"/>
            <w:tcBorders>
              <w:top w:val="nil"/>
              <w:left w:val="single" w:sz="4" w:space="0" w:color="auto"/>
              <w:bottom w:val="nil"/>
              <w:right w:val="nil"/>
            </w:tcBorders>
            <w:noWrap/>
            <w:vAlign w:val="center"/>
            <w:hideMark/>
          </w:tcPr>
          <w:p w14:paraId="5FCCCD2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lastRenderedPageBreak/>
              <w:t>6</w:t>
            </w:r>
          </w:p>
        </w:tc>
        <w:tc>
          <w:tcPr>
            <w:tcW w:w="3052" w:type="pct"/>
            <w:tcBorders>
              <w:top w:val="single" w:sz="4" w:space="0" w:color="auto"/>
              <w:left w:val="single" w:sz="4" w:space="0" w:color="auto"/>
              <w:bottom w:val="nil"/>
              <w:right w:val="nil"/>
            </w:tcBorders>
            <w:vAlign w:val="center"/>
            <w:hideMark/>
          </w:tcPr>
          <w:p w14:paraId="4EE72AAB"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commencement of a proceeding under the following enabling enactments or provisions of enabling enactments—</w:t>
            </w:r>
          </w:p>
        </w:tc>
        <w:tc>
          <w:tcPr>
            <w:tcW w:w="521" w:type="pct"/>
            <w:tcBorders>
              <w:top w:val="single" w:sz="4" w:space="0" w:color="auto"/>
              <w:left w:val="single" w:sz="4" w:space="0" w:color="auto"/>
              <w:bottom w:val="nil"/>
              <w:right w:val="nil"/>
            </w:tcBorders>
            <w:vAlign w:val="center"/>
            <w:hideMark/>
          </w:tcPr>
          <w:p w14:paraId="155CCE05"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24585EE0"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6D3C6EAB" w14:textId="77777777" w:rsidR="00DA554C" w:rsidRPr="00DA554C" w:rsidRDefault="00DA554C" w:rsidP="00DA554C">
            <w:pPr>
              <w:jc w:val="center"/>
              <w:rPr>
                <w:rFonts w:ascii="Times New Roman" w:hAnsi="Times New Roman"/>
                <w:lang w:eastAsia="ko-KR"/>
              </w:rPr>
            </w:pPr>
          </w:p>
        </w:tc>
      </w:tr>
      <w:tr w:rsidR="00DA554C" w:rsidRPr="00DA554C" w14:paraId="0863ED47" w14:textId="77777777" w:rsidTr="009B659C">
        <w:trPr>
          <w:trHeight w:val="285"/>
        </w:trPr>
        <w:tc>
          <w:tcPr>
            <w:tcW w:w="346" w:type="pct"/>
            <w:tcBorders>
              <w:top w:val="nil"/>
              <w:left w:val="single" w:sz="4" w:space="0" w:color="auto"/>
              <w:bottom w:val="nil"/>
              <w:right w:val="nil"/>
            </w:tcBorders>
            <w:noWrap/>
            <w:vAlign w:val="center"/>
            <w:hideMark/>
          </w:tcPr>
          <w:p w14:paraId="27D47C8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DBA7C12"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Aboriginal Heritage Act 2006</w:t>
            </w:r>
          </w:p>
        </w:tc>
        <w:tc>
          <w:tcPr>
            <w:tcW w:w="521" w:type="pct"/>
            <w:tcBorders>
              <w:top w:val="nil"/>
              <w:left w:val="single" w:sz="4" w:space="0" w:color="auto"/>
              <w:bottom w:val="nil"/>
              <w:right w:val="nil"/>
            </w:tcBorders>
            <w:vAlign w:val="center"/>
            <w:hideMark/>
          </w:tcPr>
          <w:p w14:paraId="1636926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69A9D4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48FB6C8" w14:textId="77777777" w:rsidR="00DA554C" w:rsidRPr="00DA554C" w:rsidRDefault="00DA554C" w:rsidP="00DA554C">
            <w:pPr>
              <w:jc w:val="center"/>
              <w:rPr>
                <w:rFonts w:ascii="Times New Roman" w:hAnsi="Times New Roman"/>
                <w:lang w:eastAsia="ko-KR"/>
              </w:rPr>
            </w:pPr>
          </w:p>
        </w:tc>
      </w:tr>
      <w:tr w:rsidR="00DA554C" w:rsidRPr="00DA554C" w14:paraId="31140E6A" w14:textId="77777777" w:rsidTr="009B659C">
        <w:trPr>
          <w:trHeight w:val="285"/>
        </w:trPr>
        <w:tc>
          <w:tcPr>
            <w:tcW w:w="346" w:type="pct"/>
            <w:tcBorders>
              <w:top w:val="nil"/>
              <w:left w:val="single" w:sz="4" w:space="0" w:color="auto"/>
              <w:bottom w:val="nil"/>
              <w:right w:val="nil"/>
            </w:tcBorders>
            <w:noWrap/>
            <w:vAlign w:val="center"/>
            <w:hideMark/>
          </w:tcPr>
          <w:p w14:paraId="7C926F5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8C75A4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Catchment and Land Protection Act 1994</w:t>
            </w:r>
            <w:r w:rsidRPr="00DA554C">
              <w:rPr>
                <w:rFonts w:ascii="Arial" w:hAnsi="Arial" w:cs="Arial"/>
                <w:color w:val="000000"/>
                <w:sz w:val="18"/>
                <w:szCs w:val="18"/>
                <w:lang w:eastAsia="ko-KR"/>
              </w:rPr>
              <w:t>, section 48</w:t>
            </w:r>
          </w:p>
        </w:tc>
        <w:tc>
          <w:tcPr>
            <w:tcW w:w="521" w:type="pct"/>
            <w:tcBorders>
              <w:top w:val="nil"/>
              <w:left w:val="single" w:sz="4" w:space="0" w:color="auto"/>
              <w:bottom w:val="nil"/>
              <w:right w:val="nil"/>
            </w:tcBorders>
            <w:vAlign w:val="center"/>
            <w:hideMark/>
          </w:tcPr>
          <w:p w14:paraId="32DFAD8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A10524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F307561" w14:textId="77777777" w:rsidR="00DA554C" w:rsidRPr="00DA554C" w:rsidRDefault="00DA554C" w:rsidP="00DA554C">
            <w:pPr>
              <w:jc w:val="center"/>
              <w:rPr>
                <w:rFonts w:ascii="Times New Roman" w:hAnsi="Times New Roman"/>
                <w:lang w:eastAsia="ko-KR"/>
              </w:rPr>
            </w:pPr>
          </w:p>
        </w:tc>
      </w:tr>
      <w:tr w:rsidR="00DA554C" w:rsidRPr="00DA554C" w14:paraId="218B0F5C" w14:textId="77777777" w:rsidTr="009B659C">
        <w:trPr>
          <w:trHeight w:val="285"/>
        </w:trPr>
        <w:tc>
          <w:tcPr>
            <w:tcW w:w="346" w:type="pct"/>
            <w:tcBorders>
              <w:top w:val="nil"/>
              <w:left w:val="single" w:sz="4" w:space="0" w:color="auto"/>
              <w:bottom w:val="nil"/>
              <w:right w:val="nil"/>
            </w:tcBorders>
            <w:noWrap/>
            <w:vAlign w:val="center"/>
            <w:hideMark/>
          </w:tcPr>
          <w:p w14:paraId="6979BBD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E2918CC"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Climate Change Act 2017</w:t>
            </w:r>
          </w:p>
        </w:tc>
        <w:tc>
          <w:tcPr>
            <w:tcW w:w="521" w:type="pct"/>
            <w:tcBorders>
              <w:top w:val="nil"/>
              <w:left w:val="single" w:sz="4" w:space="0" w:color="auto"/>
              <w:bottom w:val="nil"/>
              <w:right w:val="nil"/>
            </w:tcBorders>
            <w:vAlign w:val="center"/>
            <w:hideMark/>
          </w:tcPr>
          <w:p w14:paraId="09A9528F"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FD0E29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B915588" w14:textId="77777777" w:rsidR="00DA554C" w:rsidRPr="00DA554C" w:rsidRDefault="00DA554C" w:rsidP="00DA554C">
            <w:pPr>
              <w:jc w:val="center"/>
              <w:rPr>
                <w:rFonts w:ascii="Times New Roman" w:hAnsi="Times New Roman"/>
                <w:lang w:eastAsia="ko-KR"/>
              </w:rPr>
            </w:pPr>
          </w:p>
        </w:tc>
      </w:tr>
      <w:tr w:rsidR="00DA554C" w:rsidRPr="00DA554C" w14:paraId="2B723009" w14:textId="77777777" w:rsidTr="009B659C">
        <w:trPr>
          <w:trHeight w:val="285"/>
        </w:trPr>
        <w:tc>
          <w:tcPr>
            <w:tcW w:w="346" w:type="pct"/>
            <w:tcBorders>
              <w:top w:val="nil"/>
              <w:left w:val="single" w:sz="4" w:space="0" w:color="auto"/>
              <w:bottom w:val="nil"/>
              <w:right w:val="nil"/>
            </w:tcBorders>
            <w:noWrap/>
            <w:vAlign w:val="center"/>
            <w:hideMark/>
          </w:tcPr>
          <w:p w14:paraId="6ED904C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69A1826"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Conservation, Forests and Lands Act 1987</w:t>
            </w:r>
            <w:r w:rsidRPr="00DA554C">
              <w:rPr>
                <w:rFonts w:ascii="Arial" w:hAnsi="Arial" w:cs="Arial"/>
                <w:color w:val="000000"/>
                <w:sz w:val="18"/>
                <w:szCs w:val="18"/>
                <w:lang w:eastAsia="ko-KR"/>
              </w:rPr>
              <w:t>, section 76</w:t>
            </w:r>
          </w:p>
        </w:tc>
        <w:tc>
          <w:tcPr>
            <w:tcW w:w="521" w:type="pct"/>
            <w:tcBorders>
              <w:top w:val="nil"/>
              <w:left w:val="single" w:sz="4" w:space="0" w:color="auto"/>
              <w:bottom w:val="nil"/>
              <w:right w:val="nil"/>
            </w:tcBorders>
            <w:vAlign w:val="center"/>
            <w:hideMark/>
          </w:tcPr>
          <w:p w14:paraId="309D1E08"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695E38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F46D551" w14:textId="77777777" w:rsidR="00DA554C" w:rsidRPr="00DA554C" w:rsidRDefault="00DA554C" w:rsidP="00DA554C">
            <w:pPr>
              <w:jc w:val="center"/>
              <w:rPr>
                <w:rFonts w:ascii="Times New Roman" w:hAnsi="Times New Roman"/>
                <w:lang w:eastAsia="ko-KR"/>
              </w:rPr>
            </w:pPr>
          </w:p>
        </w:tc>
      </w:tr>
      <w:tr w:rsidR="00DA554C" w:rsidRPr="00DA554C" w14:paraId="5AEC1D67" w14:textId="77777777" w:rsidTr="009B659C">
        <w:trPr>
          <w:trHeight w:val="285"/>
        </w:trPr>
        <w:tc>
          <w:tcPr>
            <w:tcW w:w="346" w:type="pct"/>
            <w:tcBorders>
              <w:top w:val="nil"/>
              <w:left w:val="single" w:sz="4" w:space="0" w:color="auto"/>
              <w:bottom w:val="nil"/>
              <w:right w:val="nil"/>
            </w:tcBorders>
            <w:noWrap/>
            <w:vAlign w:val="center"/>
            <w:hideMark/>
          </w:tcPr>
          <w:p w14:paraId="56A9982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33F8DBA"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Education and Training Reform Act 2006</w:t>
            </w:r>
            <w:r w:rsidRPr="00DA554C">
              <w:rPr>
                <w:rFonts w:ascii="Arial" w:hAnsi="Arial" w:cs="Arial"/>
                <w:color w:val="000000"/>
                <w:sz w:val="18"/>
                <w:szCs w:val="18"/>
                <w:lang w:eastAsia="ko-KR"/>
              </w:rPr>
              <w:t>, except Division 14 of Part 2.6 and Part 4.8</w:t>
            </w:r>
          </w:p>
        </w:tc>
        <w:tc>
          <w:tcPr>
            <w:tcW w:w="521" w:type="pct"/>
            <w:tcBorders>
              <w:top w:val="nil"/>
              <w:left w:val="single" w:sz="4" w:space="0" w:color="auto"/>
              <w:bottom w:val="nil"/>
              <w:right w:val="nil"/>
            </w:tcBorders>
            <w:vAlign w:val="center"/>
            <w:hideMark/>
          </w:tcPr>
          <w:p w14:paraId="782CE5D1"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D798D8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B37E8D5" w14:textId="77777777" w:rsidR="00DA554C" w:rsidRPr="00DA554C" w:rsidRDefault="00DA554C" w:rsidP="00DA554C">
            <w:pPr>
              <w:jc w:val="center"/>
              <w:rPr>
                <w:rFonts w:ascii="Times New Roman" w:hAnsi="Times New Roman"/>
                <w:lang w:eastAsia="ko-KR"/>
              </w:rPr>
            </w:pPr>
          </w:p>
        </w:tc>
      </w:tr>
      <w:tr w:rsidR="00DA554C" w:rsidRPr="00DA554C" w14:paraId="65E4A0DF" w14:textId="77777777" w:rsidTr="009B659C">
        <w:trPr>
          <w:trHeight w:val="285"/>
        </w:trPr>
        <w:tc>
          <w:tcPr>
            <w:tcW w:w="346" w:type="pct"/>
            <w:tcBorders>
              <w:top w:val="nil"/>
              <w:left w:val="single" w:sz="4" w:space="0" w:color="auto"/>
              <w:bottom w:val="nil"/>
              <w:right w:val="nil"/>
            </w:tcBorders>
            <w:noWrap/>
            <w:vAlign w:val="center"/>
            <w:hideMark/>
          </w:tcPr>
          <w:p w14:paraId="2F30D32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F217E18"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Flora and Fauna Guarantee Act 1988</w:t>
            </w:r>
          </w:p>
        </w:tc>
        <w:tc>
          <w:tcPr>
            <w:tcW w:w="521" w:type="pct"/>
            <w:tcBorders>
              <w:top w:val="nil"/>
              <w:left w:val="single" w:sz="4" w:space="0" w:color="auto"/>
              <w:bottom w:val="nil"/>
              <w:right w:val="nil"/>
            </w:tcBorders>
            <w:vAlign w:val="center"/>
            <w:hideMark/>
          </w:tcPr>
          <w:p w14:paraId="42EF5362"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25EA96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4957CE1" w14:textId="77777777" w:rsidR="00DA554C" w:rsidRPr="00DA554C" w:rsidRDefault="00DA554C" w:rsidP="00DA554C">
            <w:pPr>
              <w:jc w:val="center"/>
              <w:rPr>
                <w:rFonts w:ascii="Times New Roman" w:hAnsi="Times New Roman"/>
                <w:lang w:eastAsia="ko-KR"/>
              </w:rPr>
            </w:pPr>
          </w:p>
        </w:tc>
      </w:tr>
      <w:tr w:rsidR="00DA554C" w:rsidRPr="00DA554C" w14:paraId="54A3B27E" w14:textId="77777777" w:rsidTr="009B659C">
        <w:trPr>
          <w:trHeight w:val="285"/>
        </w:trPr>
        <w:tc>
          <w:tcPr>
            <w:tcW w:w="346" w:type="pct"/>
            <w:tcBorders>
              <w:top w:val="nil"/>
              <w:left w:val="single" w:sz="4" w:space="0" w:color="auto"/>
              <w:bottom w:val="nil"/>
              <w:right w:val="nil"/>
            </w:tcBorders>
            <w:noWrap/>
            <w:vAlign w:val="center"/>
            <w:hideMark/>
          </w:tcPr>
          <w:p w14:paraId="0EFC82C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830BD45"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Gambling Regulation Act 2003</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50D9B86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B8484C3"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5E606E8" w14:textId="77777777" w:rsidR="00DA554C" w:rsidRPr="00DA554C" w:rsidRDefault="00DA554C" w:rsidP="00DA554C">
            <w:pPr>
              <w:jc w:val="center"/>
              <w:rPr>
                <w:rFonts w:ascii="Times New Roman" w:hAnsi="Times New Roman"/>
                <w:lang w:eastAsia="ko-KR"/>
              </w:rPr>
            </w:pPr>
          </w:p>
        </w:tc>
      </w:tr>
      <w:tr w:rsidR="00DA554C" w:rsidRPr="00DA554C" w14:paraId="580D7273" w14:textId="77777777" w:rsidTr="009B659C">
        <w:trPr>
          <w:trHeight w:val="285"/>
        </w:trPr>
        <w:tc>
          <w:tcPr>
            <w:tcW w:w="346" w:type="pct"/>
            <w:tcBorders>
              <w:top w:val="nil"/>
              <w:left w:val="single" w:sz="4" w:space="0" w:color="auto"/>
              <w:bottom w:val="nil"/>
              <w:right w:val="nil"/>
            </w:tcBorders>
            <w:noWrap/>
            <w:vAlign w:val="center"/>
            <w:hideMark/>
          </w:tcPr>
          <w:p w14:paraId="27037F2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C323D9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Heritage Act 2017</w:t>
            </w:r>
          </w:p>
        </w:tc>
        <w:tc>
          <w:tcPr>
            <w:tcW w:w="521" w:type="pct"/>
            <w:tcBorders>
              <w:top w:val="nil"/>
              <w:left w:val="single" w:sz="4" w:space="0" w:color="auto"/>
              <w:bottom w:val="nil"/>
              <w:right w:val="nil"/>
            </w:tcBorders>
            <w:vAlign w:val="center"/>
            <w:hideMark/>
          </w:tcPr>
          <w:p w14:paraId="3E724ADC"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1AEB4CF"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65B4FB3" w14:textId="77777777" w:rsidR="00DA554C" w:rsidRPr="00DA554C" w:rsidRDefault="00DA554C" w:rsidP="00DA554C">
            <w:pPr>
              <w:jc w:val="center"/>
              <w:rPr>
                <w:rFonts w:ascii="Times New Roman" w:hAnsi="Times New Roman"/>
                <w:lang w:eastAsia="ko-KR"/>
              </w:rPr>
            </w:pPr>
          </w:p>
        </w:tc>
      </w:tr>
      <w:tr w:rsidR="00DA554C" w:rsidRPr="00DA554C" w14:paraId="1575EB3C" w14:textId="77777777" w:rsidTr="009B659C">
        <w:trPr>
          <w:trHeight w:val="285"/>
        </w:trPr>
        <w:tc>
          <w:tcPr>
            <w:tcW w:w="346" w:type="pct"/>
            <w:tcBorders>
              <w:top w:val="nil"/>
              <w:left w:val="single" w:sz="4" w:space="0" w:color="auto"/>
              <w:bottom w:val="nil"/>
              <w:right w:val="nil"/>
            </w:tcBorders>
            <w:noWrap/>
            <w:vAlign w:val="center"/>
            <w:hideMark/>
          </w:tcPr>
          <w:p w14:paraId="16EC794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8F44D11"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Land Acquisition and Compensation Act 1986</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1F3D3D3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0B62887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E198E53" w14:textId="77777777" w:rsidR="00DA554C" w:rsidRPr="00DA554C" w:rsidRDefault="00DA554C" w:rsidP="00DA554C">
            <w:pPr>
              <w:jc w:val="center"/>
              <w:rPr>
                <w:rFonts w:ascii="Times New Roman" w:hAnsi="Times New Roman"/>
                <w:lang w:eastAsia="ko-KR"/>
              </w:rPr>
            </w:pPr>
          </w:p>
        </w:tc>
      </w:tr>
      <w:tr w:rsidR="00DA554C" w:rsidRPr="00DA554C" w14:paraId="6F72DF37" w14:textId="77777777" w:rsidTr="009B659C">
        <w:trPr>
          <w:trHeight w:val="285"/>
        </w:trPr>
        <w:tc>
          <w:tcPr>
            <w:tcW w:w="346" w:type="pct"/>
            <w:tcBorders>
              <w:top w:val="nil"/>
              <w:left w:val="single" w:sz="4" w:space="0" w:color="auto"/>
              <w:bottom w:val="nil"/>
              <w:right w:val="nil"/>
            </w:tcBorders>
            <w:noWrap/>
            <w:vAlign w:val="center"/>
            <w:hideMark/>
          </w:tcPr>
          <w:p w14:paraId="67CE118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783FCE7"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Legal Profession Uniform Law Application Act 2014</w:t>
            </w:r>
            <w:r w:rsidRPr="00DA554C">
              <w:rPr>
                <w:rFonts w:ascii="Arial" w:hAnsi="Arial" w:cs="Arial"/>
                <w:color w:val="000000"/>
                <w:sz w:val="18"/>
                <w:szCs w:val="18"/>
                <w:lang w:eastAsia="ko-KR"/>
              </w:rPr>
              <w:t>, section 91</w:t>
            </w:r>
          </w:p>
        </w:tc>
        <w:tc>
          <w:tcPr>
            <w:tcW w:w="521" w:type="pct"/>
            <w:tcBorders>
              <w:top w:val="nil"/>
              <w:left w:val="single" w:sz="4" w:space="0" w:color="auto"/>
              <w:bottom w:val="nil"/>
              <w:right w:val="nil"/>
            </w:tcBorders>
            <w:vAlign w:val="center"/>
            <w:hideMark/>
          </w:tcPr>
          <w:p w14:paraId="4D8A09F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3AD906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48A0F1E" w14:textId="77777777" w:rsidR="00DA554C" w:rsidRPr="00DA554C" w:rsidRDefault="00DA554C" w:rsidP="00DA554C">
            <w:pPr>
              <w:jc w:val="center"/>
              <w:rPr>
                <w:rFonts w:ascii="Times New Roman" w:hAnsi="Times New Roman"/>
                <w:lang w:eastAsia="ko-KR"/>
              </w:rPr>
            </w:pPr>
          </w:p>
        </w:tc>
      </w:tr>
      <w:tr w:rsidR="00DA554C" w:rsidRPr="00DA554C" w14:paraId="18DDC024" w14:textId="77777777" w:rsidTr="009B659C">
        <w:trPr>
          <w:trHeight w:val="285"/>
        </w:trPr>
        <w:tc>
          <w:tcPr>
            <w:tcW w:w="346" w:type="pct"/>
            <w:tcBorders>
              <w:top w:val="nil"/>
              <w:left w:val="single" w:sz="4" w:space="0" w:color="auto"/>
              <w:bottom w:val="nil"/>
              <w:right w:val="nil"/>
            </w:tcBorders>
            <w:noWrap/>
            <w:vAlign w:val="center"/>
            <w:hideMark/>
          </w:tcPr>
          <w:p w14:paraId="24EA41C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9EA78C9"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Legal Profession Uniform Law (Victoria)</w:t>
            </w:r>
          </w:p>
        </w:tc>
        <w:tc>
          <w:tcPr>
            <w:tcW w:w="521" w:type="pct"/>
            <w:tcBorders>
              <w:top w:val="nil"/>
              <w:left w:val="single" w:sz="4" w:space="0" w:color="auto"/>
              <w:bottom w:val="nil"/>
              <w:right w:val="nil"/>
            </w:tcBorders>
            <w:vAlign w:val="center"/>
            <w:hideMark/>
          </w:tcPr>
          <w:p w14:paraId="43289CC6"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0813250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1807A39" w14:textId="77777777" w:rsidR="00DA554C" w:rsidRPr="00DA554C" w:rsidRDefault="00DA554C" w:rsidP="00DA554C">
            <w:pPr>
              <w:jc w:val="center"/>
              <w:rPr>
                <w:rFonts w:ascii="Times New Roman" w:hAnsi="Times New Roman"/>
                <w:lang w:eastAsia="ko-KR"/>
              </w:rPr>
            </w:pPr>
          </w:p>
        </w:tc>
      </w:tr>
      <w:tr w:rsidR="00DA554C" w:rsidRPr="00DA554C" w14:paraId="2EE7AFB0" w14:textId="77777777" w:rsidTr="009B659C">
        <w:trPr>
          <w:trHeight w:val="285"/>
        </w:trPr>
        <w:tc>
          <w:tcPr>
            <w:tcW w:w="346" w:type="pct"/>
            <w:tcBorders>
              <w:top w:val="nil"/>
              <w:left w:val="single" w:sz="4" w:space="0" w:color="auto"/>
              <w:bottom w:val="nil"/>
              <w:right w:val="nil"/>
            </w:tcBorders>
            <w:noWrap/>
            <w:vAlign w:val="center"/>
            <w:hideMark/>
          </w:tcPr>
          <w:p w14:paraId="0E20D9F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D572EC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Local Government Act 1989</w:t>
            </w:r>
            <w:r w:rsidRPr="00DA554C">
              <w:rPr>
                <w:rFonts w:ascii="Arial" w:hAnsi="Arial" w:cs="Arial"/>
                <w:color w:val="000000"/>
                <w:sz w:val="18"/>
                <w:szCs w:val="18"/>
                <w:lang w:eastAsia="ko-KR"/>
              </w:rPr>
              <w:t>, sections 183, 185 and 185AA</w:t>
            </w:r>
          </w:p>
        </w:tc>
        <w:tc>
          <w:tcPr>
            <w:tcW w:w="521" w:type="pct"/>
            <w:tcBorders>
              <w:top w:val="nil"/>
              <w:left w:val="single" w:sz="4" w:space="0" w:color="auto"/>
              <w:bottom w:val="nil"/>
              <w:right w:val="nil"/>
            </w:tcBorders>
            <w:vAlign w:val="center"/>
            <w:hideMark/>
          </w:tcPr>
          <w:p w14:paraId="34AB464A"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29B45A3A"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6F638A4" w14:textId="77777777" w:rsidR="00DA554C" w:rsidRPr="00DA554C" w:rsidRDefault="00DA554C" w:rsidP="00DA554C">
            <w:pPr>
              <w:jc w:val="center"/>
              <w:rPr>
                <w:rFonts w:ascii="Times New Roman" w:hAnsi="Times New Roman"/>
                <w:lang w:eastAsia="ko-KR"/>
              </w:rPr>
            </w:pPr>
          </w:p>
        </w:tc>
      </w:tr>
      <w:tr w:rsidR="00DA554C" w:rsidRPr="00DA554C" w14:paraId="77F192E6" w14:textId="77777777" w:rsidTr="009B659C">
        <w:trPr>
          <w:trHeight w:val="285"/>
        </w:trPr>
        <w:tc>
          <w:tcPr>
            <w:tcW w:w="346" w:type="pct"/>
            <w:tcBorders>
              <w:top w:val="nil"/>
              <w:left w:val="single" w:sz="4" w:space="0" w:color="auto"/>
              <w:bottom w:val="nil"/>
              <w:right w:val="nil"/>
            </w:tcBorders>
            <w:noWrap/>
            <w:vAlign w:val="center"/>
            <w:hideMark/>
          </w:tcPr>
          <w:p w14:paraId="094BD10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C9F9898"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Petroleum Act 1998</w:t>
            </w:r>
          </w:p>
        </w:tc>
        <w:tc>
          <w:tcPr>
            <w:tcW w:w="521" w:type="pct"/>
            <w:tcBorders>
              <w:top w:val="nil"/>
              <w:left w:val="single" w:sz="4" w:space="0" w:color="auto"/>
              <w:bottom w:val="nil"/>
              <w:right w:val="nil"/>
            </w:tcBorders>
            <w:vAlign w:val="center"/>
            <w:hideMark/>
          </w:tcPr>
          <w:p w14:paraId="51ADD3E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14A68F0C"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4CA8232" w14:textId="77777777" w:rsidR="00DA554C" w:rsidRPr="00DA554C" w:rsidRDefault="00DA554C" w:rsidP="00DA554C">
            <w:pPr>
              <w:jc w:val="center"/>
              <w:rPr>
                <w:rFonts w:ascii="Times New Roman" w:hAnsi="Times New Roman"/>
                <w:lang w:eastAsia="ko-KR"/>
              </w:rPr>
            </w:pPr>
          </w:p>
        </w:tc>
      </w:tr>
      <w:tr w:rsidR="00DA554C" w:rsidRPr="00DA554C" w14:paraId="7E5A7E95" w14:textId="77777777" w:rsidTr="009B659C">
        <w:trPr>
          <w:trHeight w:val="285"/>
        </w:trPr>
        <w:tc>
          <w:tcPr>
            <w:tcW w:w="346" w:type="pct"/>
            <w:tcBorders>
              <w:top w:val="nil"/>
              <w:left w:val="single" w:sz="4" w:space="0" w:color="auto"/>
              <w:bottom w:val="nil"/>
              <w:right w:val="nil"/>
            </w:tcBorders>
            <w:noWrap/>
            <w:vAlign w:val="center"/>
            <w:hideMark/>
          </w:tcPr>
          <w:p w14:paraId="099D807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A56E37E"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Pipelines Act 2005</w:t>
            </w:r>
            <w:r w:rsidRPr="00DA554C">
              <w:rPr>
                <w:rFonts w:ascii="Arial" w:hAnsi="Arial" w:cs="Arial"/>
                <w:color w:val="000000"/>
                <w:sz w:val="18"/>
                <w:szCs w:val="18"/>
                <w:lang w:eastAsia="ko-KR"/>
              </w:rPr>
              <w:t>, section 154</w:t>
            </w:r>
          </w:p>
        </w:tc>
        <w:tc>
          <w:tcPr>
            <w:tcW w:w="521" w:type="pct"/>
            <w:tcBorders>
              <w:top w:val="nil"/>
              <w:left w:val="single" w:sz="4" w:space="0" w:color="auto"/>
              <w:bottom w:val="nil"/>
              <w:right w:val="nil"/>
            </w:tcBorders>
            <w:vAlign w:val="center"/>
            <w:hideMark/>
          </w:tcPr>
          <w:p w14:paraId="72625FCB"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4301D4E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8505F08" w14:textId="77777777" w:rsidR="00DA554C" w:rsidRPr="00DA554C" w:rsidRDefault="00DA554C" w:rsidP="00DA554C">
            <w:pPr>
              <w:jc w:val="center"/>
              <w:rPr>
                <w:rFonts w:ascii="Times New Roman" w:hAnsi="Times New Roman"/>
                <w:lang w:eastAsia="ko-KR"/>
              </w:rPr>
            </w:pPr>
          </w:p>
        </w:tc>
      </w:tr>
      <w:tr w:rsidR="00DA554C" w:rsidRPr="00DA554C" w14:paraId="6A0E862C" w14:textId="77777777" w:rsidTr="009B659C">
        <w:trPr>
          <w:trHeight w:val="285"/>
        </w:trPr>
        <w:tc>
          <w:tcPr>
            <w:tcW w:w="346" w:type="pct"/>
            <w:tcBorders>
              <w:top w:val="nil"/>
              <w:left w:val="single" w:sz="4" w:space="0" w:color="auto"/>
              <w:bottom w:val="nil"/>
              <w:right w:val="nil"/>
            </w:tcBorders>
            <w:noWrap/>
            <w:vAlign w:val="center"/>
            <w:hideMark/>
          </w:tcPr>
          <w:p w14:paraId="70B721A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C93B3F4"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Plant Biosecurity Act 2010</w:t>
            </w:r>
            <w:r w:rsidRPr="00DA554C">
              <w:rPr>
                <w:rFonts w:ascii="Arial" w:hAnsi="Arial" w:cs="Arial"/>
                <w:color w:val="000000"/>
                <w:sz w:val="18"/>
                <w:szCs w:val="18"/>
                <w:lang w:eastAsia="ko-KR"/>
              </w:rPr>
              <w:t>, section 59</w:t>
            </w:r>
          </w:p>
        </w:tc>
        <w:tc>
          <w:tcPr>
            <w:tcW w:w="521" w:type="pct"/>
            <w:tcBorders>
              <w:top w:val="nil"/>
              <w:left w:val="single" w:sz="4" w:space="0" w:color="auto"/>
              <w:bottom w:val="nil"/>
              <w:right w:val="nil"/>
            </w:tcBorders>
            <w:vAlign w:val="center"/>
            <w:hideMark/>
          </w:tcPr>
          <w:p w14:paraId="096B63D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77E224E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9AE2D59" w14:textId="77777777" w:rsidR="00DA554C" w:rsidRPr="00DA554C" w:rsidRDefault="00DA554C" w:rsidP="00DA554C">
            <w:pPr>
              <w:jc w:val="center"/>
              <w:rPr>
                <w:rFonts w:ascii="Times New Roman" w:hAnsi="Times New Roman"/>
                <w:lang w:eastAsia="ko-KR"/>
              </w:rPr>
            </w:pPr>
          </w:p>
        </w:tc>
      </w:tr>
      <w:tr w:rsidR="00DA554C" w:rsidRPr="00DA554C" w14:paraId="6F50275D" w14:textId="77777777" w:rsidTr="009B659C">
        <w:trPr>
          <w:trHeight w:val="285"/>
        </w:trPr>
        <w:tc>
          <w:tcPr>
            <w:tcW w:w="346" w:type="pct"/>
            <w:tcBorders>
              <w:top w:val="nil"/>
              <w:left w:val="single" w:sz="4" w:space="0" w:color="auto"/>
              <w:bottom w:val="nil"/>
              <w:right w:val="nil"/>
            </w:tcBorders>
            <w:noWrap/>
            <w:vAlign w:val="center"/>
            <w:hideMark/>
          </w:tcPr>
          <w:p w14:paraId="4A3E33D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F5730CB"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Major Transport Projects Facilitation Act 2009</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5EF7C15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1C158DC"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17ACE7B" w14:textId="77777777" w:rsidR="00DA554C" w:rsidRPr="00DA554C" w:rsidRDefault="00DA554C" w:rsidP="00DA554C">
            <w:pPr>
              <w:jc w:val="center"/>
              <w:rPr>
                <w:rFonts w:ascii="Times New Roman" w:hAnsi="Times New Roman"/>
                <w:lang w:eastAsia="ko-KR"/>
              </w:rPr>
            </w:pPr>
          </w:p>
        </w:tc>
      </w:tr>
      <w:tr w:rsidR="00DA554C" w:rsidRPr="00DA554C" w14:paraId="05EDC5D7" w14:textId="77777777" w:rsidTr="009B659C">
        <w:trPr>
          <w:trHeight w:val="285"/>
        </w:trPr>
        <w:tc>
          <w:tcPr>
            <w:tcW w:w="346" w:type="pct"/>
            <w:tcBorders>
              <w:top w:val="nil"/>
              <w:left w:val="single" w:sz="4" w:space="0" w:color="auto"/>
              <w:bottom w:val="nil"/>
              <w:right w:val="nil"/>
            </w:tcBorders>
            <w:noWrap/>
            <w:vAlign w:val="center"/>
            <w:hideMark/>
          </w:tcPr>
          <w:p w14:paraId="7102FD1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AB44130"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Mineral Resources (Sustainable Development) Act 1990</w:t>
            </w:r>
          </w:p>
        </w:tc>
        <w:tc>
          <w:tcPr>
            <w:tcW w:w="521" w:type="pct"/>
            <w:tcBorders>
              <w:top w:val="nil"/>
              <w:left w:val="single" w:sz="4" w:space="0" w:color="auto"/>
              <w:bottom w:val="nil"/>
              <w:right w:val="nil"/>
            </w:tcBorders>
            <w:vAlign w:val="center"/>
            <w:hideMark/>
          </w:tcPr>
          <w:p w14:paraId="10357C39"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EEB498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36FDFE9" w14:textId="77777777" w:rsidR="00DA554C" w:rsidRPr="00DA554C" w:rsidRDefault="00DA554C" w:rsidP="00DA554C">
            <w:pPr>
              <w:jc w:val="center"/>
              <w:rPr>
                <w:rFonts w:ascii="Times New Roman" w:hAnsi="Times New Roman"/>
                <w:lang w:eastAsia="ko-KR"/>
              </w:rPr>
            </w:pPr>
          </w:p>
        </w:tc>
      </w:tr>
      <w:tr w:rsidR="00DA554C" w:rsidRPr="00DA554C" w14:paraId="51C3BFF5" w14:textId="77777777" w:rsidTr="009B659C">
        <w:trPr>
          <w:trHeight w:val="285"/>
        </w:trPr>
        <w:tc>
          <w:tcPr>
            <w:tcW w:w="346" w:type="pct"/>
            <w:tcBorders>
              <w:top w:val="nil"/>
              <w:left w:val="single" w:sz="4" w:space="0" w:color="auto"/>
              <w:bottom w:val="nil"/>
              <w:right w:val="nil"/>
            </w:tcBorders>
            <w:noWrap/>
            <w:vAlign w:val="center"/>
            <w:hideMark/>
          </w:tcPr>
          <w:p w14:paraId="0DCB749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1439FA3"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Subdivision Act 1988</w:t>
            </w:r>
            <w:r w:rsidRPr="00DA554C">
              <w:rPr>
                <w:rFonts w:ascii="Arial" w:hAnsi="Arial" w:cs="Arial"/>
                <w:color w:val="000000"/>
                <w:sz w:val="18"/>
                <w:szCs w:val="18"/>
                <w:lang w:eastAsia="ko-KR"/>
              </w:rPr>
              <w:t>, except Part 5</w:t>
            </w:r>
          </w:p>
        </w:tc>
        <w:tc>
          <w:tcPr>
            <w:tcW w:w="521" w:type="pct"/>
            <w:tcBorders>
              <w:top w:val="nil"/>
              <w:left w:val="single" w:sz="4" w:space="0" w:color="auto"/>
              <w:bottom w:val="nil"/>
              <w:right w:val="nil"/>
            </w:tcBorders>
            <w:vAlign w:val="center"/>
            <w:hideMark/>
          </w:tcPr>
          <w:p w14:paraId="2A501C90"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5E648CD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27AF2DC" w14:textId="77777777" w:rsidR="00DA554C" w:rsidRPr="00DA554C" w:rsidRDefault="00DA554C" w:rsidP="00DA554C">
            <w:pPr>
              <w:jc w:val="center"/>
              <w:rPr>
                <w:rFonts w:ascii="Times New Roman" w:hAnsi="Times New Roman"/>
                <w:lang w:eastAsia="ko-KR"/>
              </w:rPr>
            </w:pPr>
          </w:p>
        </w:tc>
      </w:tr>
      <w:tr w:rsidR="00DA554C" w:rsidRPr="00DA554C" w14:paraId="0D5AB6D0" w14:textId="77777777" w:rsidTr="009B659C">
        <w:trPr>
          <w:trHeight w:val="285"/>
        </w:trPr>
        <w:tc>
          <w:tcPr>
            <w:tcW w:w="346" w:type="pct"/>
            <w:tcBorders>
              <w:top w:val="nil"/>
              <w:left w:val="single" w:sz="4" w:space="0" w:color="auto"/>
              <w:bottom w:val="nil"/>
              <w:right w:val="nil"/>
            </w:tcBorders>
            <w:noWrap/>
            <w:vAlign w:val="center"/>
            <w:hideMark/>
          </w:tcPr>
          <w:p w14:paraId="5DA7F24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F0619DC"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Traditional Owner Settlement Act 2010</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781AC9C3"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36BB2A9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55C9F5E" w14:textId="77777777" w:rsidR="00DA554C" w:rsidRPr="00DA554C" w:rsidRDefault="00DA554C" w:rsidP="00DA554C">
            <w:pPr>
              <w:jc w:val="center"/>
              <w:rPr>
                <w:rFonts w:ascii="Times New Roman" w:hAnsi="Times New Roman"/>
                <w:lang w:eastAsia="ko-KR"/>
              </w:rPr>
            </w:pPr>
          </w:p>
        </w:tc>
      </w:tr>
      <w:tr w:rsidR="00DA554C" w:rsidRPr="00DA554C" w14:paraId="49B51AA5" w14:textId="77777777" w:rsidTr="009B659C">
        <w:trPr>
          <w:trHeight w:val="285"/>
        </w:trPr>
        <w:tc>
          <w:tcPr>
            <w:tcW w:w="346" w:type="pct"/>
            <w:tcBorders>
              <w:top w:val="nil"/>
              <w:left w:val="single" w:sz="4" w:space="0" w:color="auto"/>
              <w:bottom w:val="nil"/>
              <w:right w:val="nil"/>
            </w:tcBorders>
            <w:noWrap/>
            <w:vAlign w:val="center"/>
            <w:hideMark/>
          </w:tcPr>
          <w:p w14:paraId="6C23FEF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BF9F6F1"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Valuation of Land Act 1960</w:t>
            </w:r>
            <w:r w:rsidRPr="00DA554C">
              <w:rPr>
                <w:rFonts w:ascii="Arial" w:hAnsi="Arial" w:cs="Arial"/>
                <w:color w:val="000000"/>
                <w:sz w:val="18"/>
                <w:szCs w:val="18"/>
                <w:lang w:eastAsia="ko-KR"/>
              </w:rPr>
              <w:t xml:space="preserve"> </w:t>
            </w:r>
          </w:p>
        </w:tc>
        <w:tc>
          <w:tcPr>
            <w:tcW w:w="521" w:type="pct"/>
            <w:tcBorders>
              <w:top w:val="nil"/>
              <w:left w:val="single" w:sz="4" w:space="0" w:color="auto"/>
              <w:bottom w:val="nil"/>
              <w:right w:val="nil"/>
            </w:tcBorders>
            <w:vAlign w:val="center"/>
            <w:hideMark/>
          </w:tcPr>
          <w:p w14:paraId="7F835CE1" w14:textId="77777777" w:rsidR="00DA554C" w:rsidRPr="00DA554C" w:rsidRDefault="00DA554C" w:rsidP="00DA554C">
            <w:pPr>
              <w:rPr>
                <w:rFonts w:ascii="Arial" w:hAnsi="Arial" w:cs="Arial"/>
                <w:b/>
                <w:bCs/>
                <w:color w:val="000000"/>
                <w:sz w:val="18"/>
                <w:szCs w:val="18"/>
                <w:lang w:eastAsia="ko-KR"/>
              </w:rPr>
            </w:pPr>
          </w:p>
        </w:tc>
        <w:tc>
          <w:tcPr>
            <w:tcW w:w="483" w:type="pct"/>
            <w:tcBorders>
              <w:top w:val="nil"/>
              <w:left w:val="nil"/>
              <w:bottom w:val="nil"/>
              <w:right w:val="nil"/>
            </w:tcBorders>
            <w:vAlign w:val="center"/>
            <w:hideMark/>
          </w:tcPr>
          <w:p w14:paraId="6D8F221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71AC99C" w14:textId="77777777" w:rsidR="00DA554C" w:rsidRPr="00DA554C" w:rsidRDefault="00DA554C" w:rsidP="00DA554C">
            <w:pPr>
              <w:jc w:val="center"/>
              <w:rPr>
                <w:rFonts w:ascii="Times New Roman" w:hAnsi="Times New Roman"/>
                <w:lang w:eastAsia="ko-KR"/>
              </w:rPr>
            </w:pPr>
          </w:p>
        </w:tc>
      </w:tr>
      <w:tr w:rsidR="00DA554C" w:rsidRPr="00DA554C" w14:paraId="794E6031" w14:textId="77777777" w:rsidTr="009B659C">
        <w:trPr>
          <w:trHeight w:val="285"/>
        </w:trPr>
        <w:tc>
          <w:tcPr>
            <w:tcW w:w="346" w:type="pct"/>
            <w:tcBorders>
              <w:top w:val="nil"/>
              <w:left w:val="single" w:sz="4" w:space="0" w:color="auto"/>
              <w:bottom w:val="nil"/>
              <w:right w:val="nil"/>
            </w:tcBorders>
            <w:noWrap/>
            <w:vAlign w:val="center"/>
            <w:hideMark/>
          </w:tcPr>
          <w:p w14:paraId="43CC15E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7709F87" w14:textId="77777777" w:rsidR="00DA554C" w:rsidRPr="00DA554C" w:rsidRDefault="00DA554C" w:rsidP="00DA554C">
            <w:pPr>
              <w:rPr>
                <w:rFonts w:ascii="Arial" w:hAnsi="Arial" w:cs="Arial"/>
                <w:b/>
                <w:bCs/>
                <w:color w:val="000000"/>
                <w:sz w:val="18"/>
                <w:szCs w:val="18"/>
                <w:lang w:eastAsia="ko-KR"/>
              </w:rPr>
            </w:pPr>
            <w:r w:rsidRPr="00DA554C">
              <w:rPr>
                <w:rFonts w:ascii="Arial" w:hAnsi="Arial" w:cs="Arial"/>
                <w:b/>
                <w:bCs/>
                <w:color w:val="000000"/>
                <w:sz w:val="18"/>
                <w:szCs w:val="18"/>
                <w:lang w:eastAsia="ko-KR"/>
              </w:rPr>
              <w:t>Water Act 1989</w:t>
            </w:r>
            <w:r w:rsidRPr="00DA554C">
              <w:rPr>
                <w:rFonts w:ascii="Arial" w:hAnsi="Arial" w:cs="Arial"/>
                <w:color w:val="000000"/>
                <w:sz w:val="18"/>
                <w:szCs w:val="18"/>
                <w:lang w:eastAsia="ko-KR"/>
              </w:rPr>
              <w:t xml:space="preserve">, except section 19 </w:t>
            </w:r>
          </w:p>
        </w:tc>
        <w:tc>
          <w:tcPr>
            <w:tcW w:w="521" w:type="pct"/>
            <w:tcBorders>
              <w:top w:val="nil"/>
              <w:left w:val="single" w:sz="4" w:space="0" w:color="auto"/>
              <w:bottom w:val="nil"/>
              <w:right w:val="nil"/>
            </w:tcBorders>
            <w:vAlign w:val="center"/>
            <w:hideMark/>
          </w:tcPr>
          <w:p w14:paraId="06A4AD6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1,571.8</w:t>
            </w:r>
          </w:p>
        </w:tc>
        <w:tc>
          <w:tcPr>
            <w:tcW w:w="483" w:type="pct"/>
            <w:tcBorders>
              <w:top w:val="nil"/>
              <w:left w:val="nil"/>
              <w:bottom w:val="nil"/>
              <w:right w:val="nil"/>
            </w:tcBorders>
            <w:vAlign w:val="center"/>
            <w:hideMark/>
          </w:tcPr>
          <w:p w14:paraId="769CF41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518.7</w:t>
            </w:r>
          </w:p>
        </w:tc>
        <w:tc>
          <w:tcPr>
            <w:tcW w:w="598" w:type="pct"/>
            <w:tcBorders>
              <w:top w:val="nil"/>
              <w:left w:val="nil"/>
              <w:bottom w:val="nil"/>
              <w:right w:val="single" w:sz="4" w:space="0" w:color="auto"/>
            </w:tcBorders>
            <w:vAlign w:val="center"/>
            <w:hideMark/>
          </w:tcPr>
          <w:p w14:paraId="7E4D5F4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172.9</w:t>
            </w:r>
          </w:p>
        </w:tc>
      </w:tr>
      <w:tr w:rsidR="00DA554C" w:rsidRPr="00DA554C" w14:paraId="285EA70E" w14:textId="77777777" w:rsidTr="009B659C">
        <w:trPr>
          <w:trHeight w:val="450"/>
        </w:trPr>
        <w:tc>
          <w:tcPr>
            <w:tcW w:w="346" w:type="pct"/>
            <w:tcBorders>
              <w:top w:val="single" w:sz="4" w:space="0" w:color="auto"/>
              <w:left w:val="single" w:sz="4" w:space="0" w:color="auto"/>
              <w:bottom w:val="nil"/>
              <w:right w:val="nil"/>
            </w:tcBorders>
            <w:noWrap/>
            <w:vAlign w:val="center"/>
            <w:hideMark/>
          </w:tcPr>
          <w:p w14:paraId="4ECD39C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7</w:t>
            </w:r>
          </w:p>
        </w:tc>
        <w:tc>
          <w:tcPr>
            <w:tcW w:w="3052" w:type="pct"/>
            <w:tcBorders>
              <w:top w:val="single" w:sz="4" w:space="0" w:color="auto"/>
              <w:left w:val="single" w:sz="4" w:space="0" w:color="auto"/>
              <w:bottom w:val="nil"/>
              <w:right w:val="nil"/>
            </w:tcBorders>
            <w:vAlign w:val="center"/>
            <w:hideMark/>
          </w:tcPr>
          <w:p w14:paraId="322F4D02"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commencement of a proceeding under section 89(5)(a)</w:t>
            </w:r>
            <w:r w:rsidRPr="00DA554C">
              <w:rPr>
                <w:rFonts w:ascii="Arial" w:hAnsi="Arial" w:cs="Arial"/>
                <w:b/>
                <w:bCs/>
                <w:color w:val="000000"/>
                <w:sz w:val="18"/>
                <w:szCs w:val="18"/>
                <w:lang w:eastAsia="ko-KR"/>
              </w:rPr>
              <w:t xml:space="preserve"> </w:t>
            </w:r>
            <w:r w:rsidRPr="00DA554C">
              <w:rPr>
                <w:rFonts w:ascii="Arial" w:hAnsi="Arial" w:cs="Arial"/>
                <w:color w:val="000000"/>
                <w:sz w:val="18"/>
                <w:szCs w:val="18"/>
                <w:lang w:eastAsia="ko-KR"/>
              </w:rPr>
              <w:t>of the</w:t>
            </w:r>
            <w:r w:rsidRPr="00DA554C">
              <w:rPr>
                <w:rFonts w:ascii="Arial" w:hAnsi="Arial" w:cs="Arial"/>
                <w:b/>
                <w:bCs/>
                <w:color w:val="000000"/>
                <w:sz w:val="18"/>
                <w:szCs w:val="18"/>
                <w:lang w:eastAsia="ko-KR"/>
              </w:rPr>
              <w:t xml:space="preserve"> Equal Opportunity Act 2010</w:t>
            </w:r>
          </w:p>
        </w:tc>
        <w:tc>
          <w:tcPr>
            <w:tcW w:w="521" w:type="pct"/>
            <w:tcBorders>
              <w:top w:val="single" w:sz="4" w:space="0" w:color="auto"/>
              <w:left w:val="single" w:sz="4" w:space="0" w:color="auto"/>
              <w:bottom w:val="nil"/>
              <w:right w:val="nil"/>
            </w:tcBorders>
            <w:vAlign w:val="center"/>
            <w:hideMark/>
          </w:tcPr>
          <w:p w14:paraId="5BAA0FE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1,197.6</w:t>
            </w:r>
          </w:p>
        </w:tc>
        <w:tc>
          <w:tcPr>
            <w:tcW w:w="483" w:type="pct"/>
            <w:tcBorders>
              <w:top w:val="single" w:sz="4" w:space="0" w:color="auto"/>
              <w:left w:val="nil"/>
              <w:bottom w:val="nil"/>
              <w:right w:val="nil"/>
            </w:tcBorders>
            <w:vAlign w:val="center"/>
            <w:hideMark/>
          </w:tcPr>
          <w:p w14:paraId="26310A6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c>
          <w:tcPr>
            <w:tcW w:w="598" w:type="pct"/>
            <w:tcBorders>
              <w:top w:val="single" w:sz="4" w:space="0" w:color="auto"/>
              <w:left w:val="nil"/>
              <w:bottom w:val="nil"/>
              <w:right w:val="single" w:sz="4" w:space="0" w:color="auto"/>
            </w:tcBorders>
            <w:vAlign w:val="center"/>
            <w:hideMark/>
          </w:tcPr>
          <w:p w14:paraId="4267EF9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7D76E71D" w14:textId="77777777" w:rsidTr="009B659C">
        <w:trPr>
          <w:trHeight w:val="285"/>
        </w:trPr>
        <w:tc>
          <w:tcPr>
            <w:tcW w:w="346" w:type="pct"/>
            <w:tcBorders>
              <w:top w:val="single" w:sz="4" w:space="0" w:color="auto"/>
              <w:left w:val="single" w:sz="4" w:space="0" w:color="auto"/>
              <w:bottom w:val="nil"/>
              <w:right w:val="nil"/>
            </w:tcBorders>
            <w:noWrap/>
            <w:vAlign w:val="center"/>
            <w:hideMark/>
          </w:tcPr>
          <w:p w14:paraId="523B96F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w:t>
            </w:r>
          </w:p>
        </w:tc>
        <w:tc>
          <w:tcPr>
            <w:tcW w:w="3052" w:type="pct"/>
            <w:tcBorders>
              <w:top w:val="single" w:sz="4" w:space="0" w:color="auto"/>
              <w:left w:val="single" w:sz="4" w:space="0" w:color="auto"/>
              <w:bottom w:val="nil"/>
              <w:right w:val="nil"/>
            </w:tcBorders>
            <w:vAlign w:val="center"/>
            <w:hideMark/>
          </w:tcPr>
          <w:p w14:paraId="531B0ACC"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commencement of a proceeding under—</w:t>
            </w:r>
          </w:p>
        </w:tc>
        <w:tc>
          <w:tcPr>
            <w:tcW w:w="521" w:type="pct"/>
            <w:tcBorders>
              <w:top w:val="single" w:sz="4" w:space="0" w:color="auto"/>
              <w:left w:val="single" w:sz="4" w:space="0" w:color="auto"/>
              <w:bottom w:val="nil"/>
              <w:right w:val="nil"/>
            </w:tcBorders>
            <w:vAlign w:val="center"/>
            <w:hideMark/>
          </w:tcPr>
          <w:p w14:paraId="4F7A0D20"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18565660"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433C5ADF" w14:textId="77777777" w:rsidR="00DA554C" w:rsidRPr="00DA554C" w:rsidRDefault="00DA554C" w:rsidP="00DA554C">
            <w:pPr>
              <w:jc w:val="center"/>
              <w:rPr>
                <w:rFonts w:ascii="Times New Roman" w:hAnsi="Times New Roman"/>
                <w:lang w:eastAsia="ko-KR"/>
              </w:rPr>
            </w:pPr>
          </w:p>
        </w:tc>
      </w:tr>
      <w:tr w:rsidR="00DA554C" w:rsidRPr="00DA554C" w14:paraId="153EA31A" w14:textId="77777777" w:rsidTr="009B659C">
        <w:trPr>
          <w:trHeight w:val="540"/>
        </w:trPr>
        <w:tc>
          <w:tcPr>
            <w:tcW w:w="346" w:type="pct"/>
            <w:tcBorders>
              <w:top w:val="nil"/>
              <w:left w:val="single" w:sz="4" w:space="0" w:color="auto"/>
              <w:bottom w:val="nil"/>
              <w:right w:val="nil"/>
            </w:tcBorders>
            <w:noWrap/>
            <w:vAlign w:val="center"/>
            <w:hideMark/>
          </w:tcPr>
          <w:p w14:paraId="558D360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255E7300"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 xml:space="preserve">(a) the </w:t>
            </w:r>
            <w:r w:rsidRPr="00DA554C">
              <w:rPr>
                <w:rFonts w:ascii="Arial" w:hAnsi="Arial" w:cs="Arial"/>
                <w:b/>
                <w:bCs/>
                <w:color w:val="000000"/>
                <w:sz w:val="18"/>
                <w:szCs w:val="18"/>
                <w:lang w:eastAsia="ko-KR"/>
              </w:rPr>
              <w:t>Australian Consumer Law and Fair Trading Act 2012</w:t>
            </w:r>
            <w:r w:rsidRPr="00DA554C">
              <w:rPr>
                <w:rFonts w:ascii="Arial" w:hAnsi="Arial" w:cs="Arial"/>
                <w:color w:val="000000"/>
                <w:sz w:val="18"/>
                <w:szCs w:val="18"/>
                <w:lang w:eastAsia="ko-KR"/>
              </w:rPr>
              <w:t>, except a proceeding allocated to the residential tenancies division; or</w:t>
            </w:r>
          </w:p>
        </w:tc>
        <w:tc>
          <w:tcPr>
            <w:tcW w:w="521" w:type="pct"/>
            <w:tcBorders>
              <w:top w:val="nil"/>
              <w:left w:val="single" w:sz="4" w:space="0" w:color="auto"/>
              <w:bottom w:val="nil"/>
              <w:right w:val="nil"/>
            </w:tcBorders>
            <w:vAlign w:val="center"/>
            <w:hideMark/>
          </w:tcPr>
          <w:p w14:paraId="336E9347"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3414E13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00FB27A" w14:textId="77777777" w:rsidR="00DA554C" w:rsidRPr="00DA554C" w:rsidRDefault="00DA554C" w:rsidP="00DA554C">
            <w:pPr>
              <w:jc w:val="center"/>
              <w:rPr>
                <w:rFonts w:ascii="Times New Roman" w:hAnsi="Times New Roman"/>
                <w:lang w:eastAsia="ko-KR"/>
              </w:rPr>
            </w:pPr>
          </w:p>
        </w:tc>
      </w:tr>
      <w:tr w:rsidR="00DA554C" w:rsidRPr="00DA554C" w14:paraId="09BAD38E" w14:textId="77777777" w:rsidTr="009B659C">
        <w:trPr>
          <w:trHeight w:val="285"/>
        </w:trPr>
        <w:tc>
          <w:tcPr>
            <w:tcW w:w="346" w:type="pct"/>
            <w:tcBorders>
              <w:top w:val="nil"/>
              <w:left w:val="single" w:sz="4" w:space="0" w:color="auto"/>
              <w:bottom w:val="nil"/>
              <w:right w:val="nil"/>
            </w:tcBorders>
            <w:noWrap/>
            <w:vAlign w:val="center"/>
            <w:hideMark/>
          </w:tcPr>
          <w:p w14:paraId="1F03D97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1B971FB"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(b) section 99 of the</w:t>
            </w:r>
            <w:r w:rsidRPr="00DA554C">
              <w:rPr>
                <w:rFonts w:ascii="Arial" w:hAnsi="Arial" w:cs="Arial"/>
                <w:b/>
                <w:bCs/>
                <w:color w:val="000000"/>
                <w:sz w:val="18"/>
                <w:szCs w:val="18"/>
                <w:lang w:eastAsia="ko-KR"/>
              </w:rPr>
              <w:t xml:space="preserve"> Legal Profession Uniform Law Application Act 2014</w:t>
            </w:r>
            <w:r w:rsidRPr="00DA554C">
              <w:rPr>
                <w:rFonts w:ascii="Arial" w:hAnsi="Arial" w:cs="Arial"/>
                <w:color w:val="000000"/>
                <w:sz w:val="18"/>
                <w:szCs w:val="18"/>
                <w:lang w:eastAsia="ko-KR"/>
              </w:rPr>
              <w:t>—</w:t>
            </w:r>
          </w:p>
        </w:tc>
        <w:tc>
          <w:tcPr>
            <w:tcW w:w="521" w:type="pct"/>
            <w:tcBorders>
              <w:top w:val="nil"/>
              <w:left w:val="single" w:sz="4" w:space="0" w:color="auto"/>
              <w:bottom w:val="nil"/>
              <w:right w:val="nil"/>
            </w:tcBorders>
            <w:vAlign w:val="center"/>
            <w:hideMark/>
          </w:tcPr>
          <w:p w14:paraId="72569148"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7E1074F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863DA4E" w14:textId="77777777" w:rsidR="00DA554C" w:rsidRPr="00DA554C" w:rsidRDefault="00DA554C" w:rsidP="00DA554C">
            <w:pPr>
              <w:jc w:val="center"/>
              <w:rPr>
                <w:rFonts w:ascii="Times New Roman" w:hAnsi="Times New Roman"/>
                <w:lang w:eastAsia="ko-KR"/>
              </w:rPr>
            </w:pPr>
          </w:p>
        </w:tc>
      </w:tr>
      <w:tr w:rsidR="00DA554C" w:rsidRPr="00DA554C" w14:paraId="7C11A120" w14:textId="77777777" w:rsidTr="009B659C">
        <w:trPr>
          <w:trHeight w:val="285"/>
        </w:trPr>
        <w:tc>
          <w:tcPr>
            <w:tcW w:w="346" w:type="pct"/>
            <w:tcBorders>
              <w:top w:val="nil"/>
              <w:left w:val="single" w:sz="4" w:space="0" w:color="auto"/>
              <w:bottom w:val="nil"/>
              <w:right w:val="nil"/>
            </w:tcBorders>
            <w:noWrap/>
            <w:vAlign w:val="center"/>
            <w:hideMark/>
          </w:tcPr>
          <w:p w14:paraId="5F52B3A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2C39319"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if the claim is—</w:t>
            </w:r>
          </w:p>
        </w:tc>
        <w:tc>
          <w:tcPr>
            <w:tcW w:w="521" w:type="pct"/>
            <w:tcBorders>
              <w:top w:val="nil"/>
              <w:left w:val="single" w:sz="4" w:space="0" w:color="auto"/>
              <w:bottom w:val="nil"/>
              <w:right w:val="nil"/>
            </w:tcBorders>
            <w:vAlign w:val="center"/>
            <w:hideMark/>
          </w:tcPr>
          <w:p w14:paraId="23EECFBF"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1BA4859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1A4D87B" w14:textId="77777777" w:rsidR="00DA554C" w:rsidRPr="00DA554C" w:rsidRDefault="00DA554C" w:rsidP="00DA554C">
            <w:pPr>
              <w:jc w:val="center"/>
              <w:rPr>
                <w:rFonts w:ascii="Times New Roman" w:hAnsi="Times New Roman"/>
                <w:lang w:eastAsia="ko-KR"/>
              </w:rPr>
            </w:pPr>
          </w:p>
        </w:tc>
      </w:tr>
      <w:tr w:rsidR="00DA554C" w:rsidRPr="00DA554C" w14:paraId="17440BFC" w14:textId="77777777" w:rsidTr="009B659C">
        <w:trPr>
          <w:trHeight w:val="285"/>
        </w:trPr>
        <w:tc>
          <w:tcPr>
            <w:tcW w:w="346" w:type="pct"/>
            <w:tcBorders>
              <w:top w:val="nil"/>
              <w:left w:val="single" w:sz="4" w:space="0" w:color="auto"/>
              <w:bottom w:val="nil"/>
              <w:right w:val="nil"/>
            </w:tcBorders>
            <w:noWrap/>
            <w:vAlign w:val="center"/>
            <w:hideMark/>
          </w:tcPr>
          <w:p w14:paraId="4B5F3C8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FA253F9"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(d) for a sum that is specified, but is not more than $3000</w:t>
            </w:r>
          </w:p>
        </w:tc>
        <w:tc>
          <w:tcPr>
            <w:tcW w:w="521" w:type="pct"/>
            <w:tcBorders>
              <w:top w:val="nil"/>
              <w:left w:val="single" w:sz="4" w:space="0" w:color="auto"/>
              <w:bottom w:val="nil"/>
              <w:right w:val="nil"/>
            </w:tcBorders>
            <w:vAlign w:val="center"/>
            <w:hideMark/>
          </w:tcPr>
          <w:p w14:paraId="317C492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117.9</w:t>
            </w:r>
          </w:p>
        </w:tc>
        <w:tc>
          <w:tcPr>
            <w:tcW w:w="483" w:type="pct"/>
            <w:tcBorders>
              <w:top w:val="nil"/>
              <w:left w:val="nil"/>
              <w:bottom w:val="nil"/>
              <w:right w:val="nil"/>
            </w:tcBorders>
            <w:vAlign w:val="center"/>
            <w:hideMark/>
          </w:tcPr>
          <w:p w14:paraId="080E506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38.9</w:t>
            </w:r>
          </w:p>
        </w:tc>
        <w:tc>
          <w:tcPr>
            <w:tcW w:w="598" w:type="pct"/>
            <w:tcBorders>
              <w:top w:val="nil"/>
              <w:left w:val="nil"/>
              <w:bottom w:val="nil"/>
              <w:right w:val="single" w:sz="4" w:space="0" w:color="auto"/>
            </w:tcBorders>
            <w:vAlign w:val="center"/>
            <w:hideMark/>
          </w:tcPr>
          <w:p w14:paraId="282E677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46C516F7" w14:textId="77777777" w:rsidTr="009B659C">
        <w:trPr>
          <w:trHeight w:val="285"/>
        </w:trPr>
        <w:tc>
          <w:tcPr>
            <w:tcW w:w="346" w:type="pct"/>
            <w:tcBorders>
              <w:top w:val="nil"/>
              <w:left w:val="single" w:sz="4" w:space="0" w:color="auto"/>
              <w:bottom w:val="nil"/>
              <w:right w:val="nil"/>
            </w:tcBorders>
            <w:noWrap/>
            <w:vAlign w:val="center"/>
            <w:hideMark/>
          </w:tcPr>
          <w:p w14:paraId="288C8E8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3448B90"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(e) for a sum that is more than $3000 but not more than $15 000</w:t>
            </w:r>
          </w:p>
        </w:tc>
        <w:tc>
          <w:tcPr>
            <w:tcW w:w="521" w:type="pct"/>
            <w:tcBorders>
              <w:top w:val="nil"/>
              <w:left w:val="single" w:sz="4" w:space="0" w:color="auto"/>
              <w:bottom w:val="nil"/>
              <w:right w:val="nil"/>
            </w:tcBorders>
            <w:vAlign w:val="center"/>
            <w:hideMark/>
          </w:tcPr>
          <w:p w14:paraId="67AAE7D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393.0</w:t>
            </w:r>
          </w:p>
        </w:tc>
        <w:tc>
          <w:tcPr>
            <w:tcW w:w="483" w:type="pct"/>
            <w:tcBorders>
              <w:top w:val="nil"/>
              <w:left w:val="nil"/>
              <w:bottom w:val="nil"/>
              <w:right w:val="nil"/>
            </w:tcBorders>
            <w:vAlign w:val="center"/>
            <w:hideMark/>
          </w:tcPr>
          <w:p w14:paraId="228CAC0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129.7</w:t>
            </w:r>
          </w:p>
        </w:tc>
        <w:tc>
          <w:tcPr>
            <w:tcW w:w="598" w:type="pct"/>
            <w:tcBorders>
              <w:top w:val="nil"/>
              <w:left w:val="nil"/>
              <w:bottom w:val="nil"/>
              <w:right w:val="single" w:sz="4" w:space="0" w:color="auto"/>
            </w:tcBorders>
            <w:vAlign w:val="center"/>
            <w:hideMark/>
          </w:tcPr>
          <w:p w14:paraId="09B02D4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145A92F8" w14:textId="77777777" w:rsidTr="009B659C">
        <w:trPr>
          <w:trHeight w:val="285"/>
        </w:trPr>
        <w:tc>
          <w:tcPr>
            <w:tcW w:w="346" w:type="pct"/>
            <w:tcBorders>
              <w:top w:val="nil"/>
              <w:left w:val="single" w:sz="4" w:space="0" w:color="auto"/>
              <w:bottom w:val="nil"/>
              <w:right w:val="nil"/>
            </w:tcBorders>
            <w:noWrap/>
            <w:vAlign w:val="center"/>
            <w:hideMark/>
          </w:tcPr>
          <w:p w14:paraId="120EE15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FE797C0"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(f) not for a sum, or is for a sum that is—</w:t>
            </w:r>
          </w:p>
        </w:tc>
        <w:tc>
          <w:tcPr>
            <w:tcW w:w="521" w:type="pct"/>
            <w:tcBorders>
              <w:top w:val="nil"/>
              <w:left w:val="single" w:sz="4" w:space="0" w:color="auto"/>
              <w:bottom w:val="nil"/>
              <w:right w:val="nil"/>
            </w:tcBorders>
            <w:vAlign w:val="center"/>
            <w:hideMark/>
          </w:tcPr>
          <w:p w14:paraId="52B59616"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1B4BB51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26E164E" w14:textId="77777777" w:rsidR="00DA554C" w:rsidRPr="00DA554C" w:rsidRDefault="00DA554C" w:rsidP="00DA554C">
            <w:pPr>
              <w:jc w:val="center"/>
              <w:rPr>
                <w:rFonts w:ascii="Times New Roman" w:hAnsi="Times New Roman"/>
                <w:lang w:eastAsia="ko-KR"/>
              </w:rPr>
            </w:pPr>
          </w:p>
        </w:tc>
      </w:tr>
      <w:tr w:rsidR="00DA554C" w:rsidRPr="00DA554C" w14:paraId="11A84B16" w14:textId="77777777" w:rsidTr="009B659C">
        <w:trPr>
          <w:trHeight w:val="285"/>
        </w:trPr>
        <w:tc>
          <w:tcPr>
            <w:tcW w:w="346" w:type="pct"/>
            <w:tcBorders>
              <w:top w:val="nil"/>
              <w:left w:val="single" w:sz="4" w:space="0" w:color="auto"/>
              <w:bottom w:val="nil"/>
              <w:right w:val="nil"/>
            </w:tcBorders>
            <w:noWrap/>
            <w:vAlign w:val="center"/>
            <w:hideMark/>
          </w:tcPr>
          <w:p w14:paraId="71C4E56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29A14177"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(i) not specified; or</w:t>
            </w:r>
          </w:p>
        </w:tc>
        <w:tc>
          <w:tcPr>
            <w:tcW w:w="521" w:type="pct"/>
            <w:tcBorders>
              <w:top w:val="nil"/>
              <w:left w:val="single" w:sz="4" w:space="0" w:color="auto"/>
              <w:bottom w:val="nil"/>
              <w:right w:val="nil"/>
            </w:tcBorders>
            <w:vAlign w:val="center"/>
            <w:hideMark/>
          </w:tcPr>
          <w:p w14:paraId="2A5929C1" w14:textId="77777777" w:rsidR="00DA554C" w:rsidRPr="00DA554C" w:rsidRDefault="00DA554C" w:rsidP="00DA554C">
            <w:pPr>
              <w:ind w:firstLineChars="900" w:firstLine="162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39A39B71"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48F1F15" w14:textId="77777777" w:rsidR="00DA554C" w:rsidRPr="00DA554C" w:rsidRDefault="00DA554C" w:rsidP="00DA554C">
            <w:pPr>
              <w:jc w:val="center"/>
              <w:rPr>
                <w:rFonts w:ascii="Times New Roman" w:hAnsi="Times New Roman"/>
                <w:lang w:eastAsia="ko-KR"/>
              </w:rPr>
            </w:pPr>
          </w:p>
        </w:tc>
      </w:tr>
      <w:tr w:rsidR="00DA554C" w:rsidRPr="00DA554C" w14:paraId="42BCC2BD" w14:textId="77777777" w:rsidTr="009B659C">
        <w:trPr>
          <w:trHeight w:val="285"/>
        </w:trPr>
        <w:tc>
          <w:tcPr>
            <w:tcW w:w="346" w:type="pct"/>
            <w:tcBorders>
              <w:top w:val="nil"/>
              <w:left w:val="single" w:sz="4" w:space="0" w:color="auto"/>
              <w:bottom w:val="nil"/>
              <w:right w:val="nil"/>
            </w:tcBorders>
            <w:noWrap/>
            <w:vAlign w:val="center"/>
            <w:hideMark/>
          </w:tcPr>
          <w:p w14:paraId="0055586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52CE684"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(ii) more than $15 000 but not more than $100 000</w:t>
            </w:r>
          </w:p>
        </w:tc>
        <w:tc>
          <w:tcPr>
            <w:tcW w:w="521" w:type="pct"/>
            <w:tcBorders>
              <w:top w:val="nil"/>
              <w:left w:val="single" w:sz="4" w:space="0" w:color="auto"/>
              <w:bottom w:val="nil"/>
              <w:right w:val="nil"/>
            </w:tcBorders>
            <w:vAlign w:val="center"/>
            <w:hideMark/>
          </w:tcPr>
          <w:p w14:paraId="06944F4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879.5</w:t>
            </w:r>
          </w:p>
        </w:tc>
        <w:tc>
          <w:tcPr>
            <w:tcW w:w="483" w:type="pct"/>
            <w:tcBorders>
              <w:top w:val="nil"/>
              <w:left w:val="nil"/>
              <w:bottom w:val="nil"/>
              <w:right w:val="nil"/>
            </w:tcBorders>
            <w:vAlign w:val="center"/>
            <w:hideMark/>
          </w:tcPr>
          <w:p w14:paraId="02B1A87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290.2</w:t>
            </w:r>
          </w:p>
        </w:tc>
        <w:tc>
          <w:tcPr>
            <w:tcW w:w="598" w:type="pct"/>
            <w:tcBorders>
              <w:top w:val="nil"/>
              <w:left w:val="nil"/>
              <w:bottom w:val="nil"/>
              <w:right w:val="single" w:sz="4" w:space="0" w:color="auto"/>
            </w:tcBorders>
            <w:vAlign w:val="center"/>
            <w:hideMark/>
          </w:tcPr>
          <w:p w14:paraId="7499938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96.7</w:t>
            </w:r>
          </w:p>
        </w:tc>
      </w:tr>
      <w:tr w:rsidR="00DA554C" w:rsidRPr="00DA554C" w14:paraId="2F2382EA" w14:textId="77777777" w:rsidTr="009B659C">
        <w:trPr>
          <w:trHeight w:val="285"/>
        </w:trPr>
        <w:tc>
          <w:tcPr>
            <w:tcW w:w="346" w:type="pct"/>
            <w:tcBorders>
              <w:top w:val="nil"/>
              <w:left w:val="single" w:sz="4" w:space="0" w:color="auto"/>
              <w:bottom w:val="nil"/>
              <w:right w:val="nil"/>
            </w:tcBorders>
            <w:noWrap/>
            <w:vAlign w:val="center"/>
            <w:hideMark/>
          </w:tcPr>
          <w:p w14:paraId="5E87956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27BEBA9"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(g) for a sum that is more than $100 000 but not more than $500 000</w:t>
            </w:r>
          </w:p>
        </w:tc>
        <w:tc>
          <w:tcPr>
            <w:tcW w:w="521" w:type="pct"/>
            <w:tcBorders>
              <w:top w:val="nil"/>
              <w:left w:val="single" w:sz="4" w:space="0" w:color="auto"/>
              <w:bottom w:val="nil"/>
              <w:right w:val="nil"/>
            </w:tcBorders>
            <w:vAlign w:val="center"/>
            <w:hideMark/>
          </w:tcPr>
          <w:p w14:paraId="370C784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1,440.8</w:t>
            </w:r>
          </w:p>
        </w:tc>
        <w:tc>
          <w:tcPr>
            <w:tcW w:w="483" w:type="pct"/>
            <w:tcBorders>
              <w:top w:val="nil"/>
              <w:left w:val="nil"/>
              <w:bottom w:val="nil"/>
              <w:right w:val="nil"/>
            </w:tcBorders>
            <w:vAlign w:val="center"/>
            <w:hideMark/>
          </w:tcPr>
          <w:p w14:paraId="74700DD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475.5</w:t>
            </w:r>
          </w:p>
        </w:tc>
        <w:tc>
          <w:tcPr>
            <w:tcW w:w="598" w:type="pct"/>
            <w:tcBorders>
              <w:top w:val="nil"/>
              <w:left w:val="nil"/>
              <w:bottom w:val="nil"/>
              <w:right w:val="single" w:sz="4" w:space="0" w:color="auto"/>
            </w:tcBorders>
            <w:vAlign w:val="center"/>
            <w:hideMark/>
          </w:tcPr>
          <w:p w14:paraId="09D0ED1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158.5</w:t>
            </w:r>
          </w:p>
        </w:tc>
      </w:tr>
      <w:tr w:rsidR="00DA554C" w:rsidRPr="00DA554C" w14:paraId="7F9822D2" w14:textId="77777777" w:rsidTr="009B659C">
        <w:trPr>
          <w:trHeight w:val="285"/>
        </w:trPr>
        <w:tc>
          <w:tcPr>
            <w:tcW w:w="346" w:type="pct"/>
            <w:tcBorders>
              <w:top w:val="nil"/>
              <w:left w:val="single" w:sz="4" w:space="0" w:color="auto"/>
              <w:bottom w:val="nil"/>
              <w:right w:val="nil"/>
            </w:tcBorders>
            <w:noWrap/>
            <w:vAlign w:val="center"/>
            <w:hideMark/>
          </w:tcPr>
          <w:p w14:paraId="0062076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BC2BD54"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(h) for a sum that is more than $500 000 but not more than $1 million</w:t>
            </w:r>
          </w:p>
        </w:tc>
        <w:tc>
          <w:tcPr>
            <w:tcW w:w="521" w:type="pct"/>
            <w:tcBorders>
              <w:top w:val="nil"/>
              <w:left w:val="single" w:sz="4" w:space="0" w:color="auto"/>
              <w:bottom w:val="nil"/>
              <w:right w:val="nil"/>
            </w:tcBorders>
            <w:vAlign w:val="center"/>
            <w:hideMark/>
          </w:tcPr>
          <w:p w14:paraId="08E6213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1,964.8</w:t>
            </w:r>
          </w:p>
        </w:tc>
        <w:tc>
          <w:tcPr>
            <w:tcW w:w="483" w:type="pct"/>
            <w:tcBorders>
              <w:top w:val="nil"/>
              <w:left w:val="nil"/>
              <w:bottom w:val="nil"/>
              <w:right w:val="nil"/>
            </w:tcBorders>
            <w:vAlign w:val="center"/>
            <w:hideMark/>
          </w:tcPr>
          <w:p w14:paraId="7F956A8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648.4</w:t>
            </w:r>
          </w:p>
        </w:tc>
        <w:tc>
          <w:tcPr>
            <w:tcW w:w="598" w:type="pct"/>
            <w:tcBorders>
              <w:top w:val="nil"/>
              <w:left w:val="nil"/>
              <w:bottom w:val="nil"/>
              <w:right w:val="single" w:sz="4" w:space="0" w:color="auto"/>
            </w:tcBorders>
            <w:vAlign w:val="center"/>
            <w:hideMark/>
          </w:tcPr>
          <w:p w14:paraId="2224FA0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216.1</w:t>
            </w:r>
          </w:p>
        </w:tc>
      </w:tr>
      <w:tr w:rsidR="00DA554C" w:rsidRPr="00DA554C" w14:paraId="5E7DD7E8" w14:textId="77777777" w:rsidTr="009B659C">
        <w:trPr>
          <w:trHeight w:val="285"/>
        </w:trPr>
        <w:tc>
          <w:tcPr>
            <w:tcW w:w="346" w:type="pct"/>
            <w:tcBorders>
              <w:top w:val="nil"/>
              <w:left w:val="single" w:sz="4" w:space="0" w:color="auto"/>
              <w:bottom w:val="nil"/>
              <w:right w:val="nil"/>
            </w:tcBorders>
            <w:noWrap/>
            <w:vAlign w:val="center"/>
            <w:hideMark/>
          </w:tcPr>
          <w:p w14:paraId="0A7CDB6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2FA0E34"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(i) for a sum that is more than $1 million but not more than $5 million</w:t>
            </w:r>
          </w:p>
        </w:tc>
        <w:tc>
          <w:tcPr>
            <w:tcW w:w="521" w:type="pct"/>
            <w:tcBorders>
              <w:top w:val="nil"/>
              <w:left w:val="single" w:sz="4" w:space="0" w:color="auto"/>
              <w:bottom w:val="nil"/>
              <w:right w:val="nil"/>
            </w:tcBorders>
            <w:vAlign w:val="center"/>
            <w:hideMark/>
          </w:tcPr>
          <w:p w14:paraId="7DFFD08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2,488.7</w:t>
            </w:r>
          </w:p>
        </w:tc>
        <w:tc>
          <w:tcPr>
            <w:tcW w:w="483" w:type="pct"/>
            <w:tcBorders>
              <w:top w:val="nil"/>
              <w:left w:val="nil"/>
              <w:bottom w:val="nil"/>
              <w:right w:val="nil"/>
            </w:tcBorders>
            <w:vAlign w:val="center"/>
            <w:hideMark/>
          </w:tcPr>
          <w:p w14:paraId="59EFE41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821.3</w:t>
            </w:r>
          </w:p>
        </w:tc>
        <w:tc>
          <w:tcPr>
            <w:tcW w:w="598" w:type="pct"/>
            <w:tcBorders>
              <w:top w:val="nil"/>
              <w:left w:val="nil"/>
              <w:bottom w:val="nil"/>
              <w:right w:val="single" w:sz="4" w:space="0" w:color="auto"/>
            </w:tcBorders>
            <w:vAlign w:val="center"/>
            <w:hideMark/>
          </w:tcPr>
          <w:p w14:paraId="630F56B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273.8</w:t>
            </w:r>
          </w:p>
        </w:tc>
      </w:tr>
      <w:tr w:rsidR="00DA554C" w:rsidRPr="00DA554C" w14:paraId="7EC770EB" w14:textId="77777777" w:rsidTr="009B659C">
        <w:trPr>
          <w:trHeight w:val="285"/>
        </w:trPr>
        <w:tc>
          <w:tcPr>
            <w:tcW w:w="346" w:type="pct"/>
            <w:tcBorders>
              <w:top w:val="nil"/>
              <w:left w:val="single" w:sz="4" w:space="0" w:color="auto"/>
              <w:bottom w:val="nil"/>
              <w:right w:val="nil"/>
            </w:tcBorders>
            <w:noWrap/>
            <w:vAlign w:val="center"/>
            <w:hideMark/>
          </w:tcPr>
          <w:p w14:paraId="1CD0D90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32334D8"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(j) for a sum that is more than $5 million</w:t>
            </w:r>
          </w:p>
        </w:tc>
        <w:tc>
          <w:tcPr>
            <w:tcW w:w="521" w:type="pct"/>
            <w:tcBorders>
              <w:top w:val="nil"/>
              <w:left w:val="single" w:sz="4" w:space="0" w:color="auto"/>
              <w:bottom w:val="nil"/>
              <w:right w:val="nil"/>
            </w:tcBorders>
            <w:vAlign w:val="center"/>
            <w:hideMark/>
          </w:tcPr>
          <w:p w14:paraId="48AEFEA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3,012.7</w:t>
            </w:r>
          </w:p>
        </w:tc>
        <w:tc>
          <w:tcPr>
            <w:tcW w:w="483" w:type="pct"/>
            <w:tcBorders>
              <w:top w:val="nil"/>
              <w:left w:val="nil"/>
              <w:bottom w:val="nil"/>
              <w:right w:val="nil"/>
            </w:tcBorders>
            <w:vAlign w:val="center"/>
            <w:hideMark/>
          </w:tcPr>
          <w:p w14:paraId="7C6B879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994.2</w:t>
            </w:r>
          </w:p>
        </w:tc>
        <w:tc>
          <w:tcPr>
            <w:tcW w:w="598" w:type="pct"/>
            <w:tcBorders>
              <w:top w:val="nil"/>
              <w:left w:val="nil"/>
              <w:bottom w:val="nil"/>
              <w:right w:val="single" w:sz="4" w:space="0" w:color="auto"/>
            </w:tcBorders>
            <w:vAlign w:val="center"/>
            <w:hideMark/>
          </w:tcPr>
          <w:p w14:paraId="443D4D3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331.4</w:t>
            </w:r>
          </w:p>
        </w:tc>
      </w:tr>
      <w:tr w:rsidR="00DA554C" w:rsidRPr="00DA554C" w14:paraId="0DB456ED" w14:textId="77777777" w:rsidTr="009B659C">
        <w:trPr>
          <w:trHeight w:val="540"/>
        </w:trPr>
        <w:tc>
          <w:tcPr>
            <w:tcW w:w="346" w:type="pct"/>
            <w:tcBorders>
              <w:top w:val="single" w:sz="4" w:space="0" w:color="auto"/>
              <w:left w:val="single" w:sz="4" w:space="0" w:color="auto"/>
              <w:bottom w:val="nil"/>
              <w:right w:val="nil"/>
            </w:tcBorders>
            <w:noWrap/>
            <w:vAlign w:val="center"/>
            <w:hideMark/>
          </w:tcPr>
          <w:p w14:paraId="4443EDF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lastRenderedPageBreak/>
              <w:t>9</w:t>
            </w:r>
          </w:p>
        </w:tc>
        <w:tc>
          <w:tcPr>
            <w:tcW w:w="3052" w:type="pct"/>
            <w:tcBorders>
              <w:top w:val="single" w:sz="4" w:space="0" w:color="auto"/>
              <w:left w:val="single" w:sz="4" w:space="0" w:color="auto"/>
              <w:bottom w:val="nil"/>
              <w:right w:val="nil"/>
            </w:tcBorders>
            <w:vAlign w:val="center"/>
            <w:hideMark/>
          </w:tcPr>
          <w:p w14:paraId="7D0C1914"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the commencement of a proceeding under the </w:t>
            </w:r>
            <w:r w:rsidRPr="00DA554C">
              <w:rPr>
                <w:rFonts w:ascii="Arial" w:hAnsi="Arial" w:cs="Arial"/>
                <w:b/>
                <w:bCs/>
                <w:color w:val="000000"/>
                <w:sz w:val="18"/>
                <w:szCs w:val="18"/>
                <w:lang w:eastAsia="ko-KR"/>
              </w:rPr>
              <w:t>Domestic Building Contracts Act 1995</w:t>
            </w:r>
            <w:r w:rsidRPr="00DA554C">
              <w:rPr>
                <w:rFonts w:ascii="Arial" w:hAnsi="Arial" w:cs="Arial"/>
                <w:color w:val="000000"/>
                <w:sz w:val="18"/>
                <w:szCs w:val="18"/>
                <w:lang w:eastAsia="ko-KR"/>
              </w:rPr>
              <w:t>, except a proceeding under sections 45F, 63, 65, 66, 67 and 67A, if the claim is—</w:t>
            </w:r>
          </w:p>
        </w:tc>
        <w:tc>
          <w:tcPr>
            <w:tcW w:w="521" w:type="pct"/>
            <w:tcBorders>
              <w:top w:val="single" w:sz="4" w:space="0" w:color="auto"/>
              <w:left w:val="single" w:sz="4" w:space="0" w:color="auto"/>
              <w:bottom w:val="nil"/>
              <w:right w:val="nil"/>
            </w:tcBorders>
            <w:vAlign w:val="center"/>
            <w:hideMark/>
          </w:tcPr>
          <w:p w14:paraId="542B0EFF"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12EB3ADC"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653DC4D0" w14:textId="77777777" w:rsidR="00DA554C" w:rsidRPr="00DA554C" w:rsidRDefault="00DA554C" w:rsidP="00DA554C">
            <w:pPr>
              <w:jc w:val="center"/>
              <w:rPr>
                <w:rFonts w:ascii="Times New Roman" w:hAnsi="Times New Roman"/>
                <w:lang w:eastAsia="ko-KR"/>
              </w:rPr>
            </w:pPr>
          </w:p>
        </w:tc>
      </w:tr>
      <w:tr w:rsidR="00DA554C" w:rsidRPr="00DA554C" w14:paraId="45831029" w14:textId="77777777" w:rsidTr="009B659C">
        <w:trPr>
          <w:trHeight w:val="285"/>
        </w:trPr>
        <w:tc>
          <w:tcPr>
            <w:tcW w:w="346" w:type="pct"/>
            <w:tcBorders>
              <w:top w:val="nil"/>
              <w:left w:val="single" w:sz="4" w:space="0" w:color="auto"/>
              <w:bottom w:val="nil"/>
              <w:right w:val="nil"/>
            </w:tcBorders>
            <w:noWrap/>
            <w:vAlign w:val="center"/>
            <w:hideMark/>
          </w:tcPr>
          <w:p w14:paraId="5A77832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5EEA2AB"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(a) for a sum that is specified, but is not more than $3000</w:t>
            </w:r>
          </w:p>
        </w:tc>
        <w:tc>
          <w:tcPr>
            <w:tcW w:w="521" w:type="pct"/>
            <w:tcBorders>
              <w:top w:val="nil"/>
              <w:left w:val="single" w:sz="4" w:space="0" w:color="auto"/>
              <w:bottom w:val="nil"/>
              <w:right w:val="nil"/>
            </w:tcBorders>
            <w:vAlign w:val="center"/>
            <w:hideMark/>
          </w:tcPr>
          <w:p w14:paraId="1EE3428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117.9</w:t>
            </w:r>
          </w:p>
        </w:tc>
        <w:tc>
          <w:tcPr>
            <w:tcW w:w="483" w:type="pct"/>
            <w:tcBorders>
              <w:top w:val="nil"/>
              <w:left w:val="nil"/>
              <w:bottom w:val="nil"/>
              <w:right w:val="nil"/>
            </w:tcBorders>
            <w:vAlign w:val="center"/>
            <w:hideMark/>
          </w:tcPr>
          <w:p w14:paraId="0F7B142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38.9</w:t>
            </w:r>
          </w:p>
        </w:tc>
        <w:tc>
          <w:tcPr>
            <w:tcW w:w="598" w:type="pct"/>
            <w:tcBorders>
              <w:top w:val="nil"/>
              <w:left w:val="nil"/>
              <w:bottom w:val="nil"/>
              <w:right w:val="single" w:sz="4" w:space="0" w:color="auto"/>
            </w:tcBorders>
            <w:vAlign w:val="center"/>
            <w:hideMark/>
          </w:tcPr>
          <w:p w14:paraId="7FC1B67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13.0</w:t>
            </w:r>
          </w:p>
        </w:tc>
      </w:tr>
      <w:tr w:rsidR="00DA554C" w:rsidRPr="00DA554C" w14:paraId="3C638BEE" w14:textId="77777777" w:rsidTr="009B659C">
        <w:trPr>
          <w:trHeight w:val="285"/>
        </w:trPr>
        <w:tc>
          <w:tcPr>
            <w:tcW w:w="346" w:type="pct"/>
            <w:tcBorders>
              <w:top w:val="nil"/>
              <w:left w:val="single" w:sz="4" w:space="0" w:color="auto"/>
              <w:bottom w:val="nil"/>
              <w:right w:val="nil"/>
            </w:tcBorders>
            <w:noWrap/>
            <w:vAlign w:val="center"/>
            <w:hideMark/>
          </w:tcPr>
          <w:p w14:paraId="500FCFA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99D526C"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(b) for a sum that is more than $3000 but not more than $15 000</w:t>
            </w:r>
          </w:p>
        </w:tc>
        <w:tc>
          <w:tcPr>
            <w:tcW w:w="521" w:type="pct"/>
            <w:tcBorders>
              <w:top w:val="nil"/>
              <w:left w:val="single" w:sz="4" w:space="0" w:color="auto"/>
              <w:bottom w:val="nil"/>
              <w:right w:val="nil"/>
            </w:tcBorders>
            <w:vAlign w:val="center"/>
            <w:hideMark/>
          </w:tcPr>
          <w:p w14:paraId="736FA12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393.0</w:t>
            </w:r>
          </w:p>
        </w:tc>
        <w:tc>
          <w:tcPr>
            <w:tcW w:w="483" w:type="pct"/>
            <w:tcBorders>
              <w:top w:val="nil"/>
              <w:left w:val="nil"/>
              <w:bottom w:val="nil"/>
              <w:right w:val="nil"/>
            </w:tcBorders>
            <w:vAlign w:val="center"/>
            <w:hideMark/>
          </w:tcPr>
          <w:p w14:paraId="1C86E7B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129.7</w:t>
            </w:r>
          </w:p>
        </w:tc>
        <w:tc>
          <w:tcPr>
            <w:tcW w:w="598" w:type="pct"/>
            <w:tcBorders>
              <w:top w:val="nil"/>
              <w:left w:val="nil"/>
              <w:bottom w:val="nil"/>
              <w:right w:val="single" w:sz="4" w:space="0" w:color="auto"/>
            </w:tcBorders>
            <w:vAlign w:val="center"/>
            <w:hideMark/>
          </w:tcPr>
          <w:p w14:paraId="7E73D29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43.2</w:t>
            </w:r>
          </w:p>
        </w:tc>
      </w:tr>
      <w:tr w:rsidR="00DA554C" w:rsidRPr="00DA554C" w14:paraId="53173E24" w14:textId="77777777" w:rsidTr="009B659C">
        <w:trPr>
          <w:trHeight w:val="285"/>
        </w:trPr>
        <w:tc>
          <w:tcPr>
            <w:tcW w:w="346" w:type="pct"/>
            <w:tcBorders>
              <w:top w:val="nil"/>
              <w:left w:val="single" w:sz="4" w:space="0" w:color="auto"/>
              <w:bottom w:val="nil"/>
              <w:right w:val="nil"/>
            </w:tcBorders>
            <w:noWrap/>
            <w:vAlign w:val="center"/>
            <w:hideMark/>
          </w:tcPr>
          <w:p w14:paraId="51FBFA9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ACA01A5" w14:textId="77777777" w:rsidR="00DA554C" w:rsidRPr="00DA554C" w:rsidRDefault="00DA554C" w:rsidP="00F62F6D">
            <w:pPr>
              <w:rPr>
                <w:rFonts w:ascii="Arial" w:hAnsi="Arial" w:cs="Arial"/>
                <w:color w:val="000000"/>
                <w:sz w:val="18"/>
                <w:szCs w:val="18"/>
                <w:lang w:eastAsia="ko-KR"/>
              </w:rPr>
            </w:pPr>
            <w:bookmarkStart w:id="133" w:name="Option_2_(no_increase)!C181"/>
            <w:r w:rsidRPr="00DA554C">
              <w:rPr>
                <w:rFonts w:ascii="Arial" w:hAnsi="Arial" w:cs="Arial"/>
                <w:color w:val="000000"/>
                <w:sz w:val="18"/>
                <w:szCs w:val="18"/>
                <w:lang w:eastAsia="ko-KR"/>
              </w:rPr>
              <w:t>(c) not for a sum, or is for a sum that is—</w:t>
            </w:r>
            <w:bookmarkEnd w:id="133"/>
          </w:p>
        </w:tc>
        <w:tc>
          <w:tcPr>
            <w:tcW w:w="521" w:type="pct"/>
            <w:tcBorders>
              <w:top w:val="nil"/>
              <w:left w:val="single" w:sz="4" w:space="0" w:color="auto"/>
              <w:bottom w:val="nil"/>
              <w:right w:val="nil"/>
            </w:tcBorders>
            <w:vAlign w:val="center"/>
            <w:hideMark/>
          </w:tcPr>
          <w:p w14:paraId="42AE0204"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28901C96"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3BA564C2" w14:textId="77777777" w:rsidR="00DA554C" w:rsidRPr="00DA554C" w:rsidRDefault="00DA554C" w:rsidP="00DA554C">
            <w:pPr>
              <w:jc w:val="center"/>
              <w:rPr>
                <w:rFonts w:ascii="Times New Roman" w:hAnsi="Times New Roman"/>
                <w:lang w:eastAsia="ko-KR"/>
              </w:rPr>
            </w:pPr>
          </w:p>
        </w:tc>
      </w:tr>
      <w:tr w:rsidR="00DA554C" w:rsidRPr="00DA554C" w14:paraId="32155BAD" w14:textId="77777777" w:rsidTr="009B659C">
        <w:trPr>
          <w:trHeight w:val="285"/>
        </w:trPr>
        <w:tc>
          <w:tcPr>
            <w:tcW w:w="346" w:type="pct"/>
            <w:tcBorders>
              <w:top w:val="nil"/>
              <w:left w:val="single" w:sz="4" w:space="0" w:color="auto"/>
              <w:bottom w:val="nil"/>
              <w:right w:val="nil"/>
            </w:tcBorders>
            <w:noWrap/>
            <w:vAlign w:val="center"/>
            <w:hideMark/>
          </w:tcPr>
          <w:p w14:paraId="3DB7D8D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106DAA4"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(i) not specified; or</w:t>
            </w:r>
          </w:p>
        </w:tc>
        <w:tc>
          <w:tcPr>
            <w:tcW w:w="521" w:type="pct"/>
            <w:tcBorders>
              <w:top w:val="nil"/>
              <w:left w:val="single" w:sz="4" w:space="0" w:color="auto"/>
              <w:bottom w:val="nil"/>
              <w:right w:val="nil"/>
            </w:tcBorders>
            <w:vAlign w:val="center"/>
            <w:hideMark/>
          </w:tcPr>
          <w:p w14:paraId="0EFEAF4E" w14:textId="77777777" w:rsidR="00DA554C" w:rsidRPr="00DA554C" w:rsidRDefault="00DA554C" w:rsidP="00DA554C">
            <w:pPr>
              <w:ind w:firstLineChars="900" w:firstLine="162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5B98022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719667B4" w14:textId="77777777" w:rsidR="00DA554C" w:rsidRPr="00DA554C" w:rsidRDefault="00DA554C" w:rsidP="00DA554C">
            <w:pPr>
              <w:jc w:val="center"/>
              <w:rPr>
                <w:rFonts w:ascii="Times New Roman" w:hAnsi="Times New Roman"/>
                <w:lang w:eastAsia="ko-KR"/>
              </w:rPr>
            </w:pPr>
          </w:p>
        </w:tc>
      </w:tr>
      <w:tr w:rsidR="00DA554C" w:rsidRPr="00DA554C" w14:paraId="2490A91E" w14:textId="77777777" w:rsidTr="009B659C">
        <w:trPr>
          <w:trHeight w:val="285"/>
        </w:trPr>
        <w:tc>
          <w:tcPr>
            <w:tcW w:w="346" w:type="pct"/>
            <w:tcBorders>
              <w:top w:val="nil"/>
              <w:left w:val="single" w:sz="4" w:space="0" w:color="auto"/>
              <w:bottom w:val="nil"/>
              <w:right w:val="nil"/>
            </w:tcBorders>
            <w:noWrap/>
            <w:vAlign w:val="center"/>
            <w:hideMark/>
          </w:tcPr>
          <w:p w14:paraId="786ADC4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691873B"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(ii) more than $15 000 but not more than $100 000</w:t>
            </w:r>
          </w:p>
        </w:tc>
        <w:tc>
          <w:tcPr>
            <w:tcW w:w="521" w:type="pct"/>
            <w:tcBorders>
              <w:top w:val="nil"/>
              <w:left w:val="single" w:sz="4" w:space="0" w:color="auto"/>
              <w:bottom w:val="nil"/>
              <w:right w:val="nil"/>
            </w:tcBorders>
            <w:vAlign w:val="center"/>
            <w:hideMark/>
          </w:tcPr>
          <w:p w14:paraId="07FDAA9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879.5</w:t>
            </w:r>
          </w:p>
        </w:tc>
        <w:tc>
          <w:tcPr>
            <w:tcW w:w="483" w:type="pct"/>
            <w:tcBorders>
              <w:top w:val="nil"/>
              <w:left w:val="nil"/>
              <w:bottom w:val="nil"/>
              <w:right w:val="nil"/>
            </w:tcBorders>
            <w:vAlign w:val="center"/>
            <w:hideMark/>
          </w:tcPr>
          <w:p w14:paraId="298639A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290.2</w:t>
            </w:r>
          </w:p>
        </w:tc>
        <w:tc>
          <w:tcPr>
            <w:tcW w:w="598" w:type="pct"/>
            <w:tcBorders>
              <w:top w:val="nil"/>
              <w:left w:val="nil"/>
              <w:bottom w:val="nil"/>
              <w:right w:val="single" w:sz="4" w:space="0" w:color="auto"/>
            </w:tcBorders>
            <w:vAlign w:val="center"/>
            <w:hideMark/>
          </w:tcPr>
          <w:p w14:paraId="1D5D6FA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96.7</w:t>
            </w:r>
          </w:p>
        </w:tc>
      </w:tr>
      <w:tr w:rsidR="00DA554C" w:rsidRPr="00DA554C" w14:paraId="0FAE52BD" w14:textId="77777777" w:rsidTr="009B659C">
        <w:trPr>
          <w:trHeight w:val="285"/>
        </w:trPr>
        <w:tc>
          <w:tcPr>
            <w:tcW w:w="346" w:type="pct"/>
            <w:tcBorders>
              <w:top w:val="nil"/>
              <w:left w:val="single" w:sz="4" w:space="0" w:color="auto"/>
              <w:bottom w:val="nil"/>
              <w:right w:val="nil"/>
            </w:tcBorders>
            <w:noWrap/>
            <w:vAlign w:val="center"/>
            <w:hideMark/>
          </w:tcPr>
          <w:p w14:paraId="5CB4A2C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8D4FBE4"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(d) for a sum that is more than $100 000 but not more than $500 000</w:t>
            </w:r>
          </w:p>
        </w:tc>
        <w:tc>
          <w:tcPr>
            <w:tcW w:w="521" w:type="pct"/>
            <w:tcBorders>
              <w:top w:val="nil"/>
              <w:left w:val="single" w:sz="4" w:space="0" w:color="auto"/>
              <w:bottom w:val="nil"/>
              <w:right w:val="nil"/>
            </w:tcBorders>
            <w:vAlign w:val="center"/>
            <w:hideMark/>
          </w:tcPr>
          <w:p w14:paraId="3DD026A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1,440.8</w:t>
            </w:r>
          </w:p>
        </w:tc>
        <w:tc>
          <w:tcPr>
            <w:tcW w:w="483" w:type="pct"/>
            <w:tcBorders>
              <w:top w:val="nil"/>
              <w:left w:val="nil"/>
              <w:bottom w:val="nil"/>
              <w:right w:val="nil"/>
            </w:tcBorders>
            <w:vAlign w:val="center"/>
            <w:hideMark/>
          </w:tcPr>
          <w:p w14:paraId="7566CF4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475.5</w:t>
            </w:r>
          </w:p>
        </w:tc>
        <w:tc>
          <w:tcPr>
            <w:tcW w:w="598" w:type="pct"/>
            <w:tcBorders>
              <w:top w:val="nil"/>
              <w:left w:val="nil"/>
              <w:bottom w:val="nil"/>
              <w:right w:val="single" w:sz="4" w:space="0" w:color="auto"/>
            </w:tcBorders>
            <w:vAlign w:val="center"/>
            <w:hideMark/>
          </w:tcPr>
          <w:p w14:paraId="042B642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158.5</w:t>
            </w:r>
          </w:p>
        </w:tc>
      </w:tr>
      <w:tr w:rsidR="00DA554C" w:rsidRPr="00DA554C" w14:paraId="22BDDC9B" w14:textId="77777777" w:rsidTr="009B659C">
        <w:trPr>
          <w:trHeight w:val="285"/>
        </w:trPr>
        <w:tc>
          <w:tcPr>
            <w:tcW w:w="346" w:type="pct"/>
            <w:tcBorders>
              <w:top w:val="nil"/>
              <w:left w:val="single" w:sz="4" w:space="0" w:color="auto"/>
              <w:bottom w:val="nil"/>
              <w:right w:val="nil"/>
            </w:tcBorders>
            <w:noWrap/>
            <w:vAlign w:val="center"/>
            <w:hideMark/>
          </w:tcPr>
          <w:p w14:paraId="2DA8C7F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F0C4E7C"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(e) for a sum that is more than $500 000 but not more than $1 million</w:t>
            </w:r>
          </w:p>
        </w:tc>
        <w:tc>
          <w:tcPr>
            <w:tcW w:w="521" w:type="pct"/>
            <w:tcBorders>
              <w:top w:val="nil"/>
              <w:left w:val="single" w:sz="4" w:space="0" w:color="auto"/>
              <w:bottom w:val="nil"/>
              <w:right w:val="nil"/>
            </w:tcBorders>
            <w:vAlign w:val="center"/>
            <w:hideMark/>
          </w:tcPr>
          <w:p w14:paraId="562BB94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1,964.8</w:t>
            </w:r>
          </w:p>
        </w:tc>
        <w:tc>
          <w:tcPr>
            <w:tcW w:w="483" w:type="pct"/>
            <w:tcBorders>
              <w:top w:val="nil"/>
              <w:left w:val="nil"/>
              <w:bottom w:val="nil"/>
              <w:right w:val="nil"/>
            </w:tcBorders>
            <w:vAlign w:val="center"/>
            <w:hideMark/>
          </w:tcPr>
          <w:p w14:paraId="666F7E2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648.4</w:t>
            </w:r>
          </w:p>
        </w:tc>
        <w:tc>
          <w:tcPr>
            <w:tcW w:w="598" w:type="pct"/>
            <w:tcBorders>
              <w:top w:val="nil"/>
              <w:left w:val="nil"/>
              <w:bottom w:val="nil"/>
              <w:right w:val="single" w:sz="4" w:space="0" w:color="auto"/>
            </w:tcBorders>
            <w:vAlign w:val="center"/>
            <w:hideMark/>
          </w:tcPr>
          <w:p w14:paraId="5E489D0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216.1</w:t>
            </w:r>
          </w:p>
        </w:tc>
      </w:tr>
      <w:tr w:rsidR="00DA554C" w:rsidRPr="00DA554C" w14:paraId="335071D4" w14:textId="77777777" w:rsidTr="009B659C">
        <w:trPr>
          <w:trHeight w:val="285"/>
        </w:trPr>
        <w:tc>
          <w:tcPr>
            <w:tcW w:w="346" w:type="pct"/>
            <w:tcBorders>
              <w:top w:val="nil"/>
              <w:left w:val="single" w:sz="4" w:space="0" w:color="auto"/>
              <w:bottom w:val="nil"/>
              <w:right w:val="nil"/>
            </w:tcBorders>
            <w:noWrap/>
            <w:vAlign w:val="center"/>
            <w:hideMark/>
          </w:tcPr>
          <w:p w14:paraId="68C4FAD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7D76CA8"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(f) for a sum that is more than $1 million but not more than $5 million</w:t>
            </w:r>
          </w:p>
        </w:tc>
        <w:tc>
          <w:tcPr>
            <w:tcW w:w="521" w:type="pct"/>
            <w:tcBorders>
              <w:top w:val="nil"/>
              <w:left w:val="single" w:sz="4" w:space="0" w:color="auto"/>
              <w:bottom w:val="nil"/>
              <w:right w:val="nil"/>
            </w:tcBorders>
            <w:vAlign w:val="center"/>
            <w:hideMark/>
          </w:tcPr>
          <w:p w14:paraId="4E705A7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2,488.7</w:t>
            </w:r>
          </w:p>
        </w:tc>
        <w:tc>
          <w:tcPr>
            <w:tcW w:w="483" w:type="pct"/>
            <w:tcBorders>
              <w:top w:val="nil"/>
              <w:left w:val="nil"/>
              <w:bottom w:val="nil"/>
              <w:right w:val="nil"/>
            </w:tcBorders>
            <w:vAlign w:val="center"/>
            <w:hideMark/>
          </w:tcPr>
          <w:p w14:paraId="474BADF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821.3</w:t>
            </w:r>
          </w:p>
        </w:tc>
        <w:tc>
          <w:tcPr>
            <w:tcW w:w="598" w:type="pct"/>
            <w:tcBorders>
              <w:top w:val="nil"/>
              <w:left w:val="nil"/>
              <w:bottom w:val="nil"/>
              <w:right w:val="single" w:sz="4" w:space="0" w:color="auto"/>
            </w:tcBorders>
            <w:vAlign w:val="center"/>
            <w:hideMark/>
          </w:tcPr>
          <w:p w14:paraId="3D5CFC8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273.8</w:t>
            </w:r>
          </w:p>
        </w:tc>
      </w:tr>
      <w:tr w:rsidR="00DA554C" w:rsidRPr="00DA554C" w14:paraId="6FEFDD43" w14:textId="77777777" w:rsidTr="009B659C">
        <w:trPr>
          <w:trHeight w:val="285"/>
        </w:trPr>
        <w:tc>
          <w:tcPr>
            <w:tcW w:w="346" w:type="pct"/>
            <w:tcBorders>
              <w:top w:val="nil"/>
              <w:left w:val="single" w:sz="4" w:space="0" w:color="auto"/>
              <w:bottom w:val="nil"/>
              <w:right w:val="nil"/>
            </w:tcBorders>
            <w:noWrap/>
            <w:vAlign w:val="center"/>
            <w:hideMark/>
          </w:tcPr>
          <w:p w14:paraId="302BA0F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4CBF4FC"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(g) for a sum that is more than $5 million</w:t>
            </w:r>
          </w:p>
        </w:tc>
        <w:tc>
          <w:tcPr>
            <w:tcW w:w="521" w:type="pct"/>
            <w:tcBorders>
              <w:top w:val="nil"/>
              <w:left w:val="single" w:sz="4" w:space="0" w:color="auto"/>
              <w:bottom w:val="nil"/>
              <w:right w:val="nil"/>
            </w:tcBorders>
            <w:vAlign w:val="center"/>
            <w:hideMark/>
          </w:tcPr>
          <w:p w14:paraId="6F8230A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3,012.7</w:t>
            </w:r>
          </w:p>
        </w:tc>
        <w:tc>
          <w:tcPr>
            <w:tcW w:w="483" w:type="pct"/>
            <w:tcBorders>
              <w:top w:val="nil"/>
              <w:left w:val="nil"/>
              <w:bottom w:val="nil"/>
              <w:right w:val="nil"/>
            </w:tcBorders>
            <w:vAlign w:val="center"/>
            <w:hideMark/>
          </w:tcPr>
          <w:p w14:paraId="7092417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994.2</w:t>
            </w:r>
          </w:p>
        </w:tc>
        <w:tc>
          <w:tcPr>
            <w:tcW w:w="598" w:type="pct"/>
            <w:tcBorders>
              <w:top w:val="nil"/>
              <w:left w:val="nil"/>
              <w:bottom w:val="nil"/>
              <w:right w:val="single" w:sz="4" w:space="0" w:color="auto"/>
            </w:tcBorders>
            <w:vAlign w:val="center"/>
            <w:hideMark/>
          </w:tcPr>
          <w:p w14:paraId="35E6BD1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331.4</w:t>
            </w:r>
          </w:p>
        </w:tc>
      </w:tr>
      <w:tr w:rsidR="00DA554C" w:rsidRPr="00DA554C" w14:paraId="72FB07D0" w14:textId="77777777" w:rsidTr="009B659C">
        <w:trPr>
          <w:trHeight w:val="420"/>
        </w:trPr>
        <w:tc>
          <w:tcPr>
            <w:tcW w:w="346" w:type="pct"/>
            <w:tcBorders>
              <w:top w:val="single" w:sz="4" w:space="0" w:color="auto"/>
              <w:left w:val="single" w:sz="4" w:space="0" w:color="auto"/>
              <w:bottom w:val="nil"/>
              <w:right w:val="nil"/>
            </w:tcBorders>
            <w:noWrap/>
            <w:vAlign w:val="center"/>
            <w:hideMark/>
          </w:tcPr>
          <w:p w14:paraId="600833F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10</w:t>
            </w:r>
          </w:p>
        </w:tc>
        <w:tc>
          <w:tcPr>
            <w:tcW w:w="3052" w:type="pct"/>
            <w:tcBorders>
              <w:top w:val="single" w:sz="4" w:space="0" w:color="auto"/>
              <w:left w:val="single" w:sz="4" w:space="0" w:color="auto"/>
              <w:bottom w:val="nil"/>
              <w:right w:val="nil"/>
            </w:tcBorders>
            <w:vAlign w:val="center"/>
            <w:hideMark/>
          </w:tcPr>
          <w:p w14:paraId="35BFA3C4" w14:textId="77777777" w:rsidR="00DA554C" w:rsidRPr="00DA554C" w:rsidRDefault="00DA554C" w:rsidP="00DA554C">
            <w:pPr>
              <w:rPr>
                <w:rFonts w:ascii="Arial" w:hAnsi="Arial" w:cs="Arial"/>
                <w:color w:val="000000"/>
                <w:sz w:val="18"/>
                <w:szCs w:val="18"/>
                <w:lang w:eastAsia="ko-KR"/>
              </w:rPr>
            </w:pPr>
            <w:bookmarkStart w:id="134" w:name="Option_2_(no_increase)!C188"/>
            <w:r w:rsidRPr="00DA554C">
              <w:rPr>
                <w:rFonts w:ascii="Arial" w:hAnsi="Arial" w:cs="Arial"/>
                <w:color w:val="000000"/>
                <w:sz w:val="18"/>
                <w:szCs w:val="18"/>
                <w:lang w:eastAsia="ko-KR"/>
              </w:rPr>
              <w:t xml:space="preserve">For the commencement of a proceeding under the </w:t>
            </w:r>
            <w:r w:rsidRPr="00DA554C">
              <w:rPr>
                <w:rFonts w:ascii="Arial" w:hAnsi="Arial" w:cs="Arial"/>
                <w:b/>
                <w:bCs/>
                <w:color w:val="000000"/>
                <w:sz w:val="18"/>
                <w:szCs w:val="18"/>
                <w:lang w:eastAsia="ko-KR"/>
              </w:rPr>
              <w:t>Australian Consumer Law and Fair Trading Act 2012</w:t>
            </w:r>
            <w:r w:rsidRPr="00DA554C">
              <w:rPr>
                <w:rFonts w:ascii="Arial" w:hAnsi="Arial" w:cs="Arial"/>
                <w:color w:val="000000"/>
                <w:sz w:val="18"/>
                <w:szCs w:val="18"/>
                <w:lang w:eastAsia="ko-KR"/>
              </w:rPr>
              <w:t>, if the proceeding is allocated to the residential tenancies division and the claim is—</w:t>
            </w:r>
            <w:bookmarkEnd w:id="134"/>
          </w:p>
        </w:tc>
        <w:tc>
          <w:tcPr>
            <w:tcW w:w="521" w:type="pct"/>
            <w:tcBorders>
              <w:top w:val="single" w:sz="4" w:space="0" w:color="auto"/>
              <w:left w:val="single" w:sz="4" w:space="0" w:color="auto"/>
              <w:bottom w:val="nil"/>
              <w:right w:val="nil"/>
            </w:tcBorders>
            <w:vAlign w:val="center"/>
            <w:hideMark/>
          </w:tcPr>
          <w:p w14:paraId="13FA5FC9"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073963BC"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3FB3E23D" w14:textId="77777777" w:rsidR="00DA554C" w:rsidRPr="00DA554C" w:rsidRDefault="00DA554C" w:rsidP="00DA554C">
            <w:pPr>
              <w:jc w:val="center"/>
              <w:rPr>
                <w:rFonts w:ascii="Times New Roman" w:hAnsi="Times New Roman"/>
                <w:lang w:eastAsia="ko-KR"/>
              </w:rPr>
            </w:pPr>
          </w:p>
        </w:tc>
      </w:tr>
      <w:tr w:rsidR="00DA554C" w:rsidRPr="00DA554C" w14:paraId="1597EDA0" w14:textId="77777777" w:rsidTr="009B659C">
        <w:trPr>
          <w:trHeight w:val="285"/>
        </w:trPr>
        <w:tc>
          <w:tcPr>
            <w:tcW w:w="346" w:type="pct"/>
            <w:tcBorders>
              <w:top w:val="nil"/>
              <w:left w:val="single" w:sz="4" w:space="0" w:color="auto"/>
              <w:bottom w:val="nil"/>
              <w:right w:val="nil"/>
            </w:tcBorders>
            <w:noWrap/>
            <w:vAlign w:val="center"/>
            <w:hideMark/>
          </w:tcPr>
          <w:p w14:paraId="2367A59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A490CA4"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(a) for a sum that is not more than $15 000 or not for a sum</w:t>
            </w:r>
          </w:p>
        </w:tc>
        <w:tc>
          <w:tcPr>
            <w:tcW w:w="521" w:type="pct"/>
            <w:tcBorders>
              <w:top w:val="nil"/>
              <w:left w:val="single" w:sz="4" w:space="0" w:color="auto"/>
              <w:bottom w:val="nil"/>
              <w:right w:val="nil"/>
            </w:tcBorders>
            <w:vAlign w:val="center"/>
            <w:hideMark/>
          </w:tcPr>
          <w:p w14:paraId="3F76C78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117.9</w:t>
            </w:r>
          </w:p>
        </w:tc>
        <w:tc>
          <w:tcPr>
            <w:tcW w:w="483" w:type="pct"/>
            <w:tcBorders>
              <w:top w:val="nil"/>
              <w:left w:val="nil"/>
              <w:bottom w:val="nil"/>
              <w:right w:val="nil"/>
            </w:tcBorders>
            <w:vAlign w:val="center"/>
            <w:hideMark/>
          </w:tcPr>
          <w:p w14:paraId="4AD202C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38.9</w:t>
            </w:r>
          </w:p>
        </w:tc>
        <w:tc>
          <w:tcPr>
            <w:tcW w:w="598" w:type="pct"/>
            <w:tcBorders>
              <w:top w:val="nil"/>
              <w:left w:val="nil"/>
              <w:bottom w:val="nil"/>
              <w:right w:val="single" w:sz="4" w:space="0" w:color="auto"/>
            </w:tcBorders>
            <w:vAlign w:val="center"/>
            <w:hideMark/>
          </w:tcPr>
          <w:p w14:paraId="75C1599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6D93CA36" w14:textId="77777777" w:rsidTr="009B659C">
        <w:trPr>
          <w:trHeight w:val="285"/>
        </w:trPr>
        <w:tc>
          <w:tcPr>
            <w:tcW w:w="346" w:type="pct"/>
            <w:tcBorders>
              <w:top w:val="nil"/>
              <w:left w:val="single" w:sz="4" w:space="0" w:color="auto"/>
              <w:bottom w:val="nil"/>
              <w:right w:val="nil"/>
            </w:tcBorders>
            <w:noWrap/>
            <w:vAlign w:val="center"/>
            <w:hideMark/>
          </w:tcPr>
          <w:p w14:paraId="0083C3E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9FF5846"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(b) for a sum that is not specified or is more than $15 000</w:t>
            </w:r>
          </w:p>
        </w:tc>
        <w:tc>
          <w:tcPr>
            <w:tcW w:w="521" w:type="pct"/>
            <w:tcBorders>
              <w:top w:val="nil"/>
              <w:left w:val="single" w:sz="4" w:space="0" w:color="auto"/>
              <w:bottom w:val="nil"/>
              <w:right w:val="nil"/>
            </w:tcBorders>
            <w:vAlign w:val="center"/>
            <w:hideMark/>
          </w:tcPr>
          <w:p w14:paraId="33EA49B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393.0</w:t>
            </w:r>
          </w:p>
        </w:tc>
        <w:tc>
          <w:tcPr>
            <w:tcW w:w="483" w:type="pct"/>
            <w:tcBorders>
              <w:top w:val="nil"/>
              <w:left w:val="nil"/>
              <w:bottom w:val="nil"/>
              <w:right w:val="nil"/>
            </w:tcBorders>
            <w:vAlign w:val="center"/>
            <w:hideMark/>
          </w:tcPr>
          <w:p w14:paraId="3E1B30C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129.7</w:t>
            </w:r>
          </w:p>
        </w:tc>
        <w:tc>
          <w:tcPr>
            <w:tcW w:w="598" w:type="pct"/>
            <w:tcBorders>
              <w:top w:val="nil"/>
              <w:left w:val="nil"/>
              <w:bottom w:val="nil"/>
              <w:right w:val="single" w:sz="4" w:space="0" w:color="auto"/>
            </w:tcBorders>
            <w:vAlign w:val="center"/>
            <w:hideMark/>
          </w:tcPr>
          <w:p w14:paraId="342AEB5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7B1C9FA4" w14:textId="77777777" w:rsidTr="009B659C">
        <w:trPr>
          <w:trHeight w:val="285"/>
        </w:trPr>
        <w:tc>
          <w:tcPr>
            <w:tcW w:w="346" w:type="pct"/>
            <w:tcBorders>
              <w:top w:val="single" w:sz="4" w:space="0" w:color="auto"/>
              <w:left w:val="single" w:sz="4" w:space="0" w:color="auto"/>
              <w:bottom w:val="nil"/>
              <w:right w:val="nil"/>
            </w:tcBorders>
            <w:noWrap/>
            <w:vAlign w:val="center"/>
            <w:hideMark/>
          </w:tcPr>
          <w:p w14:paraId="59C176B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w:t>
            </w:r>
          </w:p>
        </w:tc>
        <w:tc>
          <w:tcPr>
            <w:tcW w:w="3052" w:type="pct"/>
            <w:tcBorders>
              <w:top w:val="single" w:sz="4" w:space="0" w:color="auto"/>
              <w:left w:val="single" w:sz="4" w:space="0" w:color="auto"/>
              <w:bottom w:val="nil"/>
              <w:right w:val="single" w:sz="4" w:space="0" w:color="auto"/>
            </w:tcBorders>
            <w:vAlign w:val="center"/>
            <w:hideMark/>
          </w:tcPr>
          <w:p w14:paraId="6DF56469"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the commencement of a proceeding under the </w:t>
            </w:r>
            <w:r w:rsidRPr="00DA554C">
              <w:rPr>
                <w:rFonts w:ascii="Arial" w:hAnsi="Arial" w:cs="Arial"/>
                <w:b/>
                <w:bCs/>
                <w:color w:val="000000"/>
                <w:sz w:val="18"/>
                <w:szCs w:val="18"/>
                <w:lang w:eastAsia="ko-KR"/>
              </w:rPr>
              <w:t>Retail Leases Act 2003</w:t>
            </w:r>
            <w:r w:rsidRPr="00DA554C">
              <w:rPr>
                <w:rFonts w:ascii="Arial" w:hAnsi="Arial" w:cs="Arial"/>
                <w:color w:val="000000"/>
                <w:sz w:val="18"/>
                <w:szCs w:val="18"/>
                <w:lang w:eastAsia="ko-KR"/>
              </w:rPr>
              <w:t>, if the claim is—</w:t>
            </w:r>
          </w:p>
        </w:tc>
        <w:tc>
          <w:tcPr>
            <w:tcW w:w="521" w:type="pct"/>
            <w:tcBorders>
              <w:top w:val="single" w:sz="4" w:space="0" w:color="auto"/>
              <w:left w:val="nil"/>
              <w:bottom w:val="nil"/>
              <w:right w:val="nil"/>
            </w:tcBorders>
            <w:vAlign w:val="center"/>
            <w:hideMark/>
          </w:tcPr>
          <w:p w14:paraId="7A1A06FA"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538AA852"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0968233D" w14:textId="77777777" w:rsidR="00DA554C" w:rsidRPr="00DA554C" w:rsidRDefault="00DA554C" w:rsidP="00DA554C">
            <w:pPr>
              <w:jc w:val="center"/>
              <w:rPr>
                <w:rFonts w:ascii="Times New Roman" w:hAnsi="Times New Roman"/>
                <w:lang w:eastAsia="ko-KR"/>
              </w:rPr>
            </w:pPr>
          </w:p>
        </w:tc>
      </w:tr>
      <w:tr w:rsidR="00DA554C" w:rsidRPr="00DA554C" w14:paraId="0E37A099" w14:textId="77777777" w:rsidTr="009B659C">
        <w:trPr>
          <w:trHeight w:val="285"/>
        </w:trPr>
        <w:tc>
          <w:tcPr>
            <w:tcW w:w="346" w:type="pct"/>
            <w:tcBorders>
              <w:top w:val="nil"/>
              <w:left w:val="single" w:sz="4" w:space="0" w:color="auto"/>
              <w:bottom w:val="nil"/>
              <w:right w:val="nil"/>
            </w:tcBorders>
            <w:noWrap/>
            <w:vAlign w:val="center"/>
            <w:hideMark/>
          </w:tcPr>
          <w:p w14:paraId="1425578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single" w:sz="4" w:space="0" w:color="auto"/>
            </w:tcBorders>
            <w:vAlign w:val="center"/>
            <w:hideMark/>
          </w:tcPr>
          <w:p w14:paraId="779BC71B"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(a) for a sum that is not specified or is not more than $100 000 or not for a sum</w:t>
            </w:r>
          </w:p>
        </w:tc>
        <w:tc>
          <w:tcPr>
            <w:tcW w:w="521" w:type="pct"/>
            <w:tcBorders>
              <w:top w:val="nil"/>
              <w:left w:val="nil"/>
              <w:bottom w:val="nil"/>
              <w:right w:val="nil"/>
            </w:tcBorders>
            <w:vAlign w:val="center"/>
            <w:hideMark/>
          </w:tcPr>
          <w:p w14:paraId="2E325AA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879.5</w:t>
            </w:r>
          </w:p>
        </w:tc>
        <w:tc>
          <w:tcPr>
            <w:tcW w:w="483" w:type="pct"/>
            <w:tcBorders>
              <w:top w:val="nil"/>
              <w:left w:val="nil"/>
              <w:bottom w:val="nil"/>
              <w:right w:val="nil"/>
            </w:tcBorders>
            <w:vAlign w:val="center"/>
            <w:hideMark/>
          </w:tcPr>
          <w:p w14:paraId="5CCDB96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290.2</w:t>
            </w:r>
          </w:p>
        </w:tc>
        <w:tc>
          <w:tcPr>
            <w:tcW w:w="598" w:type="pct"/>
            <w:tcBorders>
              <w:top w:val="nil"/>
              <w:left w:val="nil"/>
              <w:bottom w:val="nil"/>
              <w:right w:val="single" w:sz="4" w:space="0" w:color="auto"/>
            </w:tcBorders>
            <w:vAlign w:val="center"/>
            <w:hideMark/>
          </w:tcPr>
          <w:p w14:paraId="5B4F59D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96.7</w:t>
            </w:r>
          </w:p>
        </w:tc>
      </w:tr>
      <w:tr w:rsidR="00DA554C" w:rsidRPr="00DA554C" w14:paraId="27CFBC70" w14:textId="77777777" w:rsidTr="009B659C">
        <w:trPr>
          <w:trHeight w:val="285"/>
        </w:trPr>
        <w:tc>
          <w:tcPr>
            <w:tcW w:w="346" w:type="pct"/>
            <w:tcBorders>
              <w:top w:val="nil"/>
              <w:left w:val="single" w:sz="4" w:space="0" w:color="auto"/>
              <w:bottom w:val="nil"/>
              <w:right w:val="nil"/>
            </w:tcBorders>
            <w:noWrap/>
            <w:vAlign w:val="center"/>
            <w:hideMark/>
          </w:tcPr>
          <w:p w14:paraId="0718C63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single" w:sz="4" w:space="0" w:color="auto"/>
            </w:tcBorders>
            <w:vAlign w:val="center"/>
            <w:hideMark/>
          </w:tcPr>
          <w:p w14:paraId="5C798532"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(b) for a sum that is more than $100 000 but not more than $500 000</w:t>
            </w:r>
          </w:p>
        </w:tc>
        <w:tc>
          <w:tcPr>
            <w:tcW w:w="521" w:type="pct"/>
            <w:tcBorders>
              <w:top w:val="nil"/>
              <w:left w:val="nil"/>
              <w:bottom w:val="nil"/>
              <w:right w:val="nil"/>
            </w:tcBorders>
            <w:vAlign w:val="center"/>
            <w:hideMark/>
          </w:tcPr>
          <w:p w14:paraId="3CF7BF1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1,440.8</w:t>
            </w:r>
          </w:p>
        </w:tc>
        <w:tc>
          <w:tcPr>
            <w:tcW w:w="483" w:type="pct"/>
            <w:tcBorders>
              <w:top w:val="nil"/>
              <w:left w:val="nil"/>
              <w:bottom w:val="nil"/>
              <w:right w:val="nil"/>
            </w:tcBorders>
            <w:vAlign w:val="center"/>
            <w:hideMark/>
          </w:tcPr>
          <w:p w14:paraId="076B56E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475.5</w:t>
            </w:r>
          </w:p>
        </w:tc>
        <w:tc>
          <w:tcPr>
            <w:tcW w:w="598" w:type="pct"/>
            <w:tcBorders>
              <w:top w:val="nil"/>
              <w:left w:val="nil"/>
              <w:bottom w:val="nil"/>
              <w:right w:val="single" w:sz="4" w:space="0" w:color="auto"/>
            </w:tcBorders>
            <w:vAlign w:val="center"/>
            <w:hideMark/>
          </w:tcPr>
          <w:p w14:paraId="3BF1016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158.5</w:t>
            </w:r>
          </w:p>
        </w:tc>
      </w:tr>
      <w:tr w:rsidR="00DA554C" w:rsidRPr="00DA554C" w14:paraId="0E781290" w14:textId="77777777" w:rsidTr="009B659C">
        <w:trPr>
          <w:trHeight w:val="285"/>
        </w:trPr>
        <w:tc>
          <w:tcPr>
            <w:tcW w:w="346" w:type="pct"/>
            <w:tcBorders>
              <w:top w:val="nil"/>
              <w:left w:val="single" w:sz="4" w:space="0" w:color="auto"/>
              <w:bottom w:val="nil"/>
              <w:right w:val="nil"/>
            </w:tcBorders>
            <w:noWrap/>
            <w:vAlign w:val="center"/>
            <w:hideMark/>
          </w:tcPr>
          <w:p w14:paraId="677CDD5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single" w:sz="4" w:space="0" w:color="auto"/>
            </w:tcBorders>
            <w:vAlign w:val="center"/>
            <w:hideMark/>
          </w:tcPr>
          <w:p w14:paraId="3C454055"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(c) for a sum that is more than $500 000 but not more than $1 million</w:t>
            </w:r>
          </w:p>
        </w:tc>
        <w:tc>
          <w:tcPr>
            <w:tcW w:w="521" w:type="pct"/>
            <w:tcBorders>
              <w:top w:val="nil"/>
              <w:left w:val="nil"/>
              <w:bottom w:val="nil"/>
              <w:right w:val="nil"/>
            </w:tcBorders>
            <w:vAlign w:val="center"/>
            <w:hideMark/>
          </w:tcPr>
          <w:p w14:paraId="47C1C6E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1,964.8</w:t>
            </w:r>
          </w:p>
        </w:tc>
        <w:tc>
          <w:tcPr>
            <w:tcW w:w="483" w:type="pct"/>
            <w:tcBorders>
              <w:top w:val="nil"/>
              <w:left w:val="nil"/>
              <w:bottom w:val="nil"/>
              <w:right w:val="nil"/>
            </w:tcBorders>
            <w:vAlign w:val="center"/>
            <w:hideMark/>
          </w:tcPr>
          <w:p w14:paraId="6FF89DC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648.4</w:t>
            </w:r>
          </w:p>
        </w:tc>
        <w:tc>
          <w:tcPr>
            <w:tcW w:w="598" w:type="pct"/>
            <w:tcBorders>
              <w:top w:val="nil"/>
              <w:left w:val="nil"/>
              <w:bottom w:val="nil"/>
              <w:right w:val="single" w:sz="4" w:space="0" w:color="auto"/>
            </w:tcBorders>
            <w:vAlign w:val="center"/>
            <w:hideMark/>
          </w:tcPr>
          <w:p w14:paraId="2FCAB46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216.1</w:t>
            </w:r>
          </w:p>
        </w:tc>
      </w:tr>
      <w:tr w:rsidR="00DA554C" w:rsidRPr="00DA554C" w14:paraId="732C4462" w14:textId="77777777" w:rsidTr="009B659C">
        <w:trPr>
          <w:trHeight w:val="285"/>
        </w:trPr>
        <w:tc>
          <w:tcPr>
            <w:tcW w:w="346" w:type="pct"/>
            <w:tcBorders>
              <w:top w:val="nil"/>
              <w:left w:val="single" w:sz="4" w:space="0" w:color="auto"/>
              <w:bottom w:val="nil"/>
              <w:right w:val="nil"/>
            </w:tcBorders>
            <w:noWrap/>
            <w:vAlign w:val="center"/>
            <w:hideMark/>
          </w:tcPr>
          <w:p w14:paraId="2F6CDFC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single" w:sz="4" w:space="0" w:color="auto"/>
            </w:tcBorders>
            <w:vAlign w:val="center"/>
            <w:hideMark/>
          </w:tcPr>
          <w:p w14:paraId="7ED28BDE"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(d) for a sum that is more than $1 million but not more than $5 million</w:t>
            </w:r>
          </w:p>
        </w:tc>
        <w:tc>
          <w:tcPr>
            <w:tcW w:w="521" w:type="pct"/>
            <w:tcBorders>
              <w:top w:val="nil"/>
              <w:left w:val="nil"/>
              <w:bottom w:val="nil"/>
              <w:right w:val="nil"/>
            </w:tcBorders>
            <w:vAlign w:val="center"/>
            <w:hideMark/>
          </w:tcPr>
          <w:p w14:paraId="6E4CC00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2,488.7</w:t>
            </w:r>
          </w:p>
        </w:tc>
        <w:tc>
          <w:tcPr>
            <w:tcW w:w="483" w:type="pct"/>
            <w:tcBorders>
              <w:top w:val="nil"/>
              <w:left w:val="nil"/>
              <w:bottom w:val="nil"/>
              <w:right w:val="nil"/>
            </w:tcBorders>
            <w:vAlign w:val="center"/>
            <w:hideMark/>
          </w:tcPr>
          <w:p w14:paraId="116FBA7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821.3</w:t>
            </w:r>
          </w:p>
        </w:tc>
        <w:tc>
          <w:tcPr>
            <w:tcW w:w="598" w:type="pct"/>
            <w:tcBorders>
              <w:top w:val="nil"/>
              <w:left w:val="nil"/>
              <w:bottom w:val="nil"/>
              <w:right w:val="single" w:sz="4" w:space="0" w:color="auto"/>
            </w:tcBorders>
            <w:vAlign w:val="center"/>
            <w:hideMark/>
          </w:tcPr>
          <w:p w14:paraId="06512CB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273.8</w:t>
            </w:r>
          </w:p>
        </w:tc>
      </w:tr>
      <w:tr w:rsidR="00DA554C" w:rsidRPr="00DA554C" w14:paraId="22A82E2B" w14:textId="77777777" w:rsidTr="009B659C">
        <w:trPr>
          <w:trHeight w:val="285"/>
        </w:trPr>
        <w:tc>
          <w:tcPr>
            <w:tcW w:w="346" w:type="pct"/>
            <w:tcBorders>
              <w:top w:val="nil"/>
              <w:left w:val="single" w:sz="4" w:space="0" w:color="auto"/>
              <w:bottom w:val="nil"/>
              <w:right w:val="nil"/>
            </w:tcBorders>
            <w:noWrap/>
            <w:vAlign w:val="center"/>
            <w:hideMark/>
          </w:tcPr>
          <w:p w14:paraId="04486BC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single" w:sz="4" w:space="0" w:color="auto"/>
              <w:right w:val="single" w:sz="4" w:space="0" w:color="auto"/>
            </w:tcBorders>
            <w:vAlign w:val="center"/>
            <w:hideMark/>
          </w:tcPr>
          <w:p w14:paraId="695A59DF"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(e) for a sum that is more than $5 million</w:t>
            </w:r>
          </w:p>
        </w:tc>
        <w:tc>
          <w:tcPr>
            <w:tcW w:w="521" w:type="pct"/>
            <w:tcBorders>
              <w:top w:val="nil"/>
              <w:left w:val="nil"/>
              <w:bottom w:val="nil"/>
              <w:right w:val="nil"/>
            </w:tcBorders>
            <w:vAlign w:val="center"/>
            <w:hideMark/>
          </w:tcPr>
          <w:p w14:paraId="4A36B7E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3,012.7</w:t>
            </w:r>
          </w:p>
        </w:tc>
        <w:tc>
          <w:tcPr>
            <w:tcW w:w="483" w:type="pct"/>
            <w:tcBorders>
              <w:top w:val="nil"/>
              <w:left w:val="nil"/>
              <w:bottom w:val="nil"/>
              <w:right w:val="nil"/>
            </w:tcBorders>
            <w:vAlign w:val="center"/>
            <w:hideMark/>
          </w:tcPr>
          <w:p w14:paraId="3039BE0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994.2</w:t>
            </w:r>
          </w:p>
        </w:tc>
        <w:tc>
          <w:tcPr>
            <w:tcW w:w="598" w:type="pct"/>
            <w:tcBorders>
              <w:top w:val="nil"/>
              <w:left w:val="nil"/>
              <w:bottom w:val="nil"/>
              <w:right w:val="single" w:sz="4" w:space="0" w:color="auto"/>
            </w:tcBorders>
            <w:vAlign w:val="center"/>
            <w:hideMark/>
          </w:tcPr>
          <w:p w14:paraId="323B293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331.4</w:t>
            </w:r>
          </w:p>
        </w:tc>
      </w:tr>
      <w:tr w:rsidR="00DA554C" w:rsidRPr="00DA554C" w14:paraId="67D7028A" w14:textId="77777777" w:rsidTr="009B659C">
        <w:trPr>
          <w:trHeight w:val="510"/>
        </w:trPr>
        <w:tc>
          <w:tcPr>
            <w:tcW w:w="346" w:type="pct"/>
            <w:tcBorders>
              <w:top w:val="single" w:sz="4" w:space="0" w:color="auto"/>
              <w:left w:val="single" w:sz="4" w:space="0" w:color="auto"/>
              <w:bottom w:val="nil"/>
              <w:right w:val="nil"/>
            </w:tcBorders>
            <w:noWrap/>
            <w:vAlign w:val="center"/>
            <w:hideMark/>
          </w:tcPr>
          <w:p w14:paraId="28FFFAA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w:t>
            </w:r>
          </w:p>
        </w:tc>
        <w:tc>
          <w:tcPr>
            <w:tcW w:w="3052" w:type="pct"/>
            <w:tcBorders>
              <w:top w:val="single" w:sz="4" w:space="0" w:color="auto"/>
              <w:left w:val="single" w:sz="4" w:space="0" w:color="auto"/>
              <w:bottom w:val="nil"/>
              <w:right w:val="nil"/>
            </w:tcBorders>
            <w:vAlign w:val="center"/>
            <w:hideMark/>
          </w:tcPr>
          <w:p w14:paraId="7F3F494E"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the commencement of a proceeding under the </w:t>
            </w:r>
            <w:r w:rsidRPr="00DA554C">
              <w:rPr>
                <w:rFonts w:ascii="Arial" w:hAnsi="Arial" w:cs="Arial"/>
                <w:b/>
                <w:bCs/>
                <w:color w:val="000000"/>
                <w:sz w:val="18"/>
                <w:szCs w:val="18"/>
                <w:lang w:eastAsia="ko-KR"/>
              </w:rPr>
              <w:t>Owners Corporations Act 2006</w:t>
            </w:r>
            <w:r w:rsidRPr="00DA554C">
              <w:rPr>
                <w:rFonts w:ascii="Arial" w:hAnsi="Arial" w:cs="Arial"/>
                <w:color w:val="000000"/>
                <w:sz w:val="18"/>
                <w:szCs w:val="18"/>
                <w:lang w:eastAsia="ko-KR"/>
              </w:rPr>
              <w:t>, except section 191, if the claim is—</w:t>
            </w:r>
          </w:p>
        </w:tc>
        <w:tc>
          <w:tcPr>
            <w:tcW w:w="521" w:type="pct"/>
            <w:tcBorders>
              <w:top w:val="single" w:sz="4" w:space="0" w:color="auto"/>
              <w:left w:val="single" w:sz="4" w:space="0" w:color="auto"/>
              <w:bottom w:val="nil"/>
              <w:right w:val="nil"/>
            </w:tcBorders>
            <w:vAlign w:val="center"/>
            <w:hideMark/>
          </w:tcPr>
          <w:p w14:paraId="39EC2C79"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3472F09B"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38852B33" w14:textId="77777777" w:rsidR="00DA554C" w:rsidRPr="00DA554C" w:rsidRDefault="00DA554C" w:rsidP="00DA554C">
            <w:pPr>
              <w:jc w:val="center"/>
              <w:rPr>
                <w:rFonts w:ascii="Times New Roman" w:hAnsi="Times New Roman"/>
                <w:lang w:eastAsia="ko-KR"/>
              </w:rPr>
            </w:pPr>
          </w:p>
        </w:tc>
      </w:tr>
      <w:tr w:rsidR="00DA554C" w:rsidRPr="00DA554C" w14:paraId="22856F01" w14:textId="77777777" w:rsidTr="009B659C">
        <w:trPr>
          <w:trHeight w:val="285"/>
        </w:trPr>
        <w:tc>
          <w:tcPr>
            <w:tcW w:w="346" w:type="pct"/>
            <w:tcBorders>
              <w:top w:val="nil"/>
              <w:left w:val="single" w:sz="4" w:space="0" w:color="auto"/>
              <w:bottom w:val="nil"/>
              <w:right w:val="nil"/>
            </w:tcBorders>
            <w:noWrap/>
            <w:vAlign w:val="center"/>
            <w:hideMark/>
          </w:tcPr>
          <w:p w14:paraId="3E895F1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712ECD2"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(a) not for a sum, or is for a sum that is specified, but is not more than $3000</w:t>
            </w:r>
          </w:p>
        </w:tc>
        <w:tc>
          <w:tcPr>
            <w:tcW w:w="521" w:type="pct"/>
            <w:tcBorders>
              <w:top w:val="nil"/>
              <w:left w:val="single" w:sz="4" w:space="0" w:color="auto"/>
              <w:bottom w:val="nil"/>
              <w:right w:val="nil"/>
            </w:tcBorders>
            <w:vAlign w:val="center"/>
            <w:hideMark/>
          </w:tcPr>
          <w:p w14:paraId="6C1415D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117.9</w:t>
            </w:r>
          </w:p>
        </w:tc>
        <w:tc>
          <w:tcPr>
            <w:tcW w:w="483" w:type="pct"/>
            <w:tcBorders>
              <w:top w:val="nil"/>
              <w:left w:val="nil"/>
              <w:bottom w:val="nil"/>
              <w:right w:val="nil"/>
            </w:tcBorders>
            <w:vAlign w:val="center"/>
            <w:hideMark/>
          </w:tcPr>
          <w:p w14:paraId="5996EC5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38.9</w:t>
            </w:r>
          </w:p>
        </w:tc>
        <w:tc>
          <w:tcPr>
            <w:tcW w:w="598" w:type="pct"/>
            <w:tcBorders>
              <w:top w:val="nil"/>
              <w:left w:val="nil"/>
              <w:bottom w:val="nil"/>
              <w:right w:val="single" w:sz="4" w:space="0" w:color="auto"/>
            </w:tcBorders>
            <w:vAlign w:val="center"/>
            <w:hideMark/>
          </w:tcPr>
          <w:p w14:paraId="0DF59C9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13.0</w:t>
            </w:r>
          </w:p>
        </w:tc>
      </w:tr>
      <w:tr w:rsidR="00DA554C" w:rsidRPr="00DA554C" w14:paraId="288F6516" w14:textId="77777777" w:rsidTr="009B659C">
        <w:trPr>
          <w:trHeight w:val="285"/>
        </w:trPr>
        <w:tc>
          <w:tcPr>
            <w:tcW w:w="346" w:type="pct"/>
            <w:tcBorders>
              <w:top w:val="nil"/>
              <w:left w:val="single" w:sz="4" w:space="0" w:color="auto"/>
              <w:bottom w:val="nil"/>
              <w:right w:val="nil"/>
            </w:tcBorders>
            <w:noWrap/>
            <w:vAlign w:val="center"/>
            <w:hideMark/>
          </w:tcPr>
          <w:p w14:paraId="74002F8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62C811F"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(b) for a sum that is more than $3000 but not more than $15 000</w:t>
            </w:r>
          </w:p>
        </w:tc>
        <w:tc>
          <w:tcPr>
            <w:tcW w:w="521" w:type="pct"/>
            <w:tcBorders>
              <w:top w:val="nil"/>
              <w:left w:val="single" w:sz="4" w:space="0" w:color="auto"/>
              <w:bottom w:val="nil"/>
              <w:right w:val="nil"/>
            </w:tcBorders>
            <w:vAlign w:val="center"/>
            <w:hideMark/>
          </w:tcPr>
          <w:p w14:paraId="346260E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393.0</w:t>
            </w:r>
          </w:p>
        </w:tc>
        <w:tc>
          <w:tcPr>
            <w:tcW w:w="483" w:type="pct"/>
            <w:tcBorders>
              <w:top w:val="nil"/>
              <w:left w:val="nil"/>
              <w:bottom w:val="nil"/>
              <w:right w:val="nil"/>
            </w:tcBorders>
            <w:vAlign w:val="center"/>
            <w:hideMark/>
          </w:tcPr>
          <w:p w14:paraId="3D2C1AD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129.7</w:t>
            </w:r>
          </w:p>
        </w:tc>
        <w:tc>
          <w:tcPr>
            <w:tcW w:w="598" w:type="pct"/>
            <w:tcBorders>
              <w:top w:val="nil"/>
              <w:left w:val="nil"/>
              <w:bottom w:val="nil"/>
              <w:right w:val="single" w:sz="4" w:space="0" w:color="auto"/>
            </w:tcBorders>
            <w:vAlign w:val="center"/>
            <w:hideMark/>
          </w:tcPr>
          <w:p w14:paraId="600E884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43.2</w:t>
            </w:r>
          </w:p>
        </w:tc>
      </w:tr>
      <w:tr w:rsidR="00DA554C" w:rsidRPr="00DA554C" w14:paraId="7265DBDF" w14:textId="77777777" w:rsidTr="009B659C">
        <w:trPr>
          <w:trHeight w:val="450"/>
        </w:trPr>
        <w:tc>
          <w:tcPr>
            <w:tcW w:w="346" w:type="pct"/>
            <w:tcBorders>
              <w:top w:val="nil"/>
              <w:left w:val="single" w:sz="4" w:space="0" w:color="auto"/>
              <w:bottom w:val="nil"/>
              <w:right w:val="nil"/>
            </w:tcBorders>
            <w:noWrap/>
            <w:vAlign w:val="center"/>
            <w:hideMark/>
          </w:tcPr>
          <w:p w14:paraId="2025CD8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54B0B16"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(c) for a sum that is not specified or for a sum that is more than $15 000 but not more than $100 000</w:t>
            </w:r>
          </w:p>
        </w:tc>
        <w:tc>
          <w:tcPr>
            <w:tcW w:w="521" w:type="pct"/>
            <w:tcBorders>
              <w:top w:val="nil"/>
              <w:left w:val="single" w:sz="4" w:space="0" w:color="auto"/>
              <w:bottom w:val="nil"/>
              <w:right w:val="nil"/>
            </w:tcBorders>
            <w:vAlign w:val="center"/>
            <w:hideMark/>
          </w:tcPr>
          <w:p w14:paraId="0AF530A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879.5</w:t>
            </w:r>
          </w:p>
        </w:tc>
        <w:tc>
          <w:tcPr>
            <w:tcW w:w="483" w:type="pct"/>
            <w:tcBorders>
              <w:top w:val="nil"/>
              <w:left w:val="nil"/>
              <w:bottom w:val="nil"/>
              <w:right w:val="nil"/>
            </w:tcBorders>
            <w:vAlign w:val="center"/>
            <w:hideMark/>
          </w:tcPr>
          <w:p w14:paraId="7B58FC9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290.2</w:t>
            </w:r>
          </w:p>
        </w:tc>
        <w:tc>
          <w:tcPr>
            <w:tcW w:w="598" w:type="pct"/>
            <w:tcBorders>
              <w:top w:val="nil"/>
              <w:left w:val="nil"/>
              <w:bottom w:val="nil"/>
              <w:right w:val="single" w:sz="4" w:space="0" w:color="auto"/>
            </w:tcBorders>
            <w:vAlign w:val="center"/>
            <w:hideMark/>
          </w:tcPr>
          <w:p w14:paraId="1FE013D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96.7</w:t>
            </w:r>
          </w:p>
        </w:tc>
      </w:tr>
      <w:tr w:rsidR="00DA554C" w:rsidRPr="00DA554C" w14:paraId="61956AAF" w14:textId="77777777" w:rsidTr="009B659C">
        <w:trPr>
          <w:trHeight w:val="285"/>
        </w:trPr>
        <w:tc>
          <w:tcPr>
            <w:tcW w:w="346" w:type="pct"/>
            <w:tcBorders>
              <w:top w:val="nil"/>
              <w:left w:val="single" w:sz="4" w:space="0" w:color="auto"/>
              <w:bottom w:val="nil"/>
              <w:right w:val="nil"/>
            </w:tcBorders>
            <w:noWrap/>
            <w:vAlign w:val="center"/>
            <w:hideMark/>
          </w:tcPr>
          <w:p w14:paraId="48B0DFC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4852F74"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(d) for a sum that is more than $100 000 but not more than $500 000</w:t>
            </w:r>
          </w:p>
        </w:tc>
        <w:tc>
          <w:tcPr>
            <w:tcW w:w="521" w:type="pct"/>
            <w:tcBorders>
              <w:top w:val="nil"/>
              <w:left w:val="single" w:sz="4" w:space="0" w:color="auto"/>
              <w:bottom w:val="nil"/>
              <w:right w:val="nil"/>
            </w:tcBorders>
            <w:vAlign w:val="center"/>
            <w:hideMark/>
          </w:tcPr>
          <w:p w14:paraId="447A596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1,440.8</w:t>
            </w:r>
          </w:p>
        </w:tc>
        <w:tc>
          <w:tcPr>
            <w:tcW w:w="483" w:type="pct"/>
            <w:tcBorders>
              <w:top w:val="nil"/>
              <w:left w:val="nil"/>
              <w:bottom w:val="nil"/>
              <w:right w:val="nil"/>
            </w:tcBorders>
            <w:vAlign w:val="center"/>
            <w:hideMark/>
          </w:tcPr>
          <w:p w14:paraId="24C452E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475.5</w:t>
            </w:r>
          </w:p>
        </w:tc>
        <w:tc>
          <w:tcPr>
            <w:tcW w:w="598" w:type="pct"/>
            <w:tcBorders>
              <w:top w:val="nil"/>
              <w:left w:val="nil"/>
              <w:bottom w:val="nil"/>
              <w:right w:val="single" w:sz="4" w:space="0" w:color="auto"/>
            </w:tcBorders>
            <w:vAlign w:val="center"/>
            <w:hideMark/>
          </w:tcPr>
          <w:p w14:paraId="1AAC5DC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158.5</w:t>
            </w:r>
          </w:p>
        </w:tc>
      </w:tr>
      <w:tr w:rsidR="00DA554C" w:rsidRPr="00DA554C" w14:paraId="391CF351" w14:textId="77777777" w:rsidTr="009B659C">
        <w:trPr>
          <w:trHeight w:val="510"/>
        </w:trPr>
        <w:tc>
          <w:tcPr>
            <w:tcW w:w="346" w:type="pct"/>
            <w:tcBorders>
              <w:top w:val="nil"/>
              <w:left w:val="single" w:sz="4" w:space="0" w:color="auto"/>
              <w:bottom w:val="nil"/>
              <w:right w:val="nil"/>
            </w:tcBorders>
            <w:noWrap/>
            <w:vAlign w:val="center"/>
            <w:hideMark/>
          </w:tcPr>
          <w:p w14:paraId="3C2AB6E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DB7BB5F"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(e) for a sum that is more than $500 000 but not more than $1 million</w:t>
            </w:r>
          </w:p>
        </w:tc>
        <w:tc>
          <w:tcPr>
            <w:tcW w:w="521" w:type="pct"/>
            <w:tcBorders>
              <w:top w:val="nil"/>
              <w:left w:val="single" w:sz="4" w:space="0" w:color="auto"/>
              <w:bottom w:val="nil"/>
              <w:right w:val="nil"/>
            </w:tcBorders>
            <w:vAlign w:val="center"/>
            <w:hideMark/>
          </w:tcPr>
          <w:p w14:paraId="1C9C043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1,964.8</w:t>
            </w:r>
          </w:p>
        </w:tc>
        <w:tc>
          <w:tcPr>
            <w:tcW w:w="483" w:type="pct"/>
            <w:tcBorders>
              <w:top w:val="nil"/>
              <w:left w:val="nil"/>
              <w:bottom w:val="nil"/>
              <w:right w:val="nil"/>
            </w:tcBorders>
            <w:vAlign w:val="center"/>
            <w:hideMark/>
          </w:tcPr>
          <w:p w14:paraId="285B014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648.4</w:t>
            </w:r>
          </w:p>
        </w:tc>
        <w:tc>
          <w:tcPr>
            <w:tcW w:w="598" w:type="pct"/>
            <w:tcBorders>
              <w:top w:val="nil"/>
              <w:left w:val="nil"/>
              <w:bottom w:val="nil"/>
              <w:right w:val="single" w:sz="4" w:space="0" w:color="auto"/>
            </w:tcBorders>
            <w:vAlign w:val="center"/>
            <w:hideMark/>
          </w:tcPr>
          <w:p w14:paraId="464DFE2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216.1</w:t>
            </w:r>
          </w:p>
        </w:tc>
      </w:tr>
      <w:tr w:rsidR="00DA554C" w:rsidRPr="00DA554C" w14:paraId="77F7667D" w14:textId="77777777" w:rsidTr="009B659C">
        <w:trPr>
          <w:trHeight w:val="285"/>
        </w:trPr>
        <w:tc>
          <w:tcPr>
            <w:tcW w:w="346" w:type="pct"/>
            <w:tcBorders>
              <w:top w:val="nil"/>
              <w:left w:val="single" w:sz="4" w:space="0" w:color="auto"/>
              <w:bottom w:val="nil"/>
              <w:right w:val="nil"/>
            </w:tcBorders>
            <w:noWrap/>
            <w:vAlign w:val="center"/>
            <w:hideMark/>
          </w:tcPr>
          <w:p w14:paraId="26AF44A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2CE915BB"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(f) for a sum that is more than $1 million but not more than $5 million</w:t>
            </w:r>
          </w:p>
        </w:tc>
        <w:tc>
          <w:tcPr>
            <w:tcW w:w="521" w:type="pct"/>
            <w:tcBorders>
              <w:top w:val="nil"/>
              <w:left w:val="single" w:sz="4" w:space="0" w:color="auto"/>
              <w:bottom w:val="nil"/>
              <w:right w:val="nil"/>
            </w:tcBorders>
            <w:vAlign w:val="center"/>
            <w:hideMark/>
          </w:tcPr>
          <w:p w14:paraId="04F36BB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2,488.7</w:t>
            </w:r>
          </w:p>
        </w:tc>
        <w:tc>
          <w:tcPr>
            <w:tcW w:w="483" w:type="pct"/>
            <w:tcBorders>
              <w:top w:val="nil"/>
              <w:left w:val="nil"/>
              <w:bottom w:val="nil"/>
              <w:right w:val="nil"/>
            </w:tcBorders>
            <w:vAlign w:val="center"/>
            <w:hideMark/>
          </w:tcPr>
          <w:p w14:paraId="097841F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821.3</w:t>
            </w:r>
          </w:p>
        </w:tc>
        <w:tc>
          <w:tcPr>
            <w:tcW w:w="598" w:type="pct"/>
            <w:tcBorders>
              <w:top w:val="nil"/>
              <w:left w:val="nil"/>
              <w:bottom w:val="nil"/>
              <w:right w:val="single" w:sz="4" w:space="0" w:color="auto"/>
            </w:tcBorders>
            <w:vAlign w:val="center"/>
            <w:hideMark/>
          </w:tcPr>
          <w:p w14:paraId="65869B0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273.8</w:t>
            </w:r>
          </w:p>
        </w:tc>
      </w:tr>
      <w:tr w:rsidR="00DA554C" w:rsidRPr="00DA554C" w14:paraId="117A0282" w14:textId="77777777" w:rsidTr="009B659C">
        <w:trPr>
          <w:trHeight w:val="285"/>
        </w:trPr>
        <w:tc>
          <w:tcPr>
            <w:tcW w:w="346" w:type="pct"/>
            <w:tcBorders>
              <w:top w:val="nil"/>
              <w:left w:val="single" w:sz="4" w:space="0" w:color="auto"/>
              <w:bottom w:val="nil"/>
              <w:right w:val="nil"/>
            </w:tcBorders>
            <w:noWrap/>
            <w:vAlign w:val="center"/>
            <w:hideMark/>
          </w:tcPr>
          <w:p w14:paraId="6923B3A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9B023C1"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(g) for a sum that is more than $5 million</w:t>
            </w:r>
          </w:p>
        </w:tc>
        <w:tc>
          <w:tcPr>
            <w:tcW w:w="521" w:type="pct"/>
            <w:tcBorders>
              <w:top w:val="nil"/>
              <w:left w:val="single" w:sz="4" w:space="0" w:color="auto"/>
              <w:bottom w:val="nil"/>
              <w:right w:val="nil"/>
            </w:tcBorders>
            <w:vAlign w:val="center"/>
            <w:hideMark/>
          </w:tcPr>
          <w:p w14:paraId="15584FE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3,012.7</w:t>
            </w:r>
          </w:p>
        </w:tc>
        <w:tc>
          <w:tcPr>
            <w:tcW w:w="483" w:type="pct"/>
            <w:tcBorders>
              <w:top w:val="nil"/>
              <w:left w:val="nil"/>
              <w:bottom w:val="nil"/>
              <w:right w:val="nil"/>
            </w:tcBorders>
            <w:vAlign w:val="center"/>
            <w:hideMark/>
          </w:tcPr>
          <w:p w14:paraId="77FEDC0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994.2</w:t>
            </w:r>
          </w:p>
        </w:tc>
        <w:tc>
          <w:tcPr>
            <w:tcW w:w="598" w:type="pct"/>
            <w:tcBorders>
              <w:top w:val="nil"/>
              <w:left w:val="nil"/>
              <w:bottom w:val="nil"/>
              <w:right w:val="single" w:sz="4" w:space="0" w:color="auto"/>
            </w:tcBorders>
            <w:vAlign w:val="center"/>
            <w:hideMark/>
          </w:tcPr>
          <w:p w14:paraId="074C342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331.4</w:t>
            </w:r>
          </w:p>
        </w:tc>
      </w:tr>
      <w:tr w:rsidR="00DA554C" w:rsidRPr="00DA554C" w14:paraId="5EFD2E18" w14:textId="77777777" w:rsidTr="009B659C">
        <w:trPr>
          <w:trHeight w:val="540"/>
        </w:trPr>
        <w:tc>
          <w:tcPr>
            <w:tcW w:w="346" w:type="pct"/>
            <w:tcBorders>
              <w:top w:val="single" w:sz="4" w:space="0" w:color="auto"/>
              <w:left w:val="single" w:sz="4" w:space="0" w:color="auto"/>
              <w:bottom w:val="nil"/>
              <w:right w:val="nil"/>
            </w:tcBorders>
            <w:noWrap/>
            <w:vAlign w:val="center"/>
            <w:hideMark/>
          </w:tcPr>
          <w:p w14:paraId="10BEE12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w:t>
            </w:r>
          </w:p>
        </w:tc>
        <w:tc>
          <w:tcPr>
            <w:tcW w:w="3052" w:type="pct"/>
            <w:tcBorders>
              <w:top w:val="single" w:sz="4" w:space="0" w:color="auto"/>
              <w:left w:val="single" w:sz="4" w:space="0" w:color="auto"/>
              <w:bottom w:val="nil"/>
              <w:right w:val="nil"/>
            </w:tcBorders>
            <w:vAlign w:val="center"/>
            <w:hideMark/>
          </w:tcPr>
          <w:p w14:paraId="05CFC021"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the commencement of a proceeding under section 77 or 79 of the </w:t>
            </w:r>
            <w:r w:rsidRPr="00DA554C">
              <w:rPr>
                <w:rFonts w:ascii="Arial" w:hAnsi="Arial" w:cs="Arial"/>
                <w:b/>
                <w:bCs/>
                <w:color w:val="000000"/>
                <w:sz w:val="18"/>
                <w:szCs w:val="18"/>
                <w:lang w:eastAsia="ko-KR"/>
              </w:rPr>
              <w:t>Planning and Environment Act 1987</w:t>
            </w:r>
            <w:r w:rsidRPr="00DA554C">
              <w:rPr>
                <w:rFonts w:ascii="Arial" w:hAnsi="Arial" w:cs="Arial"/>
                <w:color w:val="000000"/>
                <w:sz w:val="18"/>
                <w:szCs w:val="18"/>
                <w:lang w:eastAsia="ko-KR"/>
              </w:rPr>
              <w:t xml:space="preserve"> if the proceeding is not a major case and relates to—</w:t>
            </w:r>
          </w:p>
        </w:tc>
        <w:tc>
          <w:tcPr>
            <w:tcW w:w="521" w:type="pct"/>
            <w:tcBorders>
              <w:top w:val="single" w:sz="4" w:space="0" w:color="auto"/>
              <w:left w:val="single" w:sz="4" w:space="0" w:color="auto"/>
              <w:bottom w:val="nil"/>
              <w:right w:val="nil"/>
            </w:tcBorders>
            <w:vAlign w:val="center"/>
            <w:hideMark/>
          </w:tcPr>
          <w:p w14:paraId="0E0A5F40"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3EF4C2A3"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4EDBBD62" w14:textId="77777777" w:rsidR="00DA554C" w:rsidRPr="00DA554C" w:rsidRDefault="00DA554C" w:rsidP="00DA554C">
            <w:pPr>
              <w:jc w:val="center"/>
              <w:rPr>
                <w:rFonts w:ascii="Times New Roman" w:hAnsi="Times New Roman"/>
                <w:lang w:eastAsia="ko-KR"/>
              </w:rPr>
            </w:pPr>
          </w:p>
        </w:tc>
      </w:tr>
      <w:tr w:rsidR="00DA554C" w:rsidRPr="00DA554C" w14:paraId="098A3C53" w14:textId="77777777" w:rsidTr="009B659C">
        <w:trPr>
          <w:trHeight w:val="285"/>
        </w:trPr>
        <w:tc>
          <w:tcPr>
            <w:tcW w:w="346" w:type="pct"/>
            <w:tcBorders>
              <w:top w:val="nil"/>
              <w:left w:val="single" w:sz="4" w:space="0" w:color="auto"/>
              <w:bottom w:val="nil"/>
              <w:right w:val="nil"/>
            </w:tcBorders>
            <w:noWrap/>
            <w:vAlign w:val="center"/>
            <w:hideMark/>
          </w:tcPr>
          <w:p w14:paraId="31DE323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43996F0"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(a) a VicSmart proceeding or a development that is solely a single dwelling</w:t>
            </w:r>
          </w:p>
        </w:tc>
        <w:tc>
          <w:tcPr>
            <w:tcW w:w="521" w:type="pct"/>
            <w:tcBorders>
              <w:top w:val="nil"/>
              <w:left w:val="single" w:sz="4" w:space="0" w:color="auto"/>
              <w:bottom w:val="nil"/>
              <w:right w:val="nil"/>
            </w:tcBorders>
            <w:vAlign w:val="center"/>
            <w:hideMark/>
          </w:tcPr>
          <w:p w14:paraId="2060540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1,571.8</w:t>
            </w:r>
          </w:p>
        </w:tc>
        <w:tc>
          <w:tcPr>
            <w:tcW w:w="483" w:type="pct"/>
            <w:tcBorders>
              <w:top w:val="nil"/>
              <w:left w:val="nil"/>
              <w:bottom w:val="nil"/>
              <w:right w:val="nil"/>
            </w:tcBorders>
            <w:vAlign w:val="center"/>
            <w:hideMark/>
          </w:tcPr>
          <w:p w14:paraId="2A85288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518.7</w:t>
            </w:r>
          </w:p>
        </w:tc>
        <w:tc>
          <w:tcPr>
            <w:tcW w:w="598" w:type="pct"/>
            <w:tcBorders>
              <w:top w:val="nil"/>
              <w:left w:val="nil"/>
              <w:bottom w:val="nil"/>
              <w:right w:val="single" w:sz="4" w:space="0" w:color="auto"/>
            </w:tcBorders>
            <w:vAlign w:val="center"/>
            <w:hideMark/>
          </w:tcPr>
          <w:p w14:paraId="51717B0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172.9</w:t>
            </w:r>
          </w:p>
        </w:tc>
      </w:tr>
      <w:tr w:rsidR="00DA554C" w:rsidRPr="00DA554C" w14:paraId="49E222E7" w14:textId="77777777" w:rsidTr="009B659C">
        <w:trPr>
          <w:trHeight w:val="450"/>
        </w:trPr>
        <w:tc>
          <w:tcPr>
            <w:tcW w:w="346" w:type="pct"/>
            <w:tcBorders>
              <w:top w:val="nil"/>
              <w:left w:val="single" w:sz="4" w:space="0" w:color="auto"/>
              <w:bottom w:val="nil"/>
              <w:right w:val="nil"/>
            </w:tcBorders>
            <w:noWrap/>
            <w:vAlign w:val="center"/>
            <w:hideMark/>
          </w:tcPr>
          <w:p w14:paraId="1739022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113C539" w14:textId="77777777" w:rsidR="00DA554C" w:rsidRPr="00DA554C" w:rsidRDefault="00DA554C" w:rsidP="00F62F6D">
            <w:pPr>
              <w:rPr>
                <w:rFonts w:ascii="Arial" w:hAnsi="Arial" w:cs="Arial"/>
                <w:color w:val="000000"/>
                <w:sz w:val="18"/>
                <w:szCs w:val="18"/>
                <w:lang w:eastAsia="ko-KR"/>
              </w:rPr>
            </w:pPr>
            <w:r w:rsidRPr="00DA554C">
              <w:rPr>
                <w:rFonts w:ascii="Arial" w:hAnsi="Arial" w:cs="Arial"/>
                <w:color w:val="000000"/>
                <w:sz w:val="18"/>
                <w:szCs w:val="18"/>
                <w:lang w:eastAsia="ko-KR"/>
              </w:rPr>
              <w:t>(b) a development of a kind not referred to in paragraph (a) having an estimated cost of—</w:t>
            </w:r>
          </w:p>
        </w:tc>
        <w:tc>
          <w:tcPr>
            <w:tcW w:w="521" w:type="pct"/>
            <w:tcBorders>
              <w:top w:val="nil"/>
              <w:left w:val="single" w:sz="4" w:space="0" w:color="auto"/>
              <w:bottom w:val="nil"/>
              <w:right w:val="nil"/>
            </w:tcBorders>
            <w:vAlign w:val="center"/>
            <w:hideMark/>
          </w:tcPr>
          <w:p w14:paraId="6E81BA46"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01D413D5"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0098FE5" w14:textId="77777777" w:rsidR="00DA554C" w:rsidRPr="00DA554C" w:rsidRDefault="00DA554C" w:rsidP="00DA554C">
            <w:pPr>
              <w:jc w:val="center"/>
              <w:rPr>
                <w:rFonts w:ascii="Times New Roman" w:hAnsi="Times New Roman"/>
                <w:lang w:eastAsia="ko-KR"/>
              </w:rPr>
            </w:pPr>
          </w:p>
        </w:tc>
      </w:tr>
      <w:tr w:rsidR="00DA554C" w:rsidRPr="00DA554C" w14:paraId="285D7D58" w14:textId="77777777" w:rsidTr="009B659C">
        <w:trPr>
          <w:trHeight w:val="330"/>
        </w:trPr>
        <w:tc>
          <w:tcPr>
            <w:tcW w:w="346" w:type="pct"/>
            <w:tcBorders>
              <w:top w:val="nil"/>
              <w:left w:val="single" w:sz="4" w:space="0" w:color="auto"/>
              <w:bottom w:val="nil"/>
              <w:right w:val="nil"/>
            </w:tcBorders>
            <w:noWrap/>
            <w:vAlign w:val="center"/>
            <w:hideMark/>
          </w:tcPr>
          <w:p w14:paraId="0361D92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BD56458"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(i) nil</w:t>
            </w:r>
          </w:p>
        </w:tc>
        <w:tc>
          <w:tcPr>
            <w:tcW w:w="521" w:type="pct"/>
            <w:tcBorders>
              <w:top w:val="nil"/>
              <w:left w:val="single" w:sz="4" w:space="0" w:color="auto"/>
              <w:bottom w:val="nil"/>
              <w:right w:val="nil"/>
            </w:tcBorders>
            <w:vAlign w:val="center"/>
            <w:hideMark/>
          </w:tcPr>
          <w:p w14:paraId="24776B5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2,077.1</w:t>
            </w:r>
          </w:p>
        </w:tc>
        <w:tc>
          <w:tcPr>
            <w:tcW w:w="483" w:type="pct"/>
            <w:tcBorders>
              <w:top w:val="nil"/>
              <w:left w:val="nil"/>
              <w:bottom w:val="nil"/>
              <w:right w:val="nil"/>
            </w:tcBorders>
            <w:vAlign w:val="center"/>
            <w:hideMark/>
          </w:tcPr>
          <w:p w14:paraId="145EE87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685.4</w:t>
            </w:r>
          </w:p>
        </w:tc>
        <w:tc>
          <w:tcPr>
            <w:tcW w:w="598" w:type="pct"/>
            <w:tcBorders>
              <w:top w:val="nil"/>
              <w:left w:val="nil"/>
              <w:bottom w:val="nil"/>
              <w:right w:val="single" w:sz="4" w:space="0" w:color="auto"/>
            </w:tcBorders>
            <w:vAlign w:val="center"/>
            <w:hideMark/>
          </w:tcPr>
          <w:p w14:paraId="1808E59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228.5</w:t>
            </w:r>
          </w:p>
        </w:tc>
      </w:tr>
      <w:tr w:rsidR="00DA554C" w:rsidRPr="00DA554C" w14:paraId="30A97CAC" w14:textId="77777777" w:rsidTr="009B659C">
        <w:trPr>
          <w:trHeight w:val="285"/>
        </w:trPr>
        <w:tc>
          <w:tcPr>
            <w:tcW w:w="346" w:type="pct"/>
            <w:tcBorders>
              <w:top w:val="nil"/>
              <w:left w:val="single" w:sz="4" w:space="0" w:color="auto"/>
              <w:bottom w:val="nil"/>
              <w:right w:val="nil"/>
            </w:tcBorders>
            <w:noWrap/>
            <w:vAlign w:val="center"/>
            <w:hideMark/>
          </w:tcPr>
          <w:p w14:paraId="259E737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AC11FB5"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(ii) more than nil but is not more than $1 million</w:t>
            </w:r>
          </w:p>
        </w:tc>
        <w:tc>
          <w:tcPr>
            <w:tcW w:w="521" w:type="pct"/>
            <w:tcBorders>
              <w:top w:val="nil"/>
              <w:left w:val="single" w:sz="4" w:space="0" w:color="auto"/>
              <w:bottom w:val="nil"/>
              <w:right w:val="nil"/>
            </w:tcBorders>
            <w:vAlign w:val="center"/>
            <w:hideMark/>
          </w:tcPr>
          <w:p w14:paraId="6DEA3D6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1,758.9</w:t>
            </w:r>
          </w:p>
        </w:tc>
        <w:tc>
          <w:tcPr>
            <w:tcW w:w="483" w:type="pct"/>
            <w:tcBorders>
              <w:top w:val="nil"/>
              <w:left w:val="nil"/>
              <w:bottom w:val="nil"/>
              <w:right w:val="nil"/>
            </w:tcBorders>
            <w:vAlign w:val="center"/>
            <w:hideMark/>
          </w:tcPr>
          <w:p w14:paraId="4E43037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580.5</w:t>
            </w:r>
          </w:p>
        </w:tc>
        <w:tc>
          <w:tcPr>
            <w:tcW w:w="598" w:type="pct"/>
            <w:tcBorders>
              <w:top w:val="nil"/>
              <w:left w:val="nil"/>
              <w:bottom w:val="nil"/>
              <w:right w:val="single" w:sz="4" w:space="0" w:color="auto"/>
            </w:tcBorders>
            <w:vAlign w:val="center"/>
            <w:hideMark/>
          </w:tcPr>
          <w:p w14:paraId="7BE8E51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193.5</w:t>
            </w:r>
          </w:p>
        </w:tc>
      </w:tr>
      <w:tr w:rsidR="00DA554C" w:rsidRPr="00DA554C" w14:paraId="2E1A4174" w14:textId="77777777" w:rsidTr="009B659C">
        <w:trPr>
          <w:trHeight w:val="285"/>
        </w:trPr>
        <w:tc>
          <w:tcPr>
            <w:tcW w:w="346" w:type="pct"/>
            <w:tcBorders>
              <w:top w:val="nil"/>
              <w:left w:val="single" w:sz="4" w:space="0" w:color="auto"/>
              <w:bottom w:val="nil"/>
              <w:right w:val="nil"/>
            </w:tcBorders>
            <w:noWrap/>
            <w:vAlign w:val="center"/>
            <w:hideMark/>
          </w:tcPr>
          <w:p w14:paraId="712099B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lastRenderedPageBreak/>
              <w:t xml:space="preserve"> </w:t>
            </w:r>
          </w:p>
        </w:tc>
        <w:tc>
          <w:tcPr>
            <w:tcW w:w="3052" w:type="pct"/>
            <w:tcBorders>
              <w:top w:val="nil"/>
              <w:left w:val="single" w:sz="4" w:space="0" w:color="auto"/>
              <w:bottom w:val="nil"/>
              <w:right w:val="nil"/>
            </w:tcBorders>
            <w:vAlign w:val="center"/>
            <w:hideMark/>
          </w:tcPr>
          <w:p w14:paraId="0AB6DDE7"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(iii) more than $1 million but is not more than $5 million</w:t>
            </w:r>
          </w:p>
        </w:tc>
        <w:tc>
          <w:tcPr>
            <w:tcW w:w="521" w:type="pct"/>
            <w:tcBorders>
              <w:top w:val="nil"/>
              <w:left w:val="single" w:sz="4" w:space="0" w:color="auto"/>
              <w:bottom w:val="nil"/>
              <w:right w:val="nil"/>
            </w:tcBorders>
            <w:vAlign w:val="center"/>
            <w:hideMark/>
          </w:tcPr>
          <w:p w14:paraId="246B8C4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2,077.1</w:t>
            </w:r>
          </w:p>
        </w:tc>
        <w:tc>
          <w:tcPr>
            <w:tcW w:w="483" w:type="pct"/>
            <w:tcBorders>
              <w:top w:val="nil"/>
              <w:left w:val="nil"/>
              <w:bottom w:val="nil"/>
              <w:right w:val="nil"/>
            </w:tcBorders>
            <w:vAlign w:val="center"/>
            <w:hideMark/>
          </w:tcPr>
          <w:p w14:paraId="4CF27EA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685.4</w:t>
            </w:r>
          </w:p>
        </w:tc>
        <w:tc>
          <w:tcPr>
            <w:tcW w:w="598" w:type="pct"/>
            <w:tcBorders>
              <w:top w:val="nil"/>
              <w:left w:val="nil"/>
              <w:bottom w:val="nil"/>
              <w:right w:val="single" w:sz="4" w:space="0" w:color="auto"/>
            </w:tcBorders>
            <w:vAlign w:val="center"/>
            <w:hideMark/>
          </w:tcPr>
          <w:p w14:paraId="0DF293B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228.5</w:t>
            </w:r>
          </w:p>
        </w:tc>
      </w:tr>
      <w:tr w:rsidR="00DA554C" w:rsidRPr="00DA554C" w14:paraId="7001869D" w14:textId="77777777" w:rsidTr="009B659C">
        <w:trPr>
          <w:trHeight w:val="285"/>
        </w:trPr>
        <w:tc>
          <w:tcPr>
            <w:tcW w:w="346" w:type="pct"/>
            <w:tcBorders>
              <w:top w:val="nil"/>
              <w:left w:val="single" w:sz="4" w:space="0" w:color="auto"/>
              <w:bottom w:val="nil"/>
              <w:right w:val="nil"/>
            </w:tcBorders>
            <w:noWrap/>
            <w:vAlign w:val="center"/>
            <w:hideMark/>
          </w:tcPr>
          <w:p w14:paraId="404DD4C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4E8EE1A"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(iv) more than $5 million but is not more than $15 million</w:t>
            </w:r>
          </w:p>
        </w:tc>
        <w:tc>
          <w:tcPr>
            <w:tcW w:w="521" w:type="pct"/>
            <w:tcBorders>
              <w:top w:val="nil"/>
              <w:left w:val="single" w:sz="4" w:space="0" w:color="auto"/>
              <w:bottom w:val="nil"/>
              <w:right w:val="nil"/>
            </w:tcBorders>
            <w:vAlign w:val="center"/>
            <w:hideMark/>
          </w:tcPr>
          <w:p w14:paraId="77030F1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2,601.0</w:t>
            </w:r>
          </w:p>
        </w:tc>
        <w:tc>
          <w:tcPr>
            <w:tcW w:w="483" w:type="pct"/>
            <w:tcBorders>
              <w:top w:val="nil"/>
              <w:left w:val="nil"/>
              <w:bottom w:val="nil"/>
              <w:right w:val="nil"/>
            </w:tcBorders>
            <w:vAlign w:val="center"/>
            <w:hideMark/>
          </w:tcPr>
          <w:p w14:paraId="4B66052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858.3</w:t>
            </w:r>
          </w:p>
        </w:tc>
        <w:tc>
          <w:tcPr>
            <w:tcW w:w="598" w:type="pct"/>
            <w:tcBorders>
              <w:top w:val="nil"/>
              <w:left w:val="nil"/>
              <w:bottom w:val="nil"/>
              <w:right w:val="single" w:sz="4" w:space="0" w:color="auto"/>
            </w:tcBorders>
            <w:vAlign w:val="center"/>
            <w:hideMark/>
          </w:tcPr>
          <w:p w14:paraId="23E053F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286.1</w:t>
            </w:r>
          </w:p>
        </w:tc>
      </w:tr>
      <w:tr w:rsidR="00DA554C" w:rsidRPr="00DA554C" w14:paraId="4AF52E3B" w14:textId="77777777" w:rsidTr="009B659C">
        <w:trPr>
          <w:trHeight w:val="285"/>
        </w:trPr>
        <w:tc>
          <w:tcPr>
            <w:tcW w:w="346" w:type="pct"/>
            <w:tcBorders>
              <w:top w:val="nil"/>
              <w:left w:val="single" w:sz="4" w:space="0" w:color="auto"/>
              <w:bottom w:val="nil"/>
              <w:right w:val="nil"/>
            </w:tcBorders>
            <w:noWrap/>
            <w:vAlign w:val="center"/>
            <w:hideMark/>
          </w:tcPr>
          <w:p w14:paraId="0596201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B5A9B60"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(v) more than $15 million but is not more than $50 million</w:t>
            </w:r>
          </w:p>
        </w:tc>
        <w:tc>
          <w:tcPr>
            <w:tcW w:w="521" w:type="pct"/>
            <w:tcBorders>
              <w:top w:val="nil"/>
              <w:left w:val="single" w:sz="4" w:space="0" w:color="auto"/>
              <w:bottom w:val="nil"/>
              <w:right w:val="nil"/>
            </w:tcBorders>
            <w:vAlign w:val="center"/>
            <w:hideMark/>
          </w:tcPr>
          <w:p w14:paraId="0E079D7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3,143.7</w:t>
            </w:r>
          </w:p>
        </w:tc>
        <w:tc>
          <w:tcPr>
            <w:tcW w:w="483" w:type="pct"/>
            <w:tcBorders>
              <w:top w:val="nil"/>
              <w:left w:val="nil"/>
              <w:bottom w:val="nil"/>
              <w:right w:val="nil"/>
            </w:tcBorders>
            <w:vAlign w:val="center"/>
            <w:hideMark/>
          </w:tcPr>
          <w:p w14:paraId="5530FE8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1,037.4</w:t>
            </w:r>
          </w:p>
        </w:tc>
        <w:tc>
          <w:tcPr>
            <w:tcW w:w="598" w:type="pct"/>
            <w:tcBorders>
              <w:top w:val="nil"/>
              <w:left w:val="nil"/>
              <w:bottom w:val="nil"/>
              <w:right w:val="single" w:sz="4" w:space="0" w:color="auto"/>
            </w:tcBorders>
            <w:vAlign w:val="center"/>
            <w:hideMark/>
          </w:tcPr>
          <w:p w14:paraId="53A062A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345.8</w:t>
            </w:r>
          </w:p>
        </w:tc>
      </w:tr>
      <w:tr w:rsidR="00DA554C" w:rsidRPr="00DA554C" w14:paraId="3E5B81B4" w14:textId="77777777" w:rsidTr="009B659C">
        <w:trPr>
          <w:trHeight w:val="285"/>
        </w:trPr>
        <w:tc>
          <w:tcPr>
            <w:tcW w:w="346" w:type="pct"/>
            <w:tcBorders>
              <w:top w:val="nil"/>
              <w:left w:val="single" w:sz="4" w:space="0" w:color="auto"/>
              <w:bottom w:val="nil"/>
              <w:right w:val="nil"/>
            </w:tcBorders>
            <w:noWrap/>
            <w:vAlign w:val="center"/>
            <w:hideMark/>
          </w:tcPr>
          <w:p w14:paraId="3AFB628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900A23F" w14:textId="77777777" w:rsidR="00DA554C" w:rsidRPr="00DA554C" w:rsidRDefault="00DA554C" w:rsidP="00F62F6D">
            <w:pPr>
              <w:ind w:left="720"/>
              <w:rPr>
                <w:rFonts w:ascii="Arial" w:hAnsi="Arial" w:cs="Arial"/>
                <w:color w:val="000000"/>
                <w:sz w:val="18"/>
                <w:szCs w:val="18"/>
                <w:lang w:eastAsia="ko-KR"/>
              </w:rPr>
            </w:pPr>
            <w:r w:rsidRPr="00DA554C">
              <w:rPr>
                <w:rFonts w:ascii="Arial" w:hAnsi="Arial" w:cs="Arial"/>
                <w:color w:val="000000"/>
                <w:sz w:val="18"/>
                <w:szCs w:val="18"/>
                <w:lang w:eastAsia="ko-KR"/>
              </w:rPr>
              <w:t>(vi) more than $50 million or is not specified</w:t>
            </w:r>
          </w:p>
        </w:tc>
        <w:tc>
          <w:tcPr>
            <w:tcW w:w="521" w:type="pct"/>
            <w:tcBorders>
              <w:top w:val="nil"/>
              <w:left w:val="single" w:sz="4" w:space="0" w:color="auto"/>
              <w:bottom w:val="nil"/>
              <w:right w:val="nil"/>
            </w:tcBorders>
            <w:vAlign w:val="center"/>
            <w:hideMark/>
          </w:tcPr>
          <w:p w14:paraId="085D41B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3,648.9</w:t>
            </w:r>
          </w:p>
        </w:tc>
        <w:tc>
          <w:tcPr>
            <w:tcW w:w="483" w:type="pct"/>
            <w:tcBorders>
              <w:top w:val="nil"/>
              <w:left w:val="nil"/>
              <w:bottom w:val="nil"/>
              <w:right w:val="nil"/>
            </w:tcBorders>
            <w:vAlign w:val="center"/>
            <w:hideMark/>
          </w:tcPr>
          <w:p w14:paraId="7CAF333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1,204.1</w:t>
            </w:r>
          </w:p>
        </w:tc>
        <w:tc>
          <w:tcPr>
            <w:tcW w:w="598" w:type="pct"/>
            <w:tcBorders>
              <w:top w:val="nil"/>
              <w:left w:val="nil"/>
              <w:bottom w:val="nil"/>
              <w:right w:val="single" w:sz="4" w:space="0" w:color="auto"/>
            </w:tcBorders>
            <w:vAlign w:val="center"/>
            <w:hideMark/>
          </w:tcPr>
          <w:p w14:paraId="684BC89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401.4</w:t>
            </w:r>
          </w:p>
        </w:tc>
      </w:tr>
      <w:tr w:rsidR="00DA554C" w:rsidRPr="00DA554C" w14:paraId="502BCF7B" w14:textId="77777777" w:rsidTr="009B659C">
        <w:trPr>
          <w:trHeight w:val="495"/>
        </w:trPr>
        <w:tc>
          <w:tcPr>
            <w:tcW w:w="346" w:type="pct"/>
            <w:tcBorders>
              <w:top w:val="single" w:sz="4" w:space="0" w:color="auto"/>
              <w:left w:val="single" w:sz="4" w:space="0" w:color="auto"/>
              <w:bottom w:val="nil"/>
              <w:right w:val="nil"/>
            </w:tcBorders>
            <w:noWrap/>
            <w:vAlign w:val="center"/>
            <w:hideMark/>
          </w:tcPr>
          <w:p w14:paraId="578BB45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14</w:t>
            </w:r>
          </w:p>
        </w:tc>
        <w:tc>
          <w:tcPr>
            <w:tcW w:w="3052" w:type="pct"/>
            <w:tcBorders>
              <w:top w:val="single" w:sz="4" w:space="0" w:color="auto"/>
              <w:left w:val="single" w:sz="4" w:space="0" w:color="auto"/>
              <w:bottom w:val="nil"/>
              <w:right w:val="nil"/>
            </w:tcBorders>
            <w:vAlign w:val="center"/>
            <w:hideMark/>
          </w:tcPr>
          <w:p w14:paraId="2592B1FF"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the commencement of a proceeding under the </w:t>
            </w:r>
            <w:r w:rsidRPr="00DA554C">
              <w:rPr>
                <w:rFonts w:ascii="Arial" w:hAnsi="Arial" w:cs="Arial"/>
                <w:b/>
                <w:bCs/>
                <w:color w:val="000000"/>
                <w:sz w:val="18"/>
                <w:szCs w:val="18"/>
                <w:lang w:eastAsia="ko-KR"/>
              </w:rPr>
              <w:t>Planning and Environment Act 1987</w:t>
            </w:r>
            <w:r w:rsidRPr="00DA554C">
              <w:rPr>
                <w:rFonts w:ascii="Arial" w:hAnsi="Arial" w:cs="Arial"/>
                <w:color w:val="000000"/>
                <w:sz w:val="18"/>
                <w:szCs w:val="18"/>
                <w:lang w:eastAsia="ko-KR"/>
              </w:rPr>
              <w:t>, sections 87, 89 or 93</w:t>
            </w:r>
          </w:p>
        </w:tc>
        <w:tc>
          <w:tcPr>
            <w:tcW w:w="521" w:type="pct"/>
            <w:tcBorders>
              <w:top w:val="single" w:sz="4" w:space="0" w:color="auto"/>
              <w:left w:val="single" w:sz="4" w:space="0" w:color="auto"/>
              <w:bottom w:val="nil"/>
              <w:right w:val="nil"/>
            </w:tcBorders>
            <w:vAlign w:val="center"/>
            <w:hideMark/>
          </w:tcPr>
          <w:p w14:paraId="07C33A3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318.1</w:t>
            </w:r>
          </w:p>
        </w:tc>
        <w:tc>
          <w:tcPr>
            <w:tcW w:w="483" w:type="pct"/>
            <w:tcBorders>
              <w:top w:val="single" w:sz="4" w:space="0" w:color="auto"/>
              <w:left w:val="nil"/>
              <w:bottom w:val="nil"/>
              <w:right w:val="nil"/>
            </w:tcBorders>
            <w:vAlign w:val="center"/>
            <w:hideMark/>
          </w:tcPr>
          <w:p w14:paraId="679BFFE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105.0</w:t>
            </w:r>
          </w:p>
        </w:tc>
        <w:tc>
          <w:tcPr>
            <w:tcW w:w="598" w:type="pct"/>
            <w:tcBorders>
              <w:top w:val="single" w:sz="4" w:space="0" w:color="auto"/>
              <w:left w:val="nil"/>
              <w:bottom w:val="nil"/>
              <w:right w:val="single" w:sz="4" w:space="0" w:color="auto"/>
            </w:tcBorders>
            <w:vAlign w:val="center"/>
            <w:hideMark/>
          </w:tcPr>
          <w:p w14:paraId="66B5312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35.0</w:t>
            </w:r>
          </w:p>
        </w:tc>
      </w:tr>
      <w:tr w:rsidR="00DA554C" w:rsidRPr="00DA554C" w14:paraId="485F1546" w14:textId="77777777" w:rsidTr="009B659C">
        <w:trPr>
          <w:trHeight w:val="510"/>
        </w:trPr>
        <w:tc>
          <w:tcPr>
            <w:tcW w:w="346" w:type="pct"/>
            <w:tcBorders>
              <w:top w:val="single" w:sz="4" w:space="0" w:color="auto"/>
              <w:left w:val="single" w:sz="4" w:space="0" w:color="auto"/>
              <w:bottom w:val="nil"/>
              <w:right w:val="nil"/>
            </w:tcBorders>
            <w:noWrap/>
            <w:vAlign w:val="center"/>
            <w:hideMark/>
          </w:tcPr>
          <w:p w14:paraId="3BC3768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w:t>
            </w:r>
          </w:p>
        </w:tc>
        <w:tc>
          <w:tcPr>
            <w:tcW w:w="3052" w:type="pct"/>
            <w:tcBorders>
              <w:top w:val="single" w:sz="4" w:space="0" w:color="auto"/>
              <w:left w:val="single" w:sz="4" w:space="0" w:color="auto"/>
              <w:bottom w:val="nil"/>
              <w:right w:val="nil"/>
            </w:tcBorders>
            <w:vAlign w:val="center"/>
            <w:hideMark/>
          </w:tcPr>
          <w:p w14:paraId="54A5FE04"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commencement of a proceeding that is a major case and relates to a development having an estimated cost of—</w:t>
            </w:r>
          </w:p>
        </w:tc>
        <w:tc>
          <w:tcPr>
            <w:tcW w:w="521" w:type="pct"/>
            <w:tcBorders>
              <w:top w:val="single" w:sz="4" w:space="0" w:color="auto"/>
              <w:left w:val="single" w:sz="4" w:space="0" w:color="auto"/>
              <w:bottom w:val="nil"/>
              <w:right w:val="nil"/>
            </w:tcBorders>
            <w:vAlign w:val="center"/>
            <w:hideMark/>
          </w:tcPr>
          <w:p w14:paraId="7F0EC068"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73F857A1"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1946B373" w14:textId="77777777" w:rsidR="00DA554C" w:rsidRPr="00DA554C" w:rsidRDefault="00DA554C" w:rsidP="00DA554C">
            <w:pPr>
              <w:jc w:val="center"/>
              <w:rPr>
                <w:rFonts w:ascii="Times New Roman" w:hAnsi="Times New Roman"/>
                <w:lang w:eastAsia="ko-KR"/>
              </w:rPr>
            </w:pPr>
          </w:p>
        </w:tc>
      </w:tr>
      <w:tr w:rsidR="00DA554C" w:rsidRPr="00DA554C" w14:paraId="6AF2A0F8" w14:textId="77777777" w:rsidTr="009B659C">
        <w:trPr>
          <w:trHeight w:val="285"/>
        </w:trPr>
        <w:tc>
          <w:tcPr>
            <w:tcW w:w="346" w:type="pct"/>
            <w:tcBorders>
              <w:top w:val="nil"/>
              <w:left w:val="single" w:sz="4" w:space="0" w:color="auto"/>
              <w:bottom w:val="nil"/>
              <w:right w:val="nil"/>
            </w:tcBorders>
            <w:noWrap/>
            <w:vAlign w:val="center"/>
            <w:hideMark/>
          </w:tcPr>
          <w:p w14:paraId="02BFF7C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99021A5"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(a) nil</w:t>
            </w:r>
          </w:p>
        </w:tc>
        <w:tc>
          <w:tcPr>
            <w:tcW w:w="521" w:type="pct"/>
            <w:tcBorders>
              <w:top w:val="nil"/>
              <w:left w:val="single" w:sz="4" w:space="0" w:color="auto"/>
              <w:bottom w:val="nil"/>
              <w:right w:val="nil"/>
            </w:tcBorders>
            <w:vAlign w:val="center"/>
            <w:hideMark/>
          </w:tcPr>
          <w:p w14:paraId="496786D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4,172.8</w:t>
            </w:r>
          </w:p>
        </w:tc>
        <w:tc>
          <w:tcPr>
            <w:tcW w:w="483" w:type="pct"/>
            <w:tcBorders>
              <w:top w:val="nil"/>
              <w:left w:val="nil"/>
              <w:bottom w:val="nil"/>
              <w:right w:val="nil"/>
            </w:tcBorders>
            <w:vAlign w:val="center"/>
            <w:hideMark/>
          </w:tcPr>
          <w:p w14:paraId="23ABE28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1,377.0</w:t>
            </w:r>
          </w:p>
        </w:tc>
        <w:tc>
          <w:tcPr>
            <w:tcW w:w="598" w:type="pct"/>
            <w:tcBorders>
              <w:top w:val="nil"/>
              <w:left w:val="nil"/>
              <w:bottom w:val="nil"/>
              <w:right w:val="single" w:sz="4" w:space="0" w:color="auto"/>
            </w:tcBorders>
            <w:vAlign w:val="center"/>
            <w:hideMark/>
          </w:tcPr>
          <w:p w14:paraId="141E56B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459.0</w:t>
            </w:r>
          </w:p>
        </w:tc>
      </w:tr>
      <w:tr w:rsidR="00DA554C" w:rsidRPr="00DA554C" w14:paraId="7A62469B" w14:textId="77777777" w:rsidTr="009B659C">
        <w:trPr>
          <w:trHeight w:val="285"/>
        </w:trPr>
        <w:tc>
          <w:tcPr>
            <w:tcW w:w="346" w:type="pct"/>
            <w:tcBorders>
              <w:top w:val="nil"/>
              <w:left w:val="single" w:sz="4" w:space="0" w:color="auto"/>
              <w:bottom w:val="nil"/>
              <w:right w:val="nil"/>
            </w:tcBorders>
            <w:noWrap/>
            <w:vAlign w:val="center"/>
            <w:hideMark/>
          </w:tcPr>
          <w:p w14:paraId="7916442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64161F5"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(b) more than nil but not more than $1 million</w:t>
            </w:r>
          </w:p>
        </w:tc>
        <w:tc>
          <w:tcPr>
            <w:tcW w:w="521" w:type="pct"/>
            <w:tcBorders>
              <w:top w:val="nil"/>
              <w:left w:val="single" w:sz="4" w:space="0" w:color="auto"/>
              <w:bottom w:val="nil"/>
              <w:right w:val="nil"/>
            </w:tcBorders>
            <w:vAlign w:val="center"/>
            <w:hideMark/>
          </w:tcPr>
          <w:p w14:paraId="7557F37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3,854.7</w:t>
            </w:r>
          </w:p>
        </w:tc>
        <w:tc>
          <w:tcPr>
            <w:tcW w:w="483" w:type="pct"/>
            <w:tcBorders>
              <w:top w:val="nil"/>
              <w:left w:val="nil"/>
              <w:bottom w:val="nil"/>
              <w:right w:val="nil"/>
            </w:tcBorders>
            <w:vAlign w:val="center"/>
            <w:hideMark/>
          </w:tcPr>
          <w:p w14:paraId="4A23A83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1,272.1</w:t>
            </w:r>
          </w:p>
        </w:tc>
        <w:tc>
          <w:tcPr>
            <w:tcW w:w="598" w:type="pct"/>
            <w:tcBorders>
              <w:top w:val="nil"/>
              <w:left w:val="nil"/>
              <w:bottom w:val="nil"/>
              <w:right w:val="single" w:sz="4" w:space="0" w:color="auto"/>
            </w:tcBorders>
            <w:vAlign w:val="center"/>
            <w:hideMark/>
          </w:tcPr>
          <w:p w14:paraId="54F9489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424.0</w:t>
            </w:r>
          </w:p>
        </w:tc>
      </w:tr>
      <w:tr w:rsidR="00DA554C" w:rsidRPr="00DA554C" w14:paraId="4621E52B" w14:textId="77777777" w:rsidTr="009B659C">
        <w:trPr>
          <w:trHeight w:val="285"/>
        </w:trPr>
        <w:tc>
          <w:tcPr>
            <w:tcW w:w="346" w:type="pct"/>
            <w:tcBorders>
              <w:top w:val="nil"/>
              <w:left w:val="single" w:sz="4" w:space="0" w:color="auto"/>
              <w:bottom w:val="nil"/>
              <w:right w:val="nil"/>
            </w:tcBorders>
            <w:noWrap/>
            <w:vAlign w:val="center"/>
            <w:hideMark/>
          </w:tcPr>
          <w:p w14:paraId="273B974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4275915"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(c) more than $1 million but not more than $5 million</w:t>
            </w:r>
          </w:p>
        </w:tc>
        <w:tc>
          <w:tcPr>
            <w:tcW w:w="521" w:type="pct"/>
            <w:tcBorders>
              <w:top w:val="nil"/>
              <w:left w:val="single" w:sz="4" w:space="0" w:color="auto"/>
              <w:bottom w:val="nil"/>
              <w:right w:val="nil"/>
            </w:tcBorders>
            <w:vAlign w:val="center"/>
            <w:hideMark/>
          </w:tcPr>
          <w:p w14:paraId="64914FB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4,172.8</w:t>
            </w:r>
          </w:p>
        </w:tc>
        <w:tc>
          <w:tcPr>
            <w:tcW w:w="483" w:type="pct"/>
            <w:tcBorders>
              <w:top w:val="nil"/>
              <w:left w:val="nil"/>
              <w:bottom w:val="nil"/>
              <w:right w:val="nil"/>
            </w:tcBorders>
            <w:vAlign w:val="center"/>
            <w:hideMark/>
          </w:tcPr>
          <w:p w14:paraId="35AD396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1,377.0</w:t>
            </w:r>
          </w:p>
        </w:tc>
        <w:tc>
          <w:tcPr>
            <w:tcW w:w="598" w:type="pct"/>
            <w:tcBorders>
              <w:top w:val="nil"/>
              <w:left w:val="nil"/>
              <w:bottom w:val="nil"/>
              <w:right w:val="single" w:sz="4" w:space="0" w:color="auto"/>
            </w:tcBorders>
            <w:vAlign w:val="center"/>
            <w:hideMark/>
          </w:tcPr>
          <w:p w14:paraId="518067F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459.0</w:t>
            </w:r>
          </w:p>
        </w:tc>
      </w:tr>
      <w:tr w:rsidR="00DA554C" w:rsidRPr="00DA554C" w14:paraId="734C8151" w14:textId="77777777" w:rsidTr="009B659C">
        <w:trPr>
          <w:trHeight w:val="510"/>
        </w:trPr>
        <w:tc>
          <w:tcPr>
            <w:tcW w:w="346" w:type="pct"/>
            <w:tcBorders>
              <w:top w:val="nil"/>
              <w:left w:val="single" w:sz="4" w:space="0" w:color="auto"/>
              <w:bottom w:val="nil"/>
              <w:right w:val="nil"/>
            </w:tcBorders>
            <w:noWrap/>
            <w:vAlign w:val="center"/>
            <w:hideMark/>
          </w:tcPr>
          <w:p w14:paraId="1D618C6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254D0FE"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(d) more than $5 million but not more than $15 million</w:t>
            </w:r>
          </w:p>
        </w:tc>
        <w:tc>
          <w:tcPr>
            <w:tcW w:w="521" w:type="pct"/>
            <w:tcBorders>
              <w:top w:val="nil"/>
              <w:left w:val="single" w:sz="4" w:space="0" w:color="auto"/>
              <w:bottom w:val="nil"/>
              <w:right w:val="nil"/>
            </w:tcBorders>
            <w:vAlign w:val="center"/>
            <w:hideMark/>
          </w:tcPr>
          <w:p w14:paraId="4AE27E3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4,696.8</w:t>
            </w:r>
          </w:p>
        </w:tc>
        <w:tc>
          <w:tcPr>
            <w:tcW w:w="483" w:type="pct"/>
            <w:tcBorders>
              <w:top w:val="nil"/>
              <w:left w:val="nil"/>
              <w:bottom w:val="nil"/>
              <w:right w:val="nil"/>
            </w:tcBorders>
            <w:vAlign w:val="center"/>
            <w:hideMark/>
          </w:tcPr>
          <w:p w14:paraId="6E11951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1,549.9</w:t>
            </w:r>
          </w:p>
        </w:tc>
        <w:tc>
          <w:tcPr>
            <w:tcW w:w="598" w:type="pct"/>
            <w:tcBorders>
              <w:top w:val="nil"/>
              <w:left w:val="nil"/>
              <w:bottom w:val="nil"/>
              <w:right w:val="single" w:sz="4" w:space="0" w:color="auto"/>
            </w:tcBorders>
            <w:vAlign w:val="center"/>
            <w:hideMark/>
          </w:tcPr>
          <w:p w14:paraId="339196A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516.6</w:t>
            </w:r>
          </w:p>
        </w:tc>
      </w:tr>
      <w:tr w:rsidR="00DA554C" w:rsidRPr="00DA554C" w14:paraId="1F3E7D60" w14:textId="77777777" w:rsidTr="009B659C">
        <w:trPr>
          <w:trHeight w:val="285"/>
        </w:trPr>
        <w:tc>
          <w:tcPr>
            <w:tcW w:w="346" w:type="pct"/>
            <w:tcBorders>
              <w:top w:val="nil"/>
              <w:left w:val="single" w:sz="4" w:space="0" w:color="auto"/>
              <w:bottom w:val="nil"/>
              <w:right w:val="nil"/>
            </w:tcBorders>
            <w:noWrap/>
            <w:vAlign w:val="center"/>
            <w:hideMark/>
          </w:tcPr>
          <w:p w14:paraId="5909F0A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D62ADDB"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(e) more than $15 million but not more than $50 million</w:t>
            </w:r>
          </w:p>
        </w:tc>
        <w:tc>
          <w:tcPr>
            <w:tcW w:w="521" w:type="pct"/>
            <w:tcBorders>
              <w:top w:val="nil"/>
              <w:left w:val="single" w:sz="4" w:space="0" w:color="auto"/>
              <w:bottom w:val="nil"/>
              <w:right w:val="nil"/>
            </w:tcBorders>
            <w:vAlign w:val="center"/>
            <w:hideMark/>
          </w:tcPr>
          <w:p w14:paraId="7DB48D5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5,220.7</w:t>
            </w:r>
          </w:p>
        </w:tc>
        <w:tc>
          <w:tcPr>
            <w:tcW w:w="483" w:type="pct"/>
            <w:tcBorders>
              <w:top w:val="nil"/>
              <w:left w:val="nil"/>
              <w:bottom w:val="nil"/>
              <w:right w:val="nil"/>
            </w:tcBorders>
            <w:vAlign w:val="center"/>
            <w:hideMark/>
          </w:tcPr>
          <w:p w14:paraId="129E1F7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1,722.8</w:t>
            </w:r>
          </w:p>
        </w:tc>
        <w:tc>
          <w:tcPr>
            <w:tcW w:w="598" w:type="pct"/>
            <w:tcBorders>
              <w:top w:val="nil"/>
              <w:left w:val="nil"/>
              <w:bottom w:val="nil"/>
              <w:right w:val="single" w:sz="4" w:space="0" w:color="auto"/>
            </w:tcBorders>
            <w:vAlign w:val="center"/>
            <w:hideMark/>
          </w:tcPr>
          <w:p w14:paraId="572AC7C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574.3</w:t>
            </w:r>
          </w:p>
        </w:tc>
      </w:tr>
      <w:tr w:rsidR="00DA554C" w:rsidRPr="00DA554C" w14:paraId="17BCCF51" w14:textId="77777777" w:rsidTr="009B659C">
        <w:trPr>
          <w:trHeight w:val="285"/>
        </w:trPr>
        <w:tc>
          <w:tcPr>
            <w:tcW w:w="346" w:type="pct"/>
            <w:tcBorders>
              <w:top w:val="nil"/>
              <w:left w:val="single" w:sz="4" w:space="0" w:color="auto"/>
              <w:bottom w:val="nil"/>
              <w:right w:val="nil"/>
            </w:tcBorders>
            <w:noWrap/>
            <w:vAlign w:val="center"/>
            <w:hideMark/>
          </w:tcPr>
          <w:p w14:paraId="3B5C972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A20883D"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(f) more than $50 million or is not specified</w:t>
            </w:r>
          </w:p>
        </w:tc>
        <w:tc>
          <w:tcPr>
            <w:tcW w:w="521" w:type="pct"/>
            <w:tcBorders>
              <w:top w:val="nil"/>
              <w:left w:val="single" w:sz="4" w:space="0" w:color="auto"/>
              <w:bottom w:val="nil"/>
              <w:right w:val="nil"/>
            </w:tcBorders>
            <w:vAlign w:val="center"/>
            <w:hideMark/>
          </w:tcPr>
          <w:p w14:paraId="7D1785C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5,744.7</w:t>
            </w:r>
          </w:p>
        </w:tc>
        <w:tc>
          <w:tcPr>
            <w:tcW w:w="483" w:type="pct"/>
            <w:tcBorders>
              <w:top w:val="nil"/>
              <w:left w:val="nil"/>
              <w:bottom w:val="nil"/>
              <w:right w:val="nil"/>
            </w:tcBorders>
            <w:vAlign w:val="center"/>
            <w:hideMark/>
          </w:tcPr>
          <w:p w14:paraId="0A73A8D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1,895.7</w:t>
            </w:r>
          </w:p>
        </w:tc>
        <w:tc>
          <w:tcPr>
            <w:tcW w:w="598" w:type="pct"/>
            <w:tcBorders>
              <w:top w:val="nil"/>
              <w:left w:val="nil"/>
              <w:bottom w:val="nil"/>
              <w:right w:val="single" w:sz="4" w:space="0" w:color="auto"/>
            </w:tcBorders>
            <w:vAlign w:val="center"/>
            <w:hideMark/>
          </w:tcPr>
          <w:p w14:paraId="122104A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631.9</w:t>
            </w:r>
          </w:p>
        </w:tc>
      </w:tr>
      <w:tr w:rsidR="00DA554C" w:rsidRPr="00DA554C" w14:paraId="0345261A" w14:textId="77777777" w:rsidTr="009B659C">
        <w:trPr>
          <w:trHeight w:val="600"/>
        </w:trPr>
        <w:tc>
          <w:tcPr>
            <w:tcW w:w="346" w:type="pct"/>
            <w:tcBorders>
              <w:top w:val="single" w:sz="4" w:space="0" w:color="auto"/>
              <w:left w:val="single" w:sz="4" w:space="0" w:color="auto"/>
              <w:bottom w:val="nil"/>
              <w:right w:val="nil"/>
            </w:tcBorders>
            <w:noWrap/>
            <w:vAlign w:val="center"/>
            <w:hideMark/>
          </w:tcPr>
          <w:p w14:paraId="416A1CE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16</w:t>
            </w:r>
          </w:p>
        </w:tc>
        <w:tc>
          <w:tcPr>
            <w:tcW w:w="3052" w:type="pct"/>
            <w:tcBorders>
              <w:top w:val="single" w:sz="4" w:space="0" w:color="auto"/>
              <w:left w:val="single" w:sz="4" w:space="0" w:color="auto"/>
              <w:bottom w:val="nil"/>
              <w:right w:val="nil"/>
            </w:tcBorders>
            <w:vAlign w:val="center"/>
            <w:hideMark/>
          </w:tcPr>
          <w:p w14:paraId="1EE4D3BE"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the commencement of a proceeding under any provision of the </w:t>
            </w:r>
            <w:r w:rsidRPr="00DA554C">
              <w:rPr>
                <w:rFonts w:ascii="Arial" w:hAnsi="Arial" w:cs="Arial"/>
                <w:b/>
                <w:bCs/>
                <w:color w:val="000000"/>
                <w:sz w:val="18"/>
                <w:szCs w:val="18"/>
                <w:lang w:eastAsia="ko-KR"/>
              </w:rPr>
              <w:t xml:space="preserve">Planning and Environment Act 1987 </w:t>
            </w:r>
            <w:r w:rsidRPr="00DA554C">
              <w:rPr>
                <w:rFonts w:ascii="Arial" w:hAnsi="Arial" w:cs="Arial"/>
                <w:color w:val="000000"/>
                <w:sz w:val="18"/>
                <w:szCs w:val="18"/>
                <w:lang w:eastAsia="ko-KR"/>
              </w:rPr>
              <w:t>or</w:t>
            </w:r>
            <w:r w:rsidRPr="00DA554C">
              <w:rPr>
                <w:rFonts w:ascii="Arial" w:hAnsi="Arial" w:cs="Arial"/>
                <w:b/>
                <w:bCs/>
                <w:color w:val="000000"/>
                <w:sz w:val="18"/>
                <w:szCs w:val="18"/>
                <w:lang w:eastAsia="ko-KR"/>
              </w:rPr>
              <w:t xml:space="preserve"> </w:t>
            </w:r>
            <w:r w:rsidRPr="00DA554C">
              <w:rPr>
                <w:rFonts w:ascii="Arial" w:hAnsi="Arial" w:cs="Arial"/>
                <w:color w:val="000000"/>
                <w:sz w:val="18"/>
                <w:szCs w:val="18"/>
                <w:lang w:eastAsia="ko-KR"/>
              </w:rPr>
              <w:t xml:space="preserve">the </w:t>
            </w:r>
            <w:r w:rsidRPr="00DA554C">
              <w:rPr>
                <w:rFonts w:ascii="Arial" w:hAnsi="Arial" w:cs="Arial"/>
                <w:b/>
                <w:bCs/>
                <w:color w:val="000000"/>
                <w:sz w:val="18"/>
                <w:szCs w:val="18"/>
                <w:lang w:eastAsia="ko-KR"/>
              </w:rPr>
              <w:t xml:space="preserve">Environment Protection Act 2017 </w:t>
            </w:r>
            <w:r w:rsidRPr="00DA554C">
              <w:rPr>
                <w:rFonts w:ascii="Arial" w:hAnsi="Arial" w:cs="Arial"/>
                <w:color w:val="000000"/>
                <w:sz w:val="18"/>
                <w:szCs w:val="18"/>
                <w:lang w:eastAsia="ko-KR"/>
              </w:rPr>
              <w:t>not otherwise specified in this Part</w:t>
            </w:r>
          </w:p>
        </w:tc>
        <w:tc>
          <w:tcPr>
            <w:tcW w:w="521" w:type="pct"/>
            <w:tcBorders>
              <w:top w:val="single" w:sz="4" w:space="0" w:color="auto"/>
              <w:left w:val="single" w:sz="4" w:space="0" w:color="auto"/>
              <w:bottom w:val="nil"/>
              <w:right w:val="nil"/>
            </w:tcBorders>
            <w:vAlign w:val="center"/>
            <w:hideMark/>
          </w:tcPr>
          <w:p w14:paraId="4B9BEE7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1,571.8</w:t>
            </w:r>
          </w:p>
        </w:tc>
        <w:tc>
          <w:tcPr>
            <w:tcW w:w="483" w:type="pct"/>
            <w:tcBorders>
              <w:top w:val="single" w:sz="4" w:space="0" w:color="auto"/>
              <w:left w:val="nil"/>
              <w:bottom w:val="nil"/>
              <w:right w:val="nil"/>
            </w:tcBorders>
            <w:vAlign w:val="center"/>
            <w:hideMark/>
          </w:tcPr>
          <w:p w14:paraId="3818789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518.7</w:t>
            </w:r>
          </w:p>
        </w:tc>
        <w:tc>
          <w:tcPr>
            <w:tcW w:w="598" w:type="pct"/>
            <w:tcBorders>
              <w:top w:val="single" w:sz="4" w:space="0" w:color="auto"/>
              <w:left w:val="nil"/>
              <w:bottom w:val="nil"/>
              <w:right w:val="single" w:sz="4" w:space="0" w:color="auto"/>
            </w:tcBorders>
            <w:vAlign w:val="center"/>
            <w:hideMark/>
          </w:tcPr>
          <w:p w14:paraId="1DD8050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172.9</w:t>
            </w:r>
          </w:p>
        </w:tc>
      </w:tr>
      <w:tr w:rsidR="00DA554C" w:rsidRPr="00DA554C" w14:paraId="36E453B9" w14:textId="77777777" w:rsidTr="009B659C">
        <w:trPr>
          <w:trHeight w:val="450"/>
        </w:trPr>
        <w:tc>
          <w:tcPr>
            <w:tcW w:w="346" w:type="pct"/>
            <w:tcBorders>
              <w:top w:val="single" w:sz="4" w:space="0" w:color="auto"/>
              <w:left w:val="single" w:sz="4" w:space="0" w:color="auto"/>
              <w:bottom w:val="single" w:sz="4" w:space="0" w:color="auto"/>
              <w:right w:val="nil"/>
            </w:tcBorders>
            <w:noWrap/>
            <w:vAlign w:val="center"/>
            <w:hideMark/>
          </w:tcPr>
          <w:p w14:paraId="0ED3570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17</w:t>
            </w:r>
          </w:p>
        </w:tc>
        <w:tc>
          <w:tcPr>
            <w:tcW w:w="3052" w:type="pct"/>
            <w:tcBorders>
              <w:top w:val="single" w:sz="4" w:space="0" w:color="auto"/>
              <w:left w:val="single" w:sz="4" w:space="0" w:color="auto"/>
              <w:bottom w:val="single" w:sz="4" w:space="0" w:color="auto"/>
              <w:right w:val="nil"/>
            </w:tcBorders>
            <w:vAlign w:val="center"/>
            <w:hideMark/>
          </w:tcPr>
          <w:p w14:paraId="5CBED8D3"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commencement of a proceeding under any enabling enactment not otherwise specified in this Part</w:t>
            </w:r>
          </w:p>
        </w:tc>
        <w:tc>
          <w:tcPr>
            <w:tcW w:w="521" w:type="pct"/>
            <w:tcBorders>
              <w:top w:val="single" w:sz="4" w:space="0" w:color="auto"/>
              <w:left w:val="single" w:sz="4" w:space="0" w:color="auto"/>
              <w:bottom w:val="single" w:sz="4" w:space="0" w:color="auto"/>
              <w:right w:val="nil"/>
            </w:tcBorders>
            <w:vAlign w:val="center"/>
            <w:hideMark/>
          </w:tcPr>
          <w:p w14:paraId="2090FE5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1,197.6</w:t>
            </w:r>
          </w:p>
        </w:tc>
        <w:tc>
          <w:tcPr>
            <w:tcW w:w="483" w:type="pct"/>
            <w:tcBorders>
              <w:top w:val="single" w:sz="4" w:space="0" w:color="auto"/>
              <w:left w:val="nil"/>
              <w:bottom w:val="single" w:sz="4" w:space="0" w:color="auto"/>
              <w:right w:val="nil"/>
            </w:tcBorders>
            <w:vAlign w:val="center"/>
            <w:hideMark/>
          </w:tcPr>
          <w:p w14:paraId="757AAB8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395.2</w:t>
            </w:r>
          </w:p>
        </w:tc>
        <w:tc>
          <w:tcPr>
            <w:tcW w:w="598" w:type="pct"/>
            <w:tcBorders>
              <w:top w:val="single" w:sz="4" w:space="0" w:color="auto"/>
              <w:left w:val="nil"/>
              <w:bottom w:val="nil"/>
              <w:right w:val="single" w:sz="4" w:space="0" w:color="auto"/>
            </w:tcBorders>
            <w:vAlign w:val="center"/>
            <w:hideMark/>
          </w:tcPr>
          <w:p w14:paraId="7E12EB9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131.7</w:t>
            </w:r>
          </w:p>
        </w:tc>
      </w:tr>
      <w:tr w:rsidR="009B659C" w:rsidRPr="00DA554C" w14:paraId="1497B9D9" w14:textId="77777777" w:rsidTr="009B659C">
        <w:trPr>
          <w:trHeight w:val="318"/>
        </w:trPr>
        <w:tc>
          <w:tcPr>
            <w:tcW w:w="4402" w:type="pct"/>
            <w:gridSpan w:val="4"/>
            <w:tcBorders>
              <w:top w:val="nil"/>
              <w:left w:val="single" w:sz="4" w:space="0" w:color="auto"/>
              <w:bottom w:val="nil"/>
              <w:right w:val="nil"/>
            </w:tcBorders>
            <w:shd w:val="clear" w:color="000000" w:fill="F2F2F2"/>
            <w:noWrap/>
            <w:vAlign w:val="center"/>
            <w:hideMark/>
          </w:tcPr>
          <w:p w14:paraId="7BF27F32" w14:textId="0145578C" w:rsidR="009B659C" w:rsidRPr="009B659C" w:rsidRDefault="009B659C" w:rsidP="009B659C">
            <w:pPr>
              <w:rPr>
                <w:rFonts w:ascii="Times New Roman" w:hAnsi="Times New Roman"/>
                <w:sz w:val="18"/>
                <w:szCs w:val="18"/>
                <w:lang w:eastAsia="ko-KR"/>
              </w:rPr>
            </w:pPr>
            <w:r w:rsidRPr="009B659C">
              <w:rPr>
                <w:rFonts w:ascii="Arial" w:hAnsi="Arial" w:cs="Arial"/>
                <w:b/>
                <w:bCs/>
                <w:color w:val="000000"/>
                <w:sz w:val="18"/>
                <w:szCs w:val="18"/>
                <w:lang w:eastAsia="ko-KR"/>
              </w:rPr>
              <w:t>Part 2—Fee for an application and other matters in relation to an existing proceeding</w:t>
            </w:r>
          </w:p>
        </w:tc>
        <w:tc>
          <w:tcPr>
            <w:tcW w:w="598" w:type="pct"/>
            <w:tcBorders>
              <w:top w:val="single" w:sz="4" w:space="0" w:color="auto"/>
              <w:left w:val="nil"/>
              <w:bottom w:val="single" w:sz="4" w:space="0" w:color="auto"/>
              <w:right w:val="single" w:sz="4" w:space="0" w:color="auto"/>
            </w:tcBorders>
            <w:shd w:val="clear" w:color="000000" w:fill="F2F2F2"/>
            <w:vAlign w:val="center"/>
            <w:hideMark/>
          </w:tcPr>
          <w:p w14:paraId="2106953B" w14:textId="77777777" w:rsidR="009B659C" w:rsidRPr="00DA554C" w:rsidRDefault="009B659C" w:rsidP="00DA554C">
            <w:pPr>
              <w:jc w:val="center"/>
              <w:rPr>
                <w:rFonts w:ascii="Times New Roman" w:hAnsi="Times New Roman"/>
                <w:lang w:eastAsia="ko-KR"/>
              </w:rPr>
            </w:pPr>
          </w:p>
        </w:tc>
      </w:tr>
      <w:tr w:rsidR="00DA554C" w:rsidRPr="00DA554C" w14:paraId="5370BEBA" w14:textId="77777777" w:rsidTr="009B659C">
        <w:trPr>
          <w:trHeight w:val="780"/>
        </w:trPr>
        <w:tc>
          <w:tcPr>
            <w:tcW w:w="346" w:type="pct"/>
            <w:tcBorders>
              <w:top w:val="single" w:sz="4" w:space="0" w:color="auto"/>
              <w:left w:val="single" w:sz="4" w:space="0" w:color="auto"/>
              <w:bottom w:val="nil"/>
              <w:right w:val="single" w:sz="4" w:space="0" w:color="auto"/>
            </w:tcBorders>
            <w:noWrap/>
            <w:vAlign w:val="center"/>
            <w:hideMark/>
          </w:tcPr>
          <w:p w14:paraId="1BC1834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18</w:t>
            </w:r>
          </w:p>
        </w:tc>
        <w:tc>
          <w:tcPr>
            <w:tcW w:w="3052" w:type="pct"/>
            <w:tcBorders>
              <w:top w:val="single" w:sz="4" w:space="0" w:color="auto"/>
              <w:left w:val="nil"/>
              <w:bottom w:val="nil"/>
              <w:right w:val="nil"/>
            </w:tcBorders>
            <w:vAlign w:val="center"/>
            <w:hideMark/>
          </w:tcPr>
          <w:p w14:paraId="69D57B7A"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making of an application for the costs of a proceeding under section 109 of the Act or under an enabling enactment, if final orders have been made in that proceeding and the proceeding was allocated to the Tribunal’s—</w:t>
            </w:r>
          </w:p>
        </w:tc>
        <w:tc>
          <w:tcPr>
            <w:tcW w:w="521" w:type="pct"/>
            <w:tcBorders>
              <w:top w:val="single" w:sz="4" w:space="0" w:color="auto"/>
              <w:left w:val="single" w:sz="4" w:space="0" w:color="auto"/>
              <w:bottom w:val="nil"/>
              <w:right w:val="nil"/>
            </w:tcBorders>
            <w:vAlign w:val="center"/>
            <w:hideMark/>
          </w:tcPr>
          <w:p w14:paraId="3DEEE4DE"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10CEE18F"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BAFD44F" w14:textId="77777777" w:rsidR="00DA554C" w:rsidRPr="00DA554C" w:rsidRDefault="00DA554C" w:rsidP="00DA554C">
            <w:pPr>
              <w:jc w:val="center"/>
              <w:rPr>
                <w:rFonts w:ascii="Times New Roman" w:hAnsi="Times New Roman"/>
                <w:lang w:eastAsia="ko-KR"/>
              </w:rPr>
            </w:pPr>
          </w:p>
        </w:tc>
      </w:tr>
      <w:tr w:rsidR="00DA554C" w:rsidRPr="00DA554C" w14:paraId="53A321A2"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2751D24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08FD503B" w14:textId="77777777" w:rsidR="00DA554C" w:rsidRPr="00DA554C" w:rsidRDefault="00DA554C" w:rsidP="00DA554C">
            <w:pPr>
              <w:ind w:firstLineChars="300" w:firstLine="540"/>
              <w:rPr>
                <w:rFonts w:ascii="Arial" w:hAnsi="Arial" w:cs="Arial"/>
                <w:color w:val="000000"/>
                <w:sz w:val="18"/>
                <w:szCs w:val="18"/>
                <w:lang w:eastAsia="ko-KR"/>
              </w:rPr>
            </w:pPr>
            <w:bookmarkStart w:id="135" w:name="Option_2_(no_increase)!C226"/>
            <w:r w:rsidRPr="00DA554C">
              <w:rPr>
                <w:rFonts w:ascii="Arial" w:hAnsi="Arial" w:cs="Arial"/>
                <w:color w:val="000000"/>
                <w:sz w:val="18"/>
                <w:szCs w:val="18"/>
                <w:lang w:eastAsia="ko-KR"/>
              </w:rPr>
              <w:t xml:space="preserve">(a) administrative division or planning and environment division </w:t>
            </w:r>
            <w:bookmarkEnd w:id="135"/>
          </w:p>
        </w:tc>
        <w:tc>
          <w:tcPr>
            <w:tcW w:w="521" w:type="pct"/>
            <w:tcBorders>
              <w:top w:val="nil"/>
              <w:left w:val="single" w:sz="4" w:space="0" w:color="auto"/>
              <w:bottom w:val="nil"/>
              <w:right w:val="nil"/>
            </w:tcBorders>
            <w:vAlign w:val="center"/>
            <w:hideMark/>
          </w:tcPr>
          <w:p w14:paraId="78FB97C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1,197.6</w:t>
            </w:r>
          </w:p>
        </w:tc>
        <w:tc>
          <w:tcPr>
            <w:tcW w:w="483" w:type="pct"/>
            <w:tcBorders>
              <w:top w:val="nil"/>
              <w:left w:val="nil"/>
              <w:bottom w:val="nil"/>
              <w:right w:val="nil"/>
            </w:tcBorders>
            <w:vAlign w:val="center"/>
            <w:hideMark/>
          </w:tcPr>
          <w:p w14:paraId="66F9F3B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395.2</w:t>
            </w:r>
          </w:p>
        </w:tc>
        <w:tc>
          <w:tcPr>
            <w:tcW w:w="598" w:type="pct"/>
            <w:tcBorders>
              <w:top w:val="nil"/>
              <w:left w:val="nil"/>
              <w:bottom w:val="nil"/>
              <w:right w:val="single" w:sz="4" w:space="0" w:color="auto"/>
            </w:tcBorders>
            <w:vAlign w:val="center"/>
            <w:hideMark/>
          </w:tcPr>
          <w:p w14:paraId="1E08D36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131.7</w:t>
            </w:r>
          </w:p>
        </w:tc>
      </w:tr>
      <w:tr w:rsidR="00DA554C" w:rsidRPr="00DA554C" w14:paraId="7AA6C47A"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344E306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36A480A4"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(b) civil division</w:t>
            </w:r>
          </w:p>
        </w:tc>
        <w:tc>
          <w:tcPr>
            <w:tcW w:w="521" w:type="pct"/>
            <w:tcBorders>
              <w:top w:val="nil"/>
              <w:left w:val="single" w:sz="4" w:space="0" w:color="auto"/>
              <w:bottom w:val="single" w:sz="4" w:space="0" w:color="auto"/>
              <w:right w:val="nil"/>
            </w:tcBorders>
            <w:vAlign w:val="center"/>
            <w:hideMark/>
          </w:tcPr>
          <w:p w14:paraId="5FE7F28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673.6</w:t>
            </w:r>
          </w:p>
        </w:tc>
        <w:tc>
          <w:tcPr>
            <w:tcW w:w="483" w:type="pct"/>
            <w:tcBorders>
              <w:top w:val="nil"/>
              <w:left w:val="nil"/>
              <w:bottom w:val="single" w:sz="4" w:space="0" w:color="auto"/>
              <w:right w:val="nil"/>
            </w:tcBorders>
            <w:vAlign w:val="center"/>
            <w:hideMark/>
          </w:tcPr>
          <w:p w14:paraId="604F6AB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222.3</w:t>
            </w:r>
          </w:p>
        </w:tc>
        <w:tc>
          <w:tcPr>
            <w:tcW w:w="598" w:type="pct"/>
            <w:tcBorders>
              <w:top w:val="nil"/>
              <w:left w:val="nil"/>
              <w:bottom w:val="single" w:sz="4" w:space="0" w:color="auto"/>
              <w:right w:val="single" w:sz="4" w:space="0" w:color="auto"/>
            </w:tcBorders>
            <w:vAlign w:val="center"/>
            <w:hideMark/>
          </w:tcPr>
          <w:p w14:paraId="61BF157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74.1</w:t>
            </w:r>
          </w:p>
        </w:tc>
      </w:tr>
      <w:tr w:rsidR="00DA554C" w:rsidRPr="00DA554C" w14:paraId="5E7D41D2" w14:textId="77777777" w:rsidTr="009B659C">
        <w:trPr>
          <w:trHeight w:val="780"/>
        </w:trPr>
        <w:tc>
          <w:tcPr>
            <w:tcW w:w="346" w:type="pct"/>
            <w:tcBorders>
              <w:top w:val="single" w:sz="4" w:space="0" w:color="auto"/>
              <w:left w:val="single" w:sz="4" w:space="0" w:color="auto"/>
              <w:bottom w:val="nil"/>
              <w:right w:val="nil"/>
            </w:tcBorders>
            <w:noWrap/>
            <w:vAlign w:val="center"/>
            <w:hideMark/>
          </w:tcPr>
          <w:p w14:paraId="6ACC652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19</w:t>
            </w:r>
          </w:p>
        </w:tc>
        <w:tc>
          <w:tcPr>
            <w:tcW w:w="3052" w:type="pct"/>
            <w:tcBorders>
              <w:top w:val="single" w:sz="4" w:space="0" w:color="auto"/>
              <w:left w:val="single" w:sz="4" w:space="0" w:color="auto"/>
              <w:bottom w:val="nil"/>
              <w:right w:val="nil"/>
            </w:tcBorders>
            <w:vAlign w:val="center"/>
            <w:hideMark/>
          </w:tcPr>
          <w:p w14:paraId="3E511AC7"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making of an application under section 120 of the Act, if the proceeding in relation to which the application is made was allocated to the Tribunal’s—</w:t>
            </w:r>
          </w:p>
        </w:tc>
        <w:tc>
          <w:tcPr>
            <w:tcW w:w="521" w:type="pct"/>
            <w:tcBorders>
              <w:top w:val="nil"/>
              <w:left w:val="single" w:sz="4" w:space="0" w:color="auto"/>
              <w:bottom w:val="nil"/>
              <w:right w:val="nil"/>
            </w:tcBorders>
            <w:vAlign w:val="center"/>
            <w:hideMark/>
          </w:tcPr>
          <w:p w14:paraId="487D1225"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012DE4B8"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8AC2110" w14:textId="77777777" w:rsidR="00DA554C" w:rsidRPr="00DA554C" w:rsidRDefault="00DA554C" w:rsidP="00DA554C">
            <w:pPr>
              <w:jc w:val="center"/>
              <w:rPr>
                <w:rFonts w:ascii="Times New Roman" w:hAnsi="Times New Roman"/>
                <w:lang w:eastAsia="ko-KR"/>
              </w:rPr>
            </w:pPr>
          </w:p>
        </w:tc>
      </w:tr>
      <w:tr w:rsidR="00DA554C" w:rsidRPr="00DA554C" w14:paraId="2FCE6BE6" w14:textId="77777777" w:rsidTr="009B659C">
        <w:trPr>
          <w:trHeight w:val="285"/>
        </w:trPr>
        <w:tc>
          <w:tcPr>
            <w:tcW w:w="346" w:type="pct"/>
            <w:tcBorders>
              <w:top w:val="nil"/>
              <w:left w:val="single" w:sz="4" w:space="0" w:color="auto"/>
              <w:bottom w:val="nil"/>
              <w:right w:val="nil"/>
            </w:tcBorders>
            <w:noWrap/>
            <w:vAlign w:val="center"/>
            <w:hideMark/>
          </w:tcPr>
          <w:p w14:paraId="065306E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3A3BCDAA"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 xml:space="preserve">(a) administrative division or planning and environment division </w:t>
            </w:r>
          </w:p>
        </w:tc>
        <w:tc>
          <w:tcPr>
            <w:tcW w:w="521" w:type="pct"/>
            <w:tcBorders>
              <w:top w:val="nil"/>
              <w:left w:val="single" w:sz="4" w:space="0" w:color="auto"/>
              <w:bottom w:val="nil"/>
              <w:right w:val="nil"/>
            </w:tcBorders>
            <w:vAlign w:val="center"/>
            <w:hideMark/>
          </w:tcPr>
          <w:p w14:paraId="234DCA2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318.1</w:t>
            </w:r>
          </w:p>
        </w:tc>
        <w:tc>
          <w:tcPr>
            <w:tcW w:w="483" w:type="pct"/>
            <w:tcBorders>
              <w:top w:val="nil"/>
              <w:left w:val="nil"/>
              <w:bottom w:val="nil"/>
              <w:right w:val="nil"/>
            </w:tcBorders>
            <w:vAlign w:val="center"/>
            <w:hideMark/>
          </w:tcPr>
          <w:p w14:paraId="7A4FFF8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105.0</w:t>
            </w:r>
          </w:p>
        </w:tc>
        <w:tc>
          <w:tcPr>
            <w:tcW w:w="598" w:type="pct"/>
            <w:tcBorders>
              <w:top w:val="nil"/>
              <w:left w:val="nil"/>
              <w:bottom w:val="nil"/>
              <w:right w:val="single" w:sz="4" w:space="0" w:color="auto"/>
            </w:tcBorders>
            <w:vAlign w:val="center"/>
            <w:hideMark/>
          </w:tcPr>
          <w:p w14:paraId="6A0A7F9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35.0</w:t>
            </w:r>
          </w:p>
        </w:tc>
      </w:tr>
      <w:tr w:rsidR="00DA554C" w:rsidRPr="00DA554C" w14:paraId="4B93B7B2" w14:textId="77777777" w:rsidTr="009B659C">
        <w:trPr>
          <w:trHeight w:val="285"/>
        </w:trPr>
        <w:tc>
          <w:tcPr>
            <w:tcW w:w="346" w:type="pct"/>
            <w:tcBorders>
              <w:top w:val="nil"/>
              <w:left w:val="single" w:sz="4" w:space="0" w:color="auto"/>
              <w:bottom w:val="nil"/>
              <w:right w:val="nil"/>
            </w:tcBorders>
            <w:noWrap/>
            <w:vAlign w:val="center"/>
            <w:hideMark/>
          </w:tcPr>
          <w:p w14:paraId="1D0E236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2721ABD"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(b) civil division</w:t>
            </w:r>
          </w:p>
        </w:tc>
        <w:tc>
          <w:tcPr>
            <w:tcW w:w="521" w:type="pct"/>
            <w:tcBorders>
              <w:top w:val="nil"/>
              <w:left w:val="single" w:sz="4" w:space="0" w:color="auto"/>
              <w:bottom w:val="nil"/>
              <w:right w:val="nil"/>
            </w:tcBorders>
            <w:vAlign w:val="center"/>
            <w:hideMark/>
          </w:tcPr>
          <w:p w14:paraId="2E788E1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117.9</w:t>
            </w:r>
          </w:p>
        </w:tc>
        <w:tc>
          <w:tcPr>
            <w:tcW w:w="483" w:type="pct"/>
            <w:tcBorders>
              <w:top w:val="nil"/>
              <w:left w:val="nil"/>
              <w:bottom w:val="nil"/>
              <w:right w:val="nil"/>
            </w:tcBorders>
            <w:vAlign w:val="center"/>
            <w:hideMark/>
          </w:tcPr>
          <w:p w14:paraId="61EFE27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38.9</w:t>
            </w:r>
          </w:p>
        </w:tc>
        <w:tc>
          <w:tcPr>
            <w:tcW w:w="598" w:type="pct"/>
            <w:tcBorders>
              <w:top w:val="nil"/>
              <w:left w:val="nil"/>
              <w:bottom w:val="nil"/>
              <w:right w:val="single" w:sz="4" w:space="0" w:color="auto"/>
            </w:tcBorders>
            <w:vAlign w:val="center"/>
            <w:hideMark/>
          </w:tcPr>
          <w:p w14:paraId="4AD0E95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13.0</w:t>
            </w:r>
          </w:p>
        </w:tc>
      </w:tr>
      <w:tr w:rsidR="00DA554C" w:rsidRPr="00DA554C" w14:paraId="02E41D58" w14:textId="77777777" w:rsidTr="009B659C">
        <w:trPr>
          <w:trHeight w:val="600"/>
        </w:trPr>
        <w:tc>
          <w:tcPr>
            <w:tcW w:w="346" w:type="pct"/>
            <w:tcBorders>
              <w:top w:val="single" w:sz="4" w:space="0" w:color="auto"/>
              <w:left w:val="single" w:sz="4" w:space="0" w:color="auto"/>
              <w:bottom w:val="nil"/>
              <w:right w:val="single" w:sz="4" w:space="0" w:color="auto"/>
            </w:tcBorders>
            <w:noWrap/>
            <w:vAlign w:val="center"/>
            <w:hideMark/>
          </w:tcPr>
          <w:p w14:paraId="7CFAF76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20</w:t>
            </w:r>
          </w:p>
        </w:tc>
        <w:tc>
          <w:tcPr>
            <w:tcW w:w="3052" w:type="pct"/>
            <w:tcBorders>
              <w:top w:val="single" w:sz="4" w:space="0" w:color="auto"/>
              <w:left w:val="nil"/>
              <w:bottom w:val="nil"/>
              <w:right w:val="nil"/>
            </w:tcBorders>
            <w:vAlign w:val="center"/>
            <w:hideMark/>
          </w:tcPr>
          <w:p w14:paraId="42F174FF"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making of an application under section 120A of the Act, if the proceeding in relation to which the application is made was allocated to the Tribunal’s—</w:t>
            </w:r>
          </w:p>
        </w:tc>
        <w:tc>
          <w:tcPr>
            <w:tcW w:w="521" w:type="pct"/>
            <w:tcBorders>
              <w:top w:val="single" w:sz="4" w:space="0" w:color="auto"/>
              <w:left w:val="single" w:sz="4" w:space="0" w:color="auto"/>
              <w:bottom w:val="nil"/>
              <w:right w:val="nil"/>
            </w:tcBorders>
            <w:vAlign w:val="center"/>
            <w:hideMark/>
          </w:tcPr>
          <w:p w14:paraId="442220FF" w14:textId="77777777" w:rsidR="00DA554C" w:rsidRPr="00DA554C" w:rsidRDefault="00DA554C" w:rsidP="00DA554C">
            <w:pPr>
              <w:rPr>
                <w:rFonts w:ascii="Arial" w:hAnsi="Arial" w:cs="Arial"/>
                <w:color w:val="000000"/>
                <w:sz w:val="18"/>
                <w:szCs w:val="18"/>
                <w:lang w:eastAsia="ko-KR"/>
              </w:rPr>
            </w:pPr>
          </w:p>
        </w:tc>
        <w:tc>
          <w:tcPr>
            <w:tcW w:w="483" w:type="pct"/>
            <w:tcBorders>
              <w:top w:val="single" w:sz="4" w:space="0" w:color="auto"/>
              <w:left w:val="nil"/>
              <w:bottom w:val="nil"/>
              <w:right w:val="nil"/>
            </w:tcBorders>
            <w:vAlign w:val="center"/>
            <w:hideMark/>
          </w:tcPr>
          <w:p w14:paraId="6C589F9D" w14:textId="77777777" w:rsidR="00DA554C" w:rsidRPr="00DA554C" w:rsidRDefault="00DA554C" w:rsidP="00DA554C">
            <w:pPr>
              <w:jc w:val="center"/>
              <w:rPr>
                <w:rFonts w:ascii="Times New Roman" w:hAnsi="Times New Roman"/>
                <w:lang w:eastAsia="ko-KR"/>
              </w:rPr>
            </w:pPr>
          </w:p>
        </w:tc>
        <w:tc>
          <w:tcPr>
            <w:tcW w:w="598" w:type="pct"/>
            <w:tcBorders>
              <w:top w:val="single" w:sz="4" w:space="0" w:color="auto"/>
              <w:left w:val="nil"/>
              <w:bottom w:val="nil"/>
              <w:right w:val="single" w:sz="4" w:space="0" w:color="auto"/>
            </w:tcBorders>
            <w:vAlign w:val="center"/>
            <w:hideMark/>
          </w:tcPr>
          <w:p w14:paraId="1EF04718" w14:textId="77777777" w:rsidR="00DA554C" w:rsidRPr="00DA554C" w:rsidRDefault="00DA554C" w:rsidP="00DA554C">
            <w:pPr>
              <w:jc w:val="center"/>
              <w:rPr>
                <w:rFonts w:ascii="Times New Roman" w:hAnsi="Times New Roman"/>
                <w:lang w:eastAsia="ko-KR"/>
              </w:rPr>
            </w:pPr>
          </w:p>
        </w:tc>
      </w:tr>
      <w:tr w:rsidR="00DA554C" w:rsidRPr="00DA554C" w14:paraId="4A74EA41"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446603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1AE6982C"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 xml:space="preserve">(a) administrative division or planning and environment division </w:t>
            </w:r>
          </w:p>
        </w:tc>
        <w:tc>
          <w:tcPr>
            <w:tcW w:w="521" w:type="pct"/>
            <w:tcBorders>
              <w:top w:val="nil"/>
              <w:left w:val="single" w:sz="4" w:space="0" w:color="auto"/>
              <w:bottom w:val="nil"/>
              <w:right w:val="nil"/>
            </w:tcBorders>
            <w:vAlign w:val="center"/>
            <w:hideMark/>
          </w:tcPr>
          <w:p w14:paraId="1B68873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1,197.6</w:t>
            </w:r>
          </w:p>
        </w:tc>
        <w:tc>
          <w:tcPr>
            <w:tcW w:w="483" w:type="pct"/>
            <w:tcBorders>
              <w:top w:val="nil"/>
              <w:left w:val="nil"/>
              <w:bottom w:val="nil"/>
              <w:right w:val="nil"/>
            </w:tcBorders>
            <w:vAlign w:val="center"/>
            <w:hideMark/>
          </w:tcPr>
          <w:p w14:paraId="1417751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395.2</w:t>
            </w:r>
          </w:p>
        </w:tc>
        <w:tc>
          <w:tcPr>
            <w:tcW w:w="598" w:type="pct"/>
            <w:tcBorders>
              <w:top w:val="nil"/>
              <w:left w:val="nil"/>
              <w:bottom w:val="nil"/>
              <w:right w:val="single" w:sz="4" w:space="0" w:color="auto"/>
            </w:tcBorders>
            <w:vAlign w:val="center"/>
            <w:hideMark/>
          </w:tcPr>
          <w:p w14:paraId="62F41FC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131.7</w:t>
            </w:r>
          </w:p>
        </w:tc>
      </w:tr>
      <w:tr w:rsidR="00DA554C" w:rsidRPr="00DA554C" w14:paraId="34E8C61E" w14:textId="77777777" w:rsidTr="009B659C">
        <w:trPr>
          <w:trHeight w:val="285"/>
        </w:trPr>
        <w:tc>
          <w:tcPr>
            <w:tcW w:w="346" w:type="pct"/>
            <w:tcBorders>
              <w:top w:val="nil"/>
              <w:left w:val="single" w:sz="4" w:space="0" w:color="auto"/>
              <w:bottom w:val="nil"/>
              <w:right w:val="single" w:sz="4" w:space="0" w:color="auto"/>
            </w:tcBorders>
            <w:noWrap/>
            <w:vAlign w:val="center"/>
            <w:hideMark/>
          </w:tcPr>
          <w:p w14:paraId="024B9BA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nil"/>
              <w:bottom w:val="nil"/>
              <w:right w:val="nil"/>
            </w:tcBorders>
            <w:vAlign w:val="center"/>
            <w:hideMark/>
          </w:tcPr>
          <w:p w14:paraId="299E2510" w14:textId="77777777" w:rsidR="00DA554C" w:rsidRPr="00DA554C" w:rsidRDefault="00DA554C" w:rsidP="00DA554C">
            <w:pPr>
              <w:ind w:firstLineChars="300" w:firstLine="540"/>
              <w:rPr>
                <w:rFonts w:ascii="Arial" w:hAnsi="Arial" w:cs="Arial"/>
                <w:color w:val="000000"/>
                <w:sz w:val="18"/>
                <w:szCs w:val="18"/>
                <w:lang w:eastAsia="ko-KR"/>
              </w:rPr>
            </w:pPr>
            <w:r w:rsidRPr="00DA554C">
              <w:rPr>
                <w:rFonts w:ascii="Arial" w:hAnsi="Arial" w:cs="Arial"/>
                <w:color w:val="000000"/>
                <w:sz w:val="18"/>
                <w:szCs w:val="18"/>
                <w:lang w:eastAsia="ko-KR"/>
              </w:rPr>
              <w:t>(b) civil division</w:t>
            </w:r>
          </w:p>
        </w:tc>
        <w:tc>
          <w:tcPr>
            <w:tcW w:w="521" w:type="pct"/>
            <w:tcBorders>
              <w:top w:val="nil"/>
              <w:left w:val="single" w:sz="4" w:space="0" w:color="auto"/>
              <w:bottom w:val="nil"/>
              <w:right w:val="nil"/>
            </w:tcBorders>
            <w:vAlign w:val="center"/>
            <w:hideMark/>
          </w:tcPr>
          <w:p w14:paraId="3300ABC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673.6</w:t>
            </w:r>
          </w:p>
        </w:tc>
        <w:tc>
          <w:tcPr>
            <w:tcW w:w="483" w:type="pct"/>
            <w:tcBorders>
              <w:top w:val="nil"/>
              <w:left w:val="nil"/>
              <w:bottom w:val="nil"/>
              <w:right w:val="nil"/>
            </w:tcBorders>
            <w:vAlign w:val="center"/>
            <w:hideMark/>
          </w:tcPr>
          <w:p w14:paraId="3BCB07C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222.3</w:t>
            </w:r>
          </w:p>
        </w:tc>
        <w:tc>
          <w:tcPr>
            <w:tcW w:w="598" w:type="pct"/>
            <w:tcBorders>
              <w:top w:val="nil"/>
              <w:left w:val="nil"/>
              <w:bottom w:val="nil"/>
              <w:right w:val="single" w:sz="4" w:space="0" w:color="auto"/>
            </w:tcBorders>
            <w:vAlign w:val="center"/>
            <w:hideMark/>
          </w:tcPr>
          <w:p w14:paraId="76F5206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74.1</w:t>
            </w:r>
          </w:p>
        </w:tc>
      </w:tr>
      <w:tr w:rsidR="00DA554C" w:rsidRPr="00DA554C" w14:paraId="6F29FAB3" w14:textId="77777777" w:rsidTr="009B659C">
        <w:trPr>
          <w:trHeight w:val="780"/>
        </w:trPr>
        <w:tc>
          <w:tcPr>
            <w:tcW w:w="346" w:type="pct"/>
            <w:tcBorders>
              <w:top w:val="single" w:sz="4" w:space="0" w:color="auto"/>
              <w:left w:val="single" w:sz="4" w:space="0" w:color="auto"/>
              <w:bottom w:val="nil"/>
              <w:right w:val="nil"/>
            </w:tcBorders>
            <w:noWrap/>
            <w:vAlign w:val="center"/>
            <w:hideMark/>
          </w:tcPr>
          <w:p w14:paraId="6105377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21</w:t>
            </w:r>
          </w:p>
        </w:tc>
        <w:tc>
          <w:tcPr>
            <w:tcW w:w="3052" w:type="pct"/>
            <w:tcBorders>
              <w:top w:val="single" w:sz="4" w:space="0" w:color="auto"/>
              <w:left w:val="single" w:sz="4" w:space="0" w:color="auto"/>
              <w:bottom w:val="nil"/>
              <w:right w:val="nil"/>
            </w:tcBorders>
            <w:vAlign w:val="center"/>
            <w:hideMark/>
          </w:tcPr>
          <w:p w14:paraId="202D2CB7"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lodging a statement of grounds in accordance with clause 56 of Schedule 1 to the Act, unless accompanied by a written notice under subclause (5) of that clause</w:t>
            </w:r>
          </w:p>
        </w:tc>
        <w:tc>
          <w:tcPr>
            <w:tcW w:w="521" w:type="pct"/>
            <w:tcBorders>
              <w:top w:val="single" w:sz="4" w:space="0" w:color="auto"/>
              <w:left w:val="single" w:sz="4" w:space="0" w:color="auto"/>
              <w:bottom w:val="nil"/>
              <w:right w:val="nil"/>
            </w:tcBorders>
            <w:vAlign w:val="center"/>
            <w:hideMark/>
          </w:tcPr>
          <w:p w14:paraId="00193E9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35.7</w:t>
            </w:r>
          </w:p>
        </w:tc>
        <w:tc>
          <w:tcPr>
            <w:tcW w:w="483" w:type="pct"/>
            <w:tcBorders>
              <w:top w:val="single" w:sz="4" w:space="0" w:color="auto"/>
              <w:left w:val="nil"/>
              <w:bottom w:val="nil"/>
              <w:right w:val="nil"/>
            </w:tcBorders>
            <w:vAlign w:val="center"/>
            <w:hideMark/>
          </w:tcPr>
          <w:p w14:paraId="63825BE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11.8</w:t>
            </w:r>
          </w:p>
        </w:tc>
        <w:tc>
          <w:tcPr>
            <w:tcW w:w="598" w:type="pct"/>
            <w:tcBorders>
              <w:top w:val="single" w:sz="4" w:space="0" w:color="auto"/>
              <w:left w:val="nil"/>
              <w:bottom w:val="nil"/>
              <w:right w:val="single" w:sz="4" w:space="0" w:color="auto"/>
            </w:tcBorders>
            <w:vAlign w:val="center"/>
            <w:hideMark/>
          </w:tcPr>
          <w:p w14:paraId="1B0D7AB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3.9</w:t>
            </w:r>
          </w:p>
        </w:tc>
      </w:tr>
      <w:tr w:rsidR="00DA554C" w:rsidRPr="00DA554C" w14:paraId="194DEA6D" w14:textId="77777777" w:rsidTr="009B659C">
        <w:trPr>
          <w:trHeight w:val="780"/>
        </w:trPr>
        <w:tc>
          <w:tcPr>
            <w:tcW w:w="346" w:type="pct"/>
            <w:tcBorders>
              <w:top w:val="single" w:sz="4" w:space="0" w:color="auto"/>
              <w:left w:val="single" w:sz="4" w:space="0" w:color="auto"/>
              <w:bottom w:val="nil"/>
              <w:right w:val="nil"/>
            </w:tcBorders>
            <w:noWrap/>
            <w:vAlign w:val="center"/>
            <w:hideMark/>
          </w:tcPr>
          <w:p w14:paraId="388389A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22</w:t>
            </w:r>
          </w:p>
        </w:tc>
        <w:tc>
          <w:tcPr>
            <w:tcW w:w="3052" w:type="pct"/>
            <w:tcBorders>
              <w:top w:val="single" w:sz="4" w:space="0" w:color="auto"/>
              <w:left w:val="single" w:sz="4" w:space="0" w:color="auto"/>
              <w:bottom w:val="single" w:sz="4" w:space="0" w:color="auto"/>
              <w:right w:val="nil"/>
            </w:tcBorders>
            <w:vAlign w:val="center"/>
            <w:hideMark/>
          </w:tcPr>
          <w:p w14:paraId="2944C9C6"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an election to have a proceeding heard as a major case under regulation 7(2)</w:t>
            </w:r>
          </w:p>
        </w:tc>
        <w:tc>
          <w:tcPr>
            <w:tcW w:w="521" w:type="pct"/>
            <w:tcBorders>
              <w:top w:val="single" w:sz="4" w:space="0" w:color="auto"/>
              <w:left w:val="single" w:sz="4" w:space="0" w:color="auto"/>
              <w:bottom w:val="nil"/>
              <w:right w:val="nil"/>
            </w:tcBorders>
            <w:vAlign w:val="center"/>
            <w:hideMark/>
          </w:tcPr>
          <w:p w14:paraId="4EFD7F4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6,138.6</w:t>
            </w:r>
          </w:p>
        </w:tc>
        <w:tc>
          <w:tcPr>
            <w:tcW w:w="483" w:type="pct"/>
            <w:tcBorders>
              <w:top w:val="single" w:sz="4" w:space="0" w:color="auto"/>
              <w:left w:val="nil"/>
              <w:bottom w:val="nil"/>
              <w:right w:val="nil"/>
            </w:tcBorders>
            <w:vAlign w:val="center"/>
            <w:hideMark/>
          </w:tcPr>
          <w:p w14:paraId="6E09AD0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6,138.6</w:t>
            </w:r>
          </w:p>
        </w:tc>
        <w:tc>
          <w:tcPr>
            <w:tcW w:w="598" w:type="pct"/>
            <w:tcBorders>
              <w:top w:val="single" w:sz="4" w:space="0" w:color="auto"/>
              <w:left w:val="nil"/>
              <w:bottom w:val="nil"/>
              <w:right w:val="single" w:sz="4" w:space="0" w:color="auto"/>
            </w:tcBorders>
            <w:vAlign w:val="center"/>
            <w:hideMark/>
          </w:tcPr>
          <w:p w14:paraId="043FA94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6,138.6</w:t>
            </w:r>
          </w:p>
        </w:tc>
      </w:tr>
      <w:tr w:rsidR="00DA554C" w:rsidRPr="00DA554C" w14:paraId="4329DA21" w14:textId="77777777" w:rsidTr="009B659C">
        <w:trPr>
          <w:trHeight w:val="570"/>
        </w:trPr>
        <w:tc>
          <w:tcPr>
            <w:tcW w:w="346" w:type="pct"/>
            <w:tcBorders>
              <w:top w:val="single" w:sz="4" w:space="0" w:color="auto"/>
              <w:left w:val="single" w:sz="4" w:space="0" w:color="auto"/>
              <w:bottom w:val="single" w:sz="4" w:space="0" w:color="auto"/>
              <w:right w:val="nil"/>
            </w:tcBorders>
            <w:noWrap/>
            <w:vAlign w:val="center"/>
            <w:hideMark/>
          </w:tcPr>
          <w:p w14:paraId="5D27251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lastRenderedPageBreak/>
              <w:t>23</w:t>
            </w:r>
          </w:p>
        </w:tc>
        <w:tc>
          <w:tcPr>
            <w:tcW w:w="3052" w:type="pct"/>
            <w:tcBorders>
              <w:top w:val="single" w:sz="4" w:space="0" w:color="auto"/>
              <w:left w:val="single" w:sz="4" w:space="0" w:color="auto"/>
              <w:bottom w:val="nil"/>
              <w:right w:val="nil"/>
            </w:tcBorders>
            <w:vAlign w:val="center"/>
            <w:hideMark/>
          </w:tcPr>
          <w:p w14:paraId="41C61CB3"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an application for an injunction or stay on enforcement of orders under section 149 of the Act, except if the proceeding is under the </w:t>
            </w:r>
            <w:r w:rsidRPr="00DA554C">
              <w:rPr>
                <w:rFonts w:ascii="Arial" w:hAnsi="Arial" w:cs="Arial"/>
                <w:b/>
                <w:bCs/>
                <w:color w:val="000000"/>
                <w:sz w:val="18"/>
                <w:szCs w:val="18"/>
                <w:lang w:eastAsia="ko-KR"/>
              </w:rPr>
              <w:t>Residential Tenancies Act 1997</w:t>
            </w:r>
            <w:r w:rsidRPr="00DA554C">
              <w:rPr>
                <w:rFonts w:ascii="Arial" w:hAnsi="Arial" w:cs="Arial"/>
                <w:color w:val="000000"/>
                <w:sz w:val="18"/>
                <w:szCs w:val="18"/>
                <w:lang w:eastAsia="ko-KR"/>
              </w:rPr>
              <w:t xml:space="preserve"> </w:t>
            </w:r>
          </w:p>
        </w:tc>
        <w:tc>
          <w:tcPr>
            <w:tcW w:w="521" w:type="pct"/>
            <w:tcBorders>
              <w:top w:val="single" w:sz="4" w:space="0" w:color="auto"/>
              <w:left w:val="single" w:sz="4" w:space="0" w:color="auto"/>
              <w:bottom w:val="single" w:sz="4" w:space="0" w:color="auto"/>
              <w:right w:val="nil"/>
            </w:tcBorders>
            <w:vAlign w:val="center"/>
            <w:hideMark/>
          </w:tcPr>
          <w:p w14:paraId="6847CDD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468.8</w:t>
            </w:r>
          </w:p>
        </w:tc>
        <w:tc>
          <w:tcPr>
            <w:tcW w:w="483" w:type="pct"/>
            <w:tcBorders>
              <w:top w:val="single" w:sz="4" w:space="0" w:color="auto"/>
              <w:left w:val="nil"/>
              <w:bottom w:val="single" w:sz="4" w:space="0" w:color="auto"/>
              <w:right w:val="nil"/>
            </w:tcBorders>
            <w:vAlign w:val="center"/>
            <w:hideMark/>
          </w:tcPr>
          <w:p w14:paraId="25B1015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154.7</w:t>
            </w:r>
          </w:p>
        </w:tc>
        <w:tc>
          <w:tcPr>
            <w:tcW w:w="598" w:type="pct"/>
            <w:tcBorders>
              <w:top w:val="single" w:sz="4" w:space="0" w:color="auto"/>
              <w:left w:val="nil"/>
              <w:bottom w:val="single" w:sz="4" w:space="0" w:color="auto"/>
              <w:right w:val="single" w:sz="4" w:space="0" w:color="auto"/>
            </w:tcBorders>
            <w:vAlign w:val="center"/>
            <w:hideMark/>
          </w:tcPr>
          <w:p w14:paraId="128CEB4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51.6</w:t>
            </w:r>
          </w:p>
        </w:tc>
      </w:tr>
      <w:tr w:rsidR="00DA554C" w:rsidRPr="00DA554C" w14:paraId="10CA9F31" w14:textId="77777777" w:rsidTr="009B659C">
        <w:trPr>
          <w:trHeight w:val="870"/>
        </w:trPr>
        <w:tc>
          <w:tcPr>
            <w:tcW w:w="346" w:type="pct"/>
            <w:tcBorders>
              <w:top w:val="single" w:sz="4" w:space="0" w:color="auto"/>
              <w:left w:val="single" w:sz="4" w:space="0" w:color="auto"/>
              <w:bottom w:val="nil"/>
              <w:right w:val="nil"/>
            </w:tcBorders>
            <w:noWrap/>
            <w:vAlign w:val="center"/>
            <w:hideMark/>
          </w:tcPr>
          <w:p w14:paraId="37A202B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24</w:t>
            </w:r>
          </w:p>
        </w:tc>
        <w:tc>
          <w:tcPr>
            <w:tcW w:w="3052" w:type="pct"/>
            <w:tcBorders>
              <w:top w:val="single" w:sz="4" w:space="0" w:color="auto"/>
              <w:left w:val="single" w:sz="4" w:space="0" w:color="auto"/>
              <w:bottom w:val="nil"/>
              <w:right w:val="nil"/>
            </w:tcBorders>
            <w:vAlign w:val="center"/>
            <w:hideMark/>
          </w:tcPr>
          <w:p w14:paraId="5D4E5748"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 xml:space="preserve">For an application for an injunction to be heard urgently (payable, in addition to the relevant fee for commencement of the proceeding and application for an injunction), except if the proceeding is allocated to the residential tenancies division </w:t>
            </w:r>
          </w:p>
        </w:tc>
        <w:tc>
          <w:tcPr>
            <w:tcW w:w="521" w:type="pct"/>
            <w:tcBorders>
              <w:top w:val="single" w:sz="4" w:space="0" w:color="auto"/>
              <w:left w:val="single" w:sz="4" w:space="0" w:color="auto"/>
              <w:bottom w:val="nil"/>
              <w:right w:val="nil"/>
            </w:tcBorders>
            <w:vAlign w:val="center"/>
            <w:hideMark/>
          </w:tcPr>
          <w:p w14:paraId="21773F3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468.8</w:t>
            </w:r>
          </w:p>
        </w:tc>
        <w:tc>
          <w:tcPr>
            <w:tcW w:w="483" w:type="pct"/>
            <w:tcBorders>
              <w:top w:val="single" w:sz="4" w:space="0" w:color="auto"/>
              <w:left w:val="nil"/>
              <w:bottom w:val="nil"/>
              <w:right w:val="nil"/>
            </w:tcBorders>
            <w:vAlign w:val="center"/>
            <w:hideMark/>
          </w:tcPr>
          <w:p w14:paraId="76C12DE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154.7</w:t>
            </w:r>
          </w:p>
        </w:tc>
        <w:tc>
          <w:tcPr>
            <w:tcW w:w="598" w:type="pct"/>
            <w:tcBorders>
              <w:top w:val="single" w:sz="4" w:space="0" w:color="auto"/>
              <w:left w:val="nil"/>
              <w:bottom w:val="nil"/>
              <w:right w:val="single" w:sz="4" w:space="0" w:color="auto"/>
            </w:tcBorders>
            <w:vAlign w:val="center"/>
            <w:hideMark/>
          </w:tcPr>
          <w:p w14:paraId="6C0B83C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51.6</w:t>
            </w:r>
          </w:p>
        </w:tc>
      </w:tr>
      <w:tr w:rsidR="00DA554C" w:rsidRPr="00DA554C" w14:paraId="41EE2785" w14:textId="77777777" w:rsidTr="009B659C">
        <w:trPr>
          <w:trHeight w:val="510"/>
        </w:trPr>
        <w:tc>
          <w:tcPr>
            <w:tcW w:w="346" w:type="pct"/>
            <w:tcBorders>
              <w:top w:val="single" w:sz="4" w:space="0" w:color="auto"/>
              <w:left w:val="single" w:sz="4" w:space="0" w:color="auto"/>
              <w:bottom w:val="nil"/>
              <w:right w:val="nil"/>
            </w:tcBorders>
            <w:noWrap/>
            <w:vAlign w:val="center"/>
            <w:hideMark/>
          </w:tcPr>
          <w:p w14:paraId="4849DC1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25</w:t>
            </w:r>
          </w:p>
        </w:tc>
        <w:tc>
          <w:tcPr>
            <w:tcW w:w="3052" w:type="pct"/>
            <w:tcBorders>
              <w:top w:val="single" w:sz="4" w:space="0" w:color="auto"/>
              <w:left w:val="single" w:sz="4" w:space="0" w:color="auto"/>
              <w:bottom w:val="nil"/>
              <w:right w:val="nil"/>
            </w:tcBorders>
            <w:vAlign w:val="center"/>
            <w:hideMark/>
          </w:tcPr>
          <w:p w14:paraId="548C33AB"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issuing of a warrant in a proceeding allocated to the residential tenancies division</w:t>
            </w:r>
          </w:p>
        </w:tc>
        <w:tc>
          <w:tcPr>
            <w:tcW w:w="521" w:type="pct"/>
            <w:tcBorders>
              <w:top w:val="single" w:sz="4" w:space="0" w:color="auto"/>
              <w:left w:val="single" w:sz="4" w:space="0" w:color="auto"/>
              <w:bottom w:val="nil"/>
              <w:right w:val="nil"/>
            </w:tcBorders>
            <w:vAlign w:val="center"/>
            <w:hideMark/>
          </w:tcPr>
          <w:p w14:paraId="21A7098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245.5</w:t>
            </w:r>
          </w:p>
        </w:tc>
        <w:tc>
          <w:tcPr>
            <w:tcW w:w="483" w:type="pct"/>
            <w:tcBorders>
              <w:top w:val="single" w:sz="4" w:space="0" w:color="auto"/>
              <w:left w:val="nil"/>
              <w:bottom w:val="nil"/>
              <w:right w:val="nil"/>
            </w:tcBorders>
            <w:vAlign w:val="center"/>
            <w:hideMark/>
          </w:tcPr>
          <w:p w14:paraId="2024604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81.0</w:t>
            </w:r>
          </w:p>
        </w:tc>
        <w:tc>
          <w:tcPr>
            <w:tcW w:w="598" w:type="pct"/>
            <w:tcBorders>
              <w:top w:val="single" w:sz="4" w:space="0" w:color="auto"/>
              <w:left w:val="nil"/>
              <w:bottom w:val="nil"/>
              <w:right w:val="single" w:sz="4" w:space="0" w:color="auto"/>
            </w:tcBorders>
            <w:vAlign w:val="center"/>
            <w:hideMark/>
          </w:tcPr>
          <w:p w14:paraId="2E8F138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4634AACE" w14:textId="77777777" w:rsidTr="009B659C">
        <w:trPr>
          <w:trHeight w:val="795"/>
        </w:trPr>
        <w:tc>
          <w:tcPr>
            <w:tcW w:w="346" w:type="pct"/>
            <w:tcBorders>
              <w:top w:val="single" w:sz="4" w:space="0" w:color="auto"/>
              <w:left w:val="single" w:sz="4" w:space="0" w:color="auto"/>
              <w:bottom w:val="nil"/>
              <w:right w:val="nil"/>
            </w:tcBorders>
            <w:noWrap/>
            <w:vAlign w:val="center"/>
            <w:hideMark/>
          </w:tcPr>
          <w:p w14:paraId="686EF99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26</w:t>
            </w:r>
          </w:p>
        </w:tc>
        <w:tc>
          <w:tcPr>
            <w:tcW w:w="3052" w:type="pct"/>
            <w:tcBorders>
              <w:top w:val="single" w:sz="4" w:space="0" w:color="auto"/>
              <w:left w:val="single" w:sz="4" w:space="0" w:color="auto"/>
              <w:bottom w:val="nil"/>
              <w:right w:val="nil"/>
            </w:tcBorders>
            <w:vAlign w:val="center"/>
            <w:hideMark/>
          </w:tcPr>
          <w:p w14:paraId="046A4C16"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a compulsory conference including for case management of expert witness evidence for a proceeding for which a fee is payable under Part 1 of this Schedule on commencement, for each day or part of a day</w:t>
            </w:r>
          </w:p>
        </w:tc>
        <w:tc>
          <w:tcPr>
            <w:tcW w:w="521" w:type="pct"/>
            <w:tcBorders>
              <w:top w:val="single" w:sz="4" w:space="0" w:color="auto"/>
              <w:left w:val="single" w:sz="4" w:space="0" w:color="auto"/>
              <w:bottom w:val="nil"/>
              <w:right w:val="nil"/>
            </w:tcBorders>
            <w:vAlign w:val="center"/>
            <w:hideMark/>
          </w:tcPr>
          <w:p w14:paraId="7CF591E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768.9</w:t>
            </w:r>
          </w:p>
        </w:tc>
        <w:tc>
          <w:tcPr>
            <w:tcW w:w="483" w:type="pct"/>
            <w:tcBorders>
              <w:top w:val="single" w:sz="4" w:space="0" w:color="auto"/>
              <w:left w:val="nil"/>
              <w:bottom w:val="nil"/>
              <w:right w:val="nil"/>
            </w:tcBorders>
            <w:vAlign w:val="center"/>
            <w:hideMark/>
          </w:tcPr>
          <w:p w14:paraId="73EA2CD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253.8</w:t>
            </w:r>
          </w:p>
        </w:tc>
        <w:tc>
          <w:tcPr>
            <w:tcW w:w="598" w:type="pct"/>
            <w:tcBorders>
              <w:top w:val="single" w:sz="4" w:space="0" w:color="auto"/>
              <w:left w:val="nil"/>
              <w:bottom w:val="nil"/>
              <w:right w:val="single" w:sz="4" w:space="0" w:color="auto"/>
            </w:tcBorders>
            <w:vAlign w:val="center"/>
            <w:hideMark/>
          </w:tcPr>
          <w:p w14:paraId="79C6443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84.6</w:t>
            </w:r>
          </w:p>
        </w:tc>
      </w:tr>
      <w:tr w:rsidR="00DA554C" w:rsidRPr="00DA554C" w14:paraId="78CF3ECD" w14:textId="77777777" w:rsidTr="009B659C">
        <w:trPr>
          <w:trHeight w:val="510"/>
        </w:trPr>
        <w:tc>
          <w:tcPr>
            <w:tcW w:w="346" w:type="pct"/>
            <w:tcBorders>
              <w:top w:val="single" w:sz="4" w:space="0" w:color="auto"/>
              <w:left w:val="single" w:sz="4" w:space="0" w:color="auto"/>
              <w:bottom w:val="nil"/>
              <w:right w:val="nil"/>
            </w:tcBorders>
            <w:noWrap/>
            <w:vAlign w:val="center"/>
            <w:hideMark/>
          </w:tcPr>
          <w:p w14:paraId="6D89882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27</w:t>
            </w:r>
          </w:p>
        </w:tc>
        <w:tc>
          <w:tcPr>
            <w:tcW w:w="3052" w:type="pct"/>
            <w:tcBorders>
              <w:top w:val="single" w:sz="4" w:space="0" w:color="auto"/>
              <w:left w:val="single" w:sz="4" w:space="0" w:color="auto"/>
              <w:bottom w:val="nil"/>
              <w:right w:val="nil"/>
            </w:tcBorders>
            <w:vAlign w:val="center"/>
            <w:hideMark/>
          </w:tcPr>
          <w:p w14:paraId="5039793D"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a mediation for a proceeding for which a fee is payable under Part 1 of this Schedule on commencement, for each day or part of a day</w:t>
            </w:r>
          </w:p>
        </w:tc>
        <w:tc>
          <w:tcPr>
            <w:tcW w:w="521" w:type="pct"/>
            <w:tcBorders>
              <w:top w:val="single" w:sz="4" w:space="0" w:color="auto"/>
              <w:left w:val="single" w:sz="4" w:space="0" w:color="auto"/>
              <w:bottom w:val="nil"/>
              <w:right w:val="nil"/>
            </w:tcBorders>
            <w:vAlign w:val="center"/>
            <w:hideMark/>
          </w:tcPr>
          <w:p w14:paraId="47ED0C2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538.3</w:t>
            </w:r>
          </w:p>
        </w:tc>
        <w:tc>
          <w:tcPr>
            <w:tcW w:w="483" w:type="pct"/>
            <w:tcBorders>
              <w:top w:val="single" w:sz="4" w:space="0" w:color="auto"/>
              <w:left w:val="nil"/>
              <w:bottom w:val="nil"/>
              <w:right w:val="nil"/>
            </w:tcBorders>
            <w:vAlign w:val="center"/>
            <w:hideMark/>
          </w:tcPr>
          <w:p w14:paraId="6BF8ED3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177.6</w:t>
            </w:r>
          </w:p>
        </w:tc>
        <w:tc>
          <w:tcPr>
            <w:tcW w:w="598" w:type="pct"/>
            <w:tcBorders>
              <w:top w:val="single" w:sz="4" w:space="0" w:color="auto"/>
              <w:left w:val="nil"/>
              <w:bottom w:val="nil"/>
              <w:right w:val="single" w:sz="4" w:space="0" w:color="auto"/>
            </w:tcBorders>
            <w:vAlign w:val="center"/>
            <w:hideMark/>
          </w:tcPr>
          <w:p w14:paraId="47B1532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59.2</w:t>
            </w:r>
          </w:p>
        </w:tc>
      </w:tr>
      <w:tr w:rsidR="009B659C" w:rsidRPr="00DA554C" w14:paraId="39AA1B92" w14:textId="77777777" w:rsidTr="009B659C">
        <w:trPr>
          <w:trHeight w:val="300"/>
        </w:trPr>
        <w:tc>
          <w:tcPr>
            <w:tcW w:w="4402" w:type="pct"/>
            <w:gridSpan w:val="4"/>
            <w:tcBorders>
              <w:top w:val="single" w:sz="4" w:space="0" w:color="auto"/>
              <w:left w:val="single" w:sz="4" w:space="0" w:color="auto"/>
              <w:bottom w:val="single" w:sz="4" w:space="0" w:color="auto"/>
              <w:right w:val="nil"/>
            </w:tcBorders>
            <w:shd w:val="clear" w:color="000000" w:fill="F2F2F2"/>
            <w:noWrap/>
            <w:vAlign w:val="center"/>
            <w:hideMark/>
          </w:tcPr>
          <w:p w14:paraId="6A90E9EF" w14:textId="59020334" w:rsidR="009B659C" w:rsidRPr="009B659C" w:rsidRDefault="009B659C" w:rsidP="009B659C">
            <w:pPr>
              <w:rPr>
                <w:rFonts w:ascii="Times New Roman" w:hAnsi="Times New Roman"/>
                <w:sz w:val="18"/>
                <w:szCs w:val="18"/>
                <w:lang w:eastAsia="ko-KR"/>
              </w:rPr>
            </w:pPr>
            <w:r w:rsidRPr="009B659C">
              <w:rPr>
                <w:rFonts w:ascii="Arial" w:hAnsi="Arial" w:cs="Arial"/>
                <w:b/>
                <w:bCs/>
                <w:color w:val="000000"/>
                <w:sz w:val="18"/>
                <w:szCs w:val="18"/>
                <w:lang w:eastAsia="ko-KR"/>
              </w:rPr>
              <w:t>Part 3—Hearing fee</w:t>
            </w:r>
          </w:p>
        </w:tc>
        <w:tc>
          <w:tcPr>
            <w:tcW w:w="598" w:type="pct"/>
            <w:tcBorders>
              <w:top w:val="single" w:sz="4" w:space="0" w:color="auto"/>
              <w:left w:val="nil"/>
              <w:bottom w:val="single" w:sz="4" w:space="0" w:color="auto"/>
              <w:right w:val="single" w:sz="4" w:space="0" w:color="auto"/>
            </w:tcBorders>
            <w:shd w:val="clear" w:color="000000" w:fill="F2F2F2"/>
            <w:vAlign w:val="center"/>
            <w:hideMark/>
          </w:tcPr>
          <w:p w14:paraId="546B7666" w14:textId="77777777" w:rsidR="009B659C" w:rsidRPr="00DA554C" w:rsidRDefault="009B659C" w:rsidP="00DA554C">
            <w:pPr>
              <w:jc w:val="center"/>
              <w:rPr>
                <w:rFonts w:ascii="Times New Roman" w:hAnsi="Times New Roman"/>
                <w:lang w:eastAsia="ko-KR"/>
              </w:rPr>
            </w:pPr>
          </w:p>
        </w:tc>
      </w:tr>
      <w:tr w:rsidR="00DA554C" w:rsidRPr="00DA554C" w14:paraId="09FB6599" w14:textId="77777777" w:rsidTr="009B659C">
        <w:trPr>
          <w:trHeight w:val="450"/>
        </w:trPr>
        <w:tc>
          <w:tcPr>
            <w:tcW w:w="346" w:type="pct"/>
            <w:tcBorders>
              <w:top w:val="nil"/>
              <w:left w:val="single" w:sz="4" w:space="0" w:color="auto"/>
              <w:bottom w:val="nil"/>
              <w:right w:val="nil"/>
            </w:tcBorders>
            <w:noWrap/>
            <w:vAlign w:val="center"/>
            <w:hideMark/>
          </w:tcPr>
          <w:p w14:paraId="4DF074D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28</w:t>
            </w:r>
          </w:p>
        </w:tc>
        <w:tc>
          <w:tcPr>
            <w:tcW w:w="3052" w:type="pct"/>
            <w:tcBorders>
              <w:top w:val="nil"/>
              <w:left w:val="single" w:sz="4" w:space="0" w:color="auto"/>
              <w:bottom w:val="nil"/>
              <w:right w:val="nil"/>
            </w:tcBorders>
            <w:vAlign w:val="center"/>
            <w:hideMark/>
          </w:tcPr>
          <w:p w14:paraId="1CBE92C1"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hearing a proceeding for which a fee is payable under Part 1 of this Schedule on commencement, for each day or part of a day, if the proceeding is —</w:t>
            </w:r>
          </w:p>
        </w:tc>
        <w:tc>
          <w:tcPr>
            <w:tcW w:w="521" w:type="pct"/>
            <w:tcBorders>
              <w:top w:val="nil"/>
              <w:left w:val="single" w:sz="4" w:space="0" w:color="auto"/>
              <w:bottom w:val="nil"/>
              <w:right w:val="nil"/>
            </w:tcBorders>
            <w:vAlign w:val="center"/>
            <w:hideMark/>
          </w:tcPr>
          <w:p w14:paraId="5610B042" w14:textId="77777777" w:rsidR="00DA554C" w:rsidRPr="00DA554C" w:rsidRDefault="00DA554C" w:rsidP="00DA554C">
            <w:pPr>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5946AC04"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741FFB5" w14:textId="77777777" w:rsidR="00DA554C" w:rsidRPr="00DA554C" w:rsidRDefault="00DA554C" w:rsidP="00DA554C">
            <w:pPr>
              <w:jc w:val="center"/>
              <w:rPr>
                <w:rFonts w:ascii="Times New Roman" w:hAnsi="Times New Roman"/>
                <w:lang w:eastAsia="ko-KR"/>
              </w:rPr>
            </w:pPr>
          </w:p>
        </w:tc>
      </w:tr>
      <w:tr w:rsidR="00DA554C" w:rsidRPr="00DA554C" w14:paraId="2A19E1B8" w14:textId="77777777" w:rsidTr="009B659C">
        <w:trPr>
          <w:trHeight w:val="285"/>
        </w:trPr>
        <w:tc>
          <w:tcPr>
            <w:tcW w:w="346" w:type="pct"/>
            <w:tcBorders>
              <w:top w:val="nil"/>
              <w:left w:val="single" w:sz="4" w:space="0" w:color="auto"/>
              <w:bottom w:val="nil"/>
              <w:right w:val="nil"/>
            </w:tcBorders>
            <w:noWrap/>
            <w:vAlign w:val="center"/>
            <w:hideMark/>
          </w:tcPr>
          <w:p w14:paraId="0C7563D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E831C79" w14:textId="77777777" w:rsidR="00DA554C" w:rsidRPr="00DA554C" w:rsidRDefault="00DA554C" w:rsidP="00732900">
            <w:pPr>
              <w:rPr>
                <w:rFonts w:ascii="Arial" w:hAnsi="Arial" w:cs="Arial"/>
                <w:color w:val="000000"/>
                <w:sz w:val="18"/>
                <w:szCs w:val="18"/>
                <w:lang w:eastAsia="ko-KR"/>
              </w:rPr>
            </w:pPr>
            <w:r w:rsidRPr="00DA554C">
              <w:rPr>
                <w:rFonts w:ascii="Arial" w:hAnsi="Arial" w:cs="Arial"/>
                <w:color w:val="000000"/>
                <w:sz w:val="18"/>
                <w:szCs w:val="18"/>
                <w:lang w:eastAsia="ko-KR"/>
              </w:rPr>
              <w:t xml:space="preserve">(a) a complex case that is allocated to the administrative division </w:t>
            </w:r>
          </w:p>
        </w:tc>
        <w:tc>
          <w:tcPr>
            <w:tcW w:w="521" w:type="pct"/>
            <w:tcBorders>
              <w:top w:val="nil"/>
              <w:left w:val="single" w:sz="4" w:space="0" w:color="auto"/>
              <w:bottom w:val="nil"/>
              <w:right w:val="nil"/>
            </w:tcBorders>
            <w:vAlign w:val="center"/>
            <w:hideMark/>
          </w:tcPr>
          <w:p w14:paraId="56E815B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2,805.9</w:t>
            </w:r>
          </w:p>
        </w:tc>
        <w:tc>
          <w:tcPr>
            <w:tcW w:w="483" w:type="pct"/>
            <w:tcBorders>
              <w:top w:val="nil"/>
              <w:left w:val="nil"/>
              <w:bottom w:val="nil"/>
              <w:right w:val="nil"/>
            </w:tcBorders>
            <w:vAlign w:val="center"/>
            <w:hideMark/>
          </w:tcPr>
          <w:p w14:paraId="2096CDF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926.0</w:t>
            </w:r>
          </w:p>
        </w:tc>
        <w:tc>
          <w:tcPr>
            <w:tcW w:w="598" w:type="pct"/>
            <w:tcBorders>
              <w:top w:val="nil"/>
              <w:left w:val="nil"/>
              <w:bottom w:val="nil"/>
              <w:right w:val="single" w:sz="4" w:space="0" w:color="auto"/>
            </w:tcBorders>
            <w:vAlign w:val="center"/>
            <w:hideMark/>
          </w:tcPr>
          <w:p w14:paraId="5467B86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308.7</w:t>
            </w:r>
          </w:p>
        </w:tc>
      </w:tr>
      <w:tr w:rsidR="00DA554C" w:rsidRPr="00DA554C" w14:paraId="2DF364B6" w14:textId="77777777" w:rsidTr="009B659C">
        <w:trPr>
          <w:trHeight w:val="510"/>
        </w:trPr>
        <w:tc>
          <w:tcPr>
            <w:tcW w:w="346" w:type="pct"/>
            <w:tcBorders>
              <w:top w:val="nil"/>
              <w:left w:val="single" w:sz="4" w:space="0" w:color="auto"/>
              <w:bottom w:val="nil"/>
              <w:right w:val="nil"/>
            </w:tcBorders>
            <w:noWrap/>
            <w:vAlign w:val="center"/>
            <w:hideMark/>
          </w:tcPr>
          <w:p w14:paraId="3DF5205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FE5A069" w14:textId="77777777" w:rsidR="00DA554C" w:rsidRPr="00DA554C" w:rsidRDefault="00DA554C" w:rsidP="00732900">
            <w:pPr>
              <w:rPr>
                <w:rFonts w:ascii="Arial" w:hAnsi="Arial" w:cs="Arial"/>
                <w:color w:val="000000"/>
                <w:sz w:val="18"/>
                <w:szCs w:val="18"/>
                <w:lang w:eastAsia="ko-KR"/>
              </w:rPr>
            </w:pPr>
            <w:r w:rsidRPr="00DA554C">
              <w:rPr>
                <w:rFonts w:ascii="Arial" w:hAnsi="Arial" w:cs="Arial"/>
                <w:color w:val="000000"/>
                <w:sz w:val="18"/>
                <w:szCs w:val="18"/>
                <w:lang w:eastAsia="ko-KR"/>
              </w:rPr>
              <w:t>(b) a complex case that is allocated to the planning and environment division</w:t>
            </w:r>
          </w:p>
        </w:tc>
        <w:tc>
          <w:tcPr>
            <w:tcW w:w="521" w:type="pct"/>
            <w:tcBorders>
              <w:top w:val="nil"/>
              <w:left w:val="single" w:sz="4" w:space="0" w:color="auto"/>
              <w:bottom w:val="nil"/>
              <w:right w:val="nil"/>
            </w:tcBorders>
            <w:vAlign w:val="center"/>
            <w:hideMark/>
          </w:tcPr>
          <w:p w14:paraId="2747C5F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2,805.9</w:t>
            </w:r>
          </w:p>
        </w:tc>
        <w:tc>
          <w:tcPr>
            <w:tcW w:w="483" w:type="pct"/>
            <w:tcBorders>
              <w:top w:val="nil"/>
              <w:left w:val="nil"/>
              <w:bottom w:val="nil"/>
              <w:right w:val="nil"/>
            </w:tcBorders>
            <w:vAlign w:val="center"/>
            <w:hideMark/>
          </w:tcPr>
          <w:p w14:paraId="07819AA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926.0</w:t>
            </w:r>
          </w:p>
        </w:tc>
        <w:tc>
          <w:tcPr>
            <w:tcW w:w="598" w:type="pct"/>
            <w:tcBorders>
              <w:top w:val="nil"/>
              <w:left w:val="nil"/>
              <w:bottom w:val="nil"/>
              <w:right w:val="single" w:sz="4" w:space="0" w:color="auto"/>
            </w:tcBorders>
            <w:vAlign w:val="center"/>
            <w:hideMark/>
          </w:tcPr>
          <w:p w14:paraId="1217967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308.7</w:t>
            </w:r>
          </w:p>
        </w:tc>
      </w:tr>
      <w:tr w:rsidR="00DA554C" w:rsidRPr="00DA554C" w14:paraId="34314231" w14:textId="77777777" w:rsidTr="009B659C">
        <w:trPr>
          <w:trHeight w:val="285"/>
        </w:trPr>
        <w:tc>
          <w:tcPr>
            <w:tcW w:w="346" w:type="pct"/>
            <w:tcBorders>
              <w:top w:val="nil"/>
              <w:left w:val="single" w:sz="4" w:space="0" w:color="auto"/>
              <w:bottom w:val="nil"/>
              <w:right w:val="nil"/>
            </w:tcBorders>
            <w:noWrap/>
            <w:vAlign w:val="center"/>
            <w:hideMark/>
          </w:tcPr>
          <w:p w14:paraId="6D6B770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EC22A5F" w14:textId="77777777" w:rsidR="00DA554C" w:rsidRPr="00DA554C" w:rsidRDefault="00DA554C" w:rsidP="00732900">
            <w:pPr>
              <w:rPr>
                <w:rFonts w:ascii="Arial" w:hAnsi="Arial" w:cs="Arial"/>
                <w:color w:val="000000"/>
                <w:sz w:val="18"/>
                <w:szCs w:val="18"/>
                <w:lang w:eastAsia="ko-KR"/>
              </w:rPr>
            </w:pPr>
            <w:r w:rsidRPr="00DA554C">
              <w:rPr>
                <w:rFonts w:ascii="Arial" w:hAnsi="Arial" w:cs="Arial"/>
                <w:color w:val="000000"/>
                <w:sz w:val="18"/>
                <w:szCs w:val="18"/>
                <w:lang w:eastAsia="ko-KR"/>
              </w:rPr>
              <w:t>(c) a major case that is allocated to the planning and environment division</w:t>
            </w:r>
          </w:p>
        </w:tc>
        <w:tc>
          <w:tcPr>
            <w:tcW w:w="521" w:type="pct"/>
            <w:tcBorders>
              <w:top w:val="nil"/>
              <w:left w:val="single" w:sz="4" w:space="0" w:color="auto"/>
              <w:bottom w:val="nil"/>
              <w:right w:val="nil"/>
            </w:tcBorders>
            <w:vAlign w:val="center"/>
            <w:hideMark/>
          </w:tcPr>
          <w:p w14:paraId="09E06ED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2,805.9</w:t>
            </w:r>
          </w:p>
        </w:tc>
        <w:tc>
          <w:tcPr>
            <w:tcW w:w="483" w:type="pct"/>
            <w:tcBorders>
              <w:top w:val="nil"/>
              <w:left w:val="nil"/>
              <w:bottom w:val="nil"/>
              <w:right w:val="nil"/>
            </w:tcBorders>
            <w:vAlign w:val="center"/>
            <w:hideMark/>
          </w:tcPr>
          <w:p w14:paraId="02089F9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2,805.9</w:t>
            </w:r>
          </w:p>
        </w:tc>
        <w:tc>
          <w:tcPr>
            <w:tcW w:w="598" w:type="pct"/>
            <w:tcBorders>
              <w:top w:val="nil"/>
              <w:left w:val="nil"/>
              <w:bottom w:val="nil"/>
              <w:right w:val="single" w:sz="4" w:space="0" w:color="auto"/>
            </w:tcBorders>
            <w:vAlign w:val="center"/>
            <w:hideMark/>
          </w:tcPr>
          <w:p w14:paraId="1FDE74B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2,805.9</w:t>
            </w:r>
          </w:p>
        </w:tc>
      </w:tr>
      <w:tr w:rsidR="00DA554C" w:rsidRPr="00DA554C" w14:paraId="26B2C386" w14:textId="77777777" w:rsidTr="009B659C">
        <w:trPr>
          <w:trHeight w:val="285"/>
        </w:trPr>
        <w:tc>
          <w:tcPr>
            <w:tcW w:w="346" w:type="pct"/>
            <w:tcBorders>
              <w:top w:val="nil"/>
              <w:left w:val="single" w:sz="4" w:space="0" w:color="auto"/>
              <w:bottom w:val="nil"/>
              <w:right w:val="nil"/>
            </w:tcBorders>
            <w:noWrap/>
            <w:vAlign w:val="center"/>
            <w:hideMark/>
          </w:tcPr>
          <w:p w14:paraId="60C51FE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564B88F" w14:textId="77777777" w:rsidR="00DA554C" w:rsidRPr="00DA554C" w:rsidRDefault="00DA554C" w:rsidP="00732900">
            <w:pPr>
              <w:rPr>
                <w:rFonts w:ascii="Arial" w:hAnsi="Arial" w:cs="Arial"/>
                <w:color w:val="000000"/>
                <w:sz w:val="18"/>
                <w:szCs w:val="18"/>
                <w:lang w:eastAsia="ko-KR"/>
              </w:rPr>
            </w:pPr>
            <w:r w:rsidRPr="00DA554C">
              <w:rPr>
                <w:rFonts w:ascii="Arial" w:hAnsi="Arial" w:cs="Arial"/>
                <w:color w:val="000000"/>
                <w:sz w:val="18"/>
                <w:szCs w:val="18"/>
                <w:lang w:eastAsia="ko-KR"/>
              </w:rPr>
              <w:t>(d) a complex case that is allocated to the civil division or the human rights division</w:t>
            </w:r>
          </w:p>
        </w:tc>
        <w:tc>
          <w:tcPr>
            <w:tcW w:w="521" w:type="pct"/>
            <w:tcBorders>
              <w:top w:val="nil"/>
              <w:left w:val="single" w:sz="4" w:space="0" w:color="auto"/>
              <w:bottom w:val="nil"/>
              <w:right w:val="nil"/>
            </w:tcBorders>
            <w:vAlign w:val="center"/>
            <w:hideMark/>
          </w:tcPr>
          <w:p w14:paraId="0408F3C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2,060.8</w:t>
            </w:r>
          </w:p>
        </w:tc>
        <w:tc>
          <w:tcPr>
            <w:tcW w:w="483" w:type="pct"/>
            <w:tcBorders>
              <w:top w:val="nil"/>
              <w:left w:val="nil"/>
              <w:bottom w:val="nil"/>
              <w:right w:val="nil"/>
            </w:tcBorders>
            <w:vAlign w:val="center"/>
            <w:hideMark/>
          </w:tcPr>
          <w:p w14:paraId="667E05F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2,060.8</w:t>
            </w:r>
          </w:p>
        </w:tc>
        <w:tc>
          <w:tcPr>
            <w:tcW w:w="598" w:type="pct"/>
            <w:tcBorders>
              <w:top w:val="nil"/>
              <w:left w:val="nil"/>
              <w:bottom w:val="nil"/>
              <w:right w:val="single" w:sz="4" w:space="0" w:color="auto"/>
            </w:tcBorders>
            <w:vAlign w:val="center"/>
            <w:hideMark/>
          </w:tcPr>
          <w:p w14:paraId="0BB7D6A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2,060.8</w:t>
            </w:r>
          </w:p>
        </w:tc>
      </w:tr>
      <w:tr w:rsidR="00DA554C" w:rsidRPr="00DA554C" w14:paraId="07A2EF3F" w14:textId="77777777" w:rsidTr="009B659C">
        <w:trPr>
          <w:trHeight w:val="570"/>
        </w:trPr>
        <w:tc>
          <w:tcPr>
            <w:tcW w:w="346" w:type="pct"/>
            <w:tcBorders>
              <w:top w:val="nil"/>
              <w:left w:val="single" w:sz="4" w:space="0" w:color="auto"/>
              <w:bottom w:val="nil"/>
              <w:right w:val="nil"/>
            </w:tcBorders>
            <w:noWrap/>
            <w:vAlign w:val="center"/>
            <w:hideMark/>
          </w:tcPr>
          <w:p w14:paraId="3303B30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2FF750EF" w14:textId="77777777" w:rsidR="00DA554C" w:rsidRPr="00DA554C" w:rsidRDefault="00DA554C" w:rsidP="00732900">
            <w:pPr>
              <w:rPr>
                <w:rFonts w:ascii="Arial" w:hAnsi="Arial" w:cs="Arial"/>
                <w:color w:val="000000"/>
                <w:sz w:val="18"/>
                <w:szCs w:val="18"/>
                <w:lang w:eastAsia="ko-KR"/>
              </w:rPr>
            </w:pPr>
            <w:r w:rsidRPr="00DA554C">
              <w:rPr>
                <w:rFonts w:ascii="Arial" w:hAnsi="Arial" w:cs="Arial"/>
                <w:color w:val="000000"/>
                <w:sz w:val="18"/>
                <w:szCs w:val="18"/>
                <w:lang w:eastAsia="ko-KR"/>
              </w:rPr>
              <w:t>(e) for a claim that is not for a sum, or is for an unspecified sum, or is for a sum more than $15 000    —</w:t>
            </w:r>
          </w:p>
        </w:tc>
        <w:tc>
          <w:tcPr>
            <w:tcW w:w="521" w:type="pct"/>
            <w:tcBorders>
              <w:top w:val="nil"/>
              <w:left w:val="single" w:sz="4" w:space="0" w:color="auto"/>
              <w:bottom w:val="nil"/>
              <w:right w:val="nil"/>
            </w:tcBorders>
            <w:vAlign w:val="center"/>
            <w:hideMark/>
          </w:tcPr>
          <w:p w14:paraId="3DE8A84E"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218D9D1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50D14723" w14:textId="77777777" w:rsidR="00DA554C" w:rsidRPr="00DA554C" w:rsidRDefault="00DA554C" w:rsidP="00DA554C">
            <w:pPr>
              <w:jc w:val="center"/>
              <w:rPr>
                <w:rFonts w:ascii="Times New Roman" w:hAnsi="Times New Roman"/>
                <w:lang w:eastAsia="ko-KR"/>
              </w:rPr>
            </w:pPr>
          </w:p>
        </w:tc>
      </w:tr>
      <w:tr w:rsidR="00DA554C" w:rsidRPr="00DA554C" w14:paraId="250C9928" w14:textId="77777777" w:rsidTr="009B659C">
        <w:trPr>
          <w:trHeight w:val="285"/>
        </w:trPr>
        <w:tc>
          <w:tcPr>
            <w:tcW w:w="346" w:type="pct"/>
            <w:tcBorders>
              <w:top w:val="nil"/>
              <w:left w:val="single" w:sz="4" w:space="0" w:color="auto"/>
              <w:bottom w:val="nil"/>
              <w:right w:val="nil"/>
            </w:tcBorders>
            <w:noWrap/>
            <w:vAlign w:val="center"/>
            <w:hideMark/>
          </w:tcPr>
          <w:p w14:paraId="10C0FC1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693944F"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(i) day one, for a proceeding that is—</w:t>
            </w:r>
          </w:p>
        </w:tc>
        <w:tc>
          <w:tcPr>
            <w:tcW w:w="521" w:type="pct"/>
            <w:tcBorders>
              <w:top w:val="nil"/>
              <w:left w:val="single" w:sz="4" w:space="0" w:color="auto"/>
              <w:bottom w:val="nil"/>
              <w:right w:val="nil"/>
            </w:tcBorders>
            <w:vAlign w:val="center"/>
            <w:hideMark/>
          </w:tcPr>
          <w:p w14:paraId="76AD7D01" w14:textId="77777777" w:rsidR="00DA554C" w:rsidRPr="00DA554C" w:rsidRDefault="00DA554C" w:rsidP="00DA554C">
            <w:pPr>
              <w:ind w:firstLineChars="900" w:firstLine="162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78A17530"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6519ACF1" w14:textId="77777777" w:rsidR="00DA554C" w:rsidRPr="00DA554C" w:rsidRDefault="00DA554C" w:rsidP="00DA554C">
            <w:pPr>
              <w:jc w:val="center"/>
              <w:rPr>
                <w:rFonts w:ascii="Times New Roman" w:hAnsi="Times New Roman"/>
                <w:lang w:eastAsia="ko-KR"/>
              </w:rPr>
            </w:pPr>
          </w:p>
        </w:tc>
      </w:tr>
      <w:tr w:rsidR="00DA554C" w:rsidRPr="00DA554C" w14:paraId="5EE62B22" w14:textId="77777777" w:rsidTr="009B659C">
        <w:trPr>
          <w:trHeight w:val="285"/>
        </w:trPr>
        <w:tc>
          <w:tcPr>
            <w:tcW w:w="346" w:type="pct"/>
            <w:tcBorders>
              <w:top w:val="nil"/>
              <w:left w:val="single" w:sz="4" w:space="0" w:color="auto"/>
              <w:bottom w:val="nil"/>
              <w:right w:val="nil"/>
            </w:tcBorders>
            <w:noWrap/>
            <w:vAlign w:val="center"/>
            <w:hideMark/>
          </w:tcPr>
          <w:p w14:paraId="6F5C53D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4087349"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 xml:space="preserve">(A) under the </w:t>
            </w:r>
            <w:r w:rsidRPr="00DA554C">
              <w:rPr>
                <w:rFonts w:ascii="Arial" w:hAnsi="Arial" w:cs="Arial"/>
                <w:b/>
                <w:bCs/>
                <w:color w:val="000000"/>
                <w:sz w:val="18"/>
                <w:szCs w:val="18"/>
                <w:lang w:eastAsia="ko-KR"/>
              </w:rPr>
              <w:t>Owners Corporations Act 2006</w:t>
            </w:r>
            <w:r w:rsidRPr="00DA554C">
              <w:rPr>
                <w:rFonts w:ascii="Arial" w:hAnsi="Arial" w:cs="Arial"/>
                <w:color w:val="000000"/>
                <w:sz w:val="18"/>
                <w:szCs w:val="18"/>
                <w:lang w:eastAsia="ko-KR"/>
              </w:rPr>
              <w:t>, except section 191; or</w:t>
            </w:r>
          </w:p>
        </w:tc>
        <w:tc>
          <w:tcPr>
            <w:tcW w:w="521" w:type="pct"/>
            <w:tcBorders>
              <w:top w:val="nil"/>
              <w:left w:val="single" w:sz="4" w:space="0" w:color="auto"/>
              <w:bottom w:val="nil"/>
              <w:right w:val="nil"/>
            </w:tcBorders>
            <w:vAlign w:val="center"/>
            <w:hideMark/>
          </w:tcPr>
          <w:p w14:paraId="133B82D3" w14:textId="77777777" w:rsidR="00DA554C" w:rsidRPr="00DA554C" w:rsidRDefault="00DA554C" w:rsidP="00DA554C">
            <w:pPr>
              <w:ind w:firstLineChars="1300" w:firstLine="23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6D16A12E"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18325B53" w14:textId="77777777" w:rsidR="00DA554C" w:rsidRPr="00DA554C" w:rsidRDefault="00DA554C" w:rsidP="00DA554C">
            <w:pPr>
              <w:jc w:val="center"/>
              <w:rPr>
                <w:rFonts w:ascii="Times New Roman" w:hAnsi="Times New Roman"/>
                <w:lang w:eastAsia="ko-KR"/>
              </w:rPr>
            </w:pPr>
          </w:p>
        </w:tc>
      </w:tr>
      <w:tr w:rsidR="00DA554C" w:rsidRPr="00DA554C" w14:paraId="7EFABA85" w14:textId="77777777" w:rsidTr="009B659C">
        <w:trPr>
          <w:trHeight w:val="285"/>
        </w:trPr>
        <w:tc>
          <w:tcPr>
            <w:tcW w:w="346" w:type="pct"/>
            <w:tcBorders>
              <w:top w:val="nil"/>
              <w:left w:val="single" w:sz="4" w:space="0" w:color="auto"/>
              <w:bottom w:val="nil"/>
              <w:right w:val="nil"/>
            </w:tcBorders>
            <w:noWrap/>
            <w:vAlign w:val="center"/>
            <w:hideMark/>
          </w:tcPr>
          <w:p w14:paraId="3F11A91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2390CD38"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(B) allocated to the residential tenancies division</w:t>
            </w:r>
          </w:p>
        </w:tc>
        <w:tc>
          <w:tcPr>
            <w:tcW w:w="521" w:type="pct"/>
            <w:tcBorders>
              <w:top w:val="nil"/>
              <w:left w:val="single" w:sz="4" w:space="0" w:color="auto"/>
              <w:bottom w:val="nil"/>
              <w:right w:val="nil"/>
            </w:tcBorders>
            <w:vAlign w:val="center"/>
            <w:hideMark/>
          </w:tcPr>
          <w:p w14:paraId="051DAC7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c>
          <w:tcPr>
            <w:tcW w:w="483" w:type="pct"/>
            <w:tcBorders>
              <w:top w:val="nil"/>
              <w:left w:val="nil"/>
              <w:bottom w:val="nil"/>
              <w:right w:val="nil"/>
            </w:tcBorders>
            <w:vAlign w:val="center"/>
            <w:hideMark/>
          </w:tcPr>
          <w:p w14:paraId="5E6E4A3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c>
          <w:tcPr>
            <w:tcW w:w="598" w:type="pct"/>
            <w:tcBorders>
              <w:top w:val="nil"/>
              <w:left w:val="nil"/>
              <w:bottom w:val="nil"/>
              <w:right w:val="single" w:sz="4" w:space="0" w:color="auto"/>
            </w:tcBorders>
            <w:vAlign w:val="center"/>
            <w:hideMark/>
          </w:tcPr>
          <w:p w14:paraId="4822ED6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757530BB" w14:textId="77777777" w:rsidTr="009B659C">
        <w:trPr>
          <w:trHeight w:val="285"/>
        </w:trPr>
        <w:tc>
          <w:tcPr>
            <w:tcW w:w="346" w:type="pct"/>
            <w:tcBorders>
              <w:top w:val="nil"/>
              <w:left w:val="single" w:sz="4" w:space="0" w:color="auto"/>
              <w:bottom w:val="nil"/>
              <w:right w:val="nil"/>
            </w:tcBorders>
            <w:noWrap/>
            <w:vAlign w:val="center"/>
            <w:hideMark/>
          </w:tcPr>
          <w:p w14:paraId="73D2774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C37AFE5"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(ii) day one, otherwise than provided in subparagraph (i)</w:t>
            </w:r>
          </w:p>
        </w:tc>
        <w:tc>
          <w:tcPr>
            <w:tcW w:w="521" w:type="pct"/>
            <w:tcBorders>
              <w:top w:val="nil"/>
              <w:left w:val="single" w:sz="4" w:space="0" w:color="auto"/>
              <w:bottom w:val="nil"/>
              <w:right w:val="nil"/>
            </w:tcBorders>
            <w:vAlign w:val="center"/>
            <w:hideMark/>
          </w:tcPr>
          <w:p w14:paraId="2F63C5D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407.5</w:t>
            </w:r>
          </w:p>
        </w:tc>
        <w:tc>
          <w:tcPr>
            <w:tcW w:w="483" w:type="pct"/>
            <w:tcBorders>
              <w:top w:val="nil"/>
              <w:left w:val="nil"/>
              <w:bottom w:val="nil"/>
              <w:right w:val="nil"/>
            </w:tcBorders>
            <w:vAlign w:val="center"/>
            <w:hideMark/>
          </w:tcPr>
          <w:p w14:paraId="21A8FD3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134.5</w:t>
            </w:r>
          </w:p>
        </w:tc>
        <w:tc>
          <w:tcPr>
            <w:tcW w:w="598" w:type="pct"/>
            <w:tcBorders>
              <w:top w:val="nil"/>
              <w:left w:val="nil"/>
              <w:bottom w:val="nil"/>
              <w:right w:val="single" w:sz="4" w:space="0" w:color="auto"/>
            </w:tcBorders>
            <w:vAlign w:val="center"/>
            <w:hideMark/>
          </w:tcPr>
          <w:p w14:paraId="6B068DA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44.8</w:t>
            </w:r>
          </w:p>
        </w:tc>
      </w:tr>
      <w:tr w:rsidR="00DA554C" w:rsidRPr="00DA554C" w14:paraId="7BADF018" w14:textId="77777777" w:rsidTr="009B659C">
        <w:trPr>
          <w:trHeight w:val="285"/>
        </w:trPr>
        <w:tc>
          <w:tcPr>
            <w:tcW w:w="346" w:type="pct"/>
            <w:tcBorders>
              <w:top w:val="nil"/>
              <w:left w:val="single" w:sz="4" w:space="0" w:color="auto"/>
              <w:bottom w:val="nil"/>
              <w:right w:val="nil"/>
            </w:tcBorders>
            <w:noWrap/>
            <w:vAlign w:val="center"/>
            <w:hideMark/>
          </w:tcPr>
          <w:p w14:paraId="2BDB79E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1DDFA7FF"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(iii) days 2 to 4</w:t>
            </w:r>
          </w:p>
        </w:tc>
        <w:tc>
          <w:tcPr>
            <w:tcW w:w="521" w:type="pct"/>
            <w:tcBorders>
              <w:top w:val="nil"/>
              <w:left w:val="single" w:sz="4" w:space="0" w:color="auto"/>
              <w:bottom w:val="nil"/>
              <w:right w:val="nil"/>
            </w:tcBorders>
            <w:vAlign w:val="center"/>
            <w:hideMark/>
          </w:tcPr>
          <w:p w14:paraId="283CB3C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407.5</w:t>
            </w:r>
          </w:p>
        </w:tc>
        <w:tc>
          <w:tcPr>
            <w:tcW w:w="483" w:type="pct"/>
            <w:tcBorders>
              <w:top w:val="nil"/>
              <w:left w:val="nil"/>
              <w:bottom w:val="nil"/>
              <w:right w:val="nil"/>
            </w:tcBorders>
            <w:vAlign w:val="center"/>
            <w:hideMark/>
          </w:tcPr>
          <w:p w14:paraId="3BC8F65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134.5</w:t>
            </w:r>
          </w:p>
        </w:tc>
        <w:tc>
          <w:tcPr>
            <w:tcW w:w="598" w:type="pct"/>
            <w:tcBorders>
              <w:top w:val="nil"/>
              <w:left w:val="nil"/>
              <w:bottom w:val="nil"/>
              <w:right w:val="single" w:sz="4" w:space="0" w:color="auto"/>
            </w:tcBorders>
            <w:vAlign w:val="center"/>
            <w:hideMark/>
          </w:tcPr>
          <w:p w14:paraId="279E36ED"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44.8</w:t>
            </w:r>
          </w:p>
        </w:tc>
      </w:tr>
      <w:tr w:rsidR="00DA554C" w:rsidRPr="00DA554C" w14:paraId="25F1DE36" w14:textId="77777777" w:rsidTr="009B659C">
        <w:trPr>
          <w:trHeight w:val="285"/>
        </w:trPr>
        <w:tc>
          <w:tcPr>
            <w:tcW w:w="346" w:type="pct"/>
            <w:tcBorders>
              <w:top w:val="nil"/>
              <w:left w:val="single" w:sz="4" w:space="0" w:color="auto"/>
              <w:bottom w:val="nil"/>
              <w:right w:val="nil"/>
            </w:tcBorders>
            <w:noWrap/>
            <w:vAlign w:val="center"/>
            <w:hideMark/>
          </w:tcPr>
          <w:p w14:paraId="5AE0CC4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D0A3195"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(iv) days 5 to 9</w:t>
            </w:r>
          </w:p>
        </w:tc>
        <w:tc>
          <w:tcPr>
            <w:tcW w:w="521" w:type="pct"/>
            <w:tcBorders>
              <w:top w:val="nil"/>
              <w:left w:val="single" w:sz="4" w:space="0" w:color="auto"/>
              <w:bottom w:val="nil"/>
              <w:right w:val="nil"/>
            </w:tcBorders>
            <w:vAlign w:val="center"/>
            <w:hideMark/>
          </w:tcPr>
          <w:p w14:paraId="0B1D274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815.0</w:t>
            </w:r>
          </w:p>
        </w:tc>
        <w:tc>
          <w:tcPr>
            <w:tcW w:w="483" w:type="pct"/>
            <w:tcBorders>
              <w:top w:val="nil"/>
              <w:left w:val="nil"/>
              <w:bottom w:val="nil"/>
              <w:right w:val="nil"/>
            </w:tcBorders>
            <w:vAlign w:val="center"/>
            <w:hideMark/>
          </w:tcPr>
          <w:p w14:paraId="7877A17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269.0</w:t>
            </w:r>
          </w:p>
        </w:tc>
        <w:tc>
          <w:tcPr>
            <w:tcW w:w="598" w:type="pct"/>
            <w:tcBorders>
              <w:top w:val="nil"/>
              <w:left w:val="nil"/>
              <w:bottom w:val="nil"/>
              <w:right w:val="single" w:sz="4" w:space="0" w:color="auto"/>
            </w:tcBorders>
            <w:vAlign w:val="center"/>
            <w:hideMark/>
          </w:tcPr>
          <w:p w14:paraId="207AE6B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89.7</w:t>
            </w:r>
          </w:p>
        </w:tc>
      </w:tr>
      <w:tr w:rsidR="00DA554C" w:rsidRPr="00DA554C" w14:paraId="7A4078A3" w14:textId="77777777" w:rsidTr="009B659C">
        <w:trPr>
          <w:trHeight w:val="285"/>
        </w:trPr>
        <w:tc>
          <w:tcPr>
            <w:tcW w:w="346" w:type="pct"/>
            <w:tcBorders>
              <w:top w:val="nil"/>
              <w:left w:val="single" w:sz="4" w:space="0" w:color="auto"/>
              <w:bottom w:val="nil"/>
              <w:right w:val="nil"/>
            </w:tcBorders>
            <w:noWrap/>
            <w:vAlign w:val="center"/>
            <w:hideMark/>
          </w:tcPr>
          <w:p w14:paraId="4AE68E6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09F164D4"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(v) day 10 and any subsequent day</w:t>
            </w:r>
          </w:p>
        </w:tc>
        <w:tc>
          <w:tcPr>
            <w:tcW w:w="521" w:type="pct"/>
            <w:tcBorders>
              <w:top w:val="nil"/>
              <w:left w:val="single" w:sz="4" w:space="0" w:color="auto"/>
              <w:bottom w:val="nil"/>
              <w:right w:val="nil"/>
            </w:tcBorders>
            <w:vAlign w:val="center"/>
            <w:hideMark/>
          </w:tcPr>
          <w:p w14:paraId="0CB5CBF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1,222.5</w:t>
            </w:r>
          </w:p>
        </w:tc>
        <w:tc>
          <w:tcPr>
            <w:tcW w:w="483" w:type="pct"/>
            <w:tcBorders>
              <w:top w:val="nil"/>
              <w:left w:val="nil"/>
              <w:bottom w:val="nil"/>
              <w:right w:val="nil"/>
            </w:tcBorders>
            <w:vAlign w:val="center"/>
            <w:hideMark/>
          </w:tcPr>
          <w:p w14:paraId="355EB05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403.4</w:t>
            </w:r>
          </w:p>
        </w:tc>
        <w:tc>
          <w:tcPr>
            <w:tcW w:w="598" w:type="pct"/>
            <w:tcBorders>
              <w:top w:val="nil"/>
              <w:left w:val="nil"/>
              <w:bottom w:val="nil"/>
              <w:right w:val="single" w:sz="4" w:space="0" w:color="auto"/>
            </w:tcBorders>
            <w:vAlign w:val="center"/>
            <w:hideMark/>
          </w:tcPr>
          <w:p w14:paraId="0CA03C9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134.5</w:t>
            </w:r>
          </w:p>
        </w:tc>
      </w:tr>
      <w:tr w:rsidR="00DA554C" w:rsidRPr="00DA554C" w14:paraId="0F3566E0" w14:textId="77777777" w:rsidTr="009B659C">
        <w:trPr>
          <w:trHeight w:val="285"/>
        </w:trPr>
        <w:tc>
          <w:tcPr>
            <w:tcW w:w="346" w:type="pct"/>
            <w:tcBorders>
              <w:top w:val="nil"/>
              <w:left w:val="single" w:sz="4" w:space="0" w:color="auto"/>
              <w:bottom w:val="nil"/>
              <w:right w:val="nil"/>
            </w:tcBorders>
            <w:noWrap/>
            <w:vAlign w:val="center"/>
            <w:hideMark/>
          </w:tcPr>
          <w:p w14:paraId="16610FF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24AEF94F"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(f) for review of a decision made by a decision</w:t>
            </w:r>
            <w:r w:rsidRPr="00DA554C">
              <w:rPr>
                <w:rFonts w:ascii="Arial" w:hAnsi="Arial" w:cs="Arial"/>
                <w:color w:val="000000"/>
                <w:sz w:val="18"/>
                <w:szCs w:val="18"/>
                <w:lang w:eastAsia="ko-KR"/>
              </w:rPr>
              <w:noBreakHyphen/>
              <w:t>maker—</w:t>
            </w:r>
          </w:p>
        </w:tc>
        <w:tc>
          <w:tcPr>
            <w:tcW w:w="521" w:type="pct"/>
            <w:tcBorders>
              <w:top w:val="nil"/>
              <w:left w:val="single" w:sz="4" w:space="0" w:color="auto"/>
              <w:bottom w:val="nil"/>
              <w:right w:val="nil"/>
            </w:tcBorders>
            <w:vAlign w:val="center"/>
            <w:hideMark/>
          </w:tcPr>
          <w:p w14:paraId="679F1F78" w14:textId="77777777" w:rsidR="00DA554C" w:rsidRPr="00DA554C" w:rsidRDefault="00DA554C" w:rsidP="00DA554C">
            <w:pPr>
              <w:ind w:firstLineChars="300" w:firstLine="5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5E871B47"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002E6716" w14:textId="77777777" w:rsidR="00DA554C" w:rsidRPr="00DA554C" w:rsidRDefault="00DA554C" w:rsidP="00DA554C">
            <w:pPr>
              <w:jc w:val="center"/>
              <w:rPr>
                <w:rFonts w:ascii="Times New Roman" w:hAnsi="Times New Roman"/>
                <w:lang w:eastAsia="ko-KR"/>
              </w:rPr>
            </w:pPr>
          </w:p>
        </w:tc>
      </w:tr>
      <w:tr w:rsidR="00DA554C" w:rsidRPr="00DA554C" w14:paraId="3D8AD207" w14:textId="77777777" w:rsidTr="009B659C">
        <w:trPr>
          <w:trHeight w:val="285"/>
        </w:trPr>
        <w:tc>
          <w:tcPr>
            <w:tcW w:w="346" w:type="pct"/>
            <w:tcBorders>
              <w:top w:val="nil"/>
              <w:left w:val="single" w:sz="4" w:space="0" w:color="auto"/>
              <w:bottom w:val="nil"/>
              <w:right w:val="nil"/>
            </w:tcBorders>
            <w:noWrap/>
            <w:vAlign w:val="center"/>
            <w:hideMark/>
          </w:tcPr>
          <w:p w14:paraId="0EB8557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50B3F0B5"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(i) day one, for a proceeding that is—</w:t>
            </w:r>
          </w:p>
        </w:tc>
        <w:tc>
          <w:tcPr>
            <w:tcW w:w="521" w:type="pct"/>
            <w:tcBorders>
              <w:top w:val="nil"/>
              <w:left w:val="single" w:sz="4" w:space="0" w:color="auto"/>
              <w:bottom w:val="nil"/>
              <w:right w:val="nil"/>
            </w:tcBorders>
            <w:vAlign w:val="center"/>
            <w:hideMark/>
          </w:tcPr>
          <w:p w14:paraId="2226356A" w14:textId="77777777" w:rsidR="00DA554C" w:rsidRPr="00DA554C" w:rsidRDefault="00DA554C" w:rsidP="00DA554C">
            <w:pPr>
              <w:ind w:firstLineChars="900" w:firstLine="162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2EDBF182"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46CCE570" w14:textId="77777777" w:rsidR="00DA554C" w:rsidRPr="00DA554C" w:rsidRDefault="00DA554C" w:rsidP="00DA554C">
            <w:pPr>
              <w:jc w:val="center"/>
              <w:rPr>
                <w:rFonts w:ascii="Times New Roman" w:hAnsi="Times New Roman"/>
                <w:lang w:eastAsia="ko-KR"/>
              </w:rPr>
            </w:pPr>
          </w:p>
        </w:tc>
      </w:tr>
      <w:tr w:rsidR="00DA554C" w:rsidRPr="00DA554C" w14:paraId="55C35D57" w14:textId="77777777" w:rsidTr="009B659C">
        <w:trPr>
          <w:trHeight w:val="285"/>
        </w:trPr>
        <w:tc>
          <w:tcPr>
            <w:tcW w:w="346" w:type="pct"/>
            <w:tcBorders>
              <w:top w:val="nil"/>
              <w:left w:val="single" w:sz="4" w:space="0" w:color="auto"/>
              <w:bottom w:val="nil"/>
              <w:right w:val="nil"/>
            </w:tcBorders>
            <w:noWrap/>
            <w:vAlign w:val="center"/>
            <w:hideMark/>
          </w:tcPr>
          <w:p w14:paraId="11A8364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7D38070E"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(A) a VicSmart proceeding; or</w:t>
            </w:r>
          </w:p>
        </w:tc>
        <w:tc>
          <w:tcPr>
            <w:tcW w:w="521" w:type="pct"/>
            <w:tcBorders>
              <w:top w:val="nil"/>
              <w:left w:val="single" w:sz="4" w:space="0" w:color="auto"/>
              <w:bottom w:val="nil"/>
              <w:right w:val="nil"/>
            </w:tcBorders>
            <w:vAlign w:val="center"/>
            <w:hideMark/>
          </w:tcPr>
          <w:p w14:paraId="6973912E" w14:textId="77777777" w:rsidR="00DA554C" w:rsidRPr="00DA554C" w:rsidRDefault="00DA554C" w:rsidP="00DA554C">
            <w:pPr>
              <w:ind w:firstLineChars="1300" w:firstLine="2340"/>
              <w:rPr>
                <w:rFonts w:ascii="Arial" w:hAnsi="Arial" w:cs="Arial"/>
                <w:color w:val="000000"/>
                <w:sz w:val="18"/>
                <w:szCs w:val="18"/>
                <w:lang w:eastAsia="ko-KR"/>
              </w:rPr>
            </w:pPr>
          </w:p>
        </w:tc>
        <w:tc>
          <w:tcPr>
            <w:tcW w:w="483" w:type="pct"/>
            <w:tcBorders>
              <w:top w:val="nil"/>
              <w:left w:val="nil"/>
              <w:bottom w:val="nil"/>
              <w:right w:val="nil"/>
            </w:tcBorders>
            <w:vAlign w:val="center"/>
            <w:hideMark/>
          </w:tcPr>
          <w:p w14:paraId="11957D89" w14:textId="77777777" w:rsidR="00DA554C" w:rsidRPr="00DA554C" w:rsidRDefault="00DA554C" w:rsidP="00DA554C">
            <w:pPr>
              <w:jc w:val="center"/>
              <w:rPr>
                <w:rFonts w:ascii="Times New Roman" w:hAnsi="Times New Roman"/>
                <w:lang w:eastAsia="ko-KR"/>
              </w:rPr>
            </w:pPr>
          </w:p>
        </w:tc>
        <w:tc>
          <w:tcPr>
            <w:tcW w:w="598" w:type="pct"/>
            <w:tcBorders>
              <w:top w:val="nil"/>
              <w:left w:val="nil"/>
              <w:bottom w:val="nil"/>
              <w:right w:val="single" w:sz="4" w:space="0" w:color="auto"/>
            </w:tcBorders>
            <w:vAlign w:val="center"/>
            <w:hideMark/>
          </w:tcPr>
          <w:p w14:paraId="2EFDB2DC" w14:textId="77777777" w:rsidR="00DA554C" w:rsidRPr="00DA554C" w:rsidRDefault="00DA554C" w:rsidP="00DA554C">
            <w:pPr>
              <w:jc w:val="center"/>
              <w:rPr>
                <w:rFonts w:ascii="Times New Roman" w:hAnsi="Times New Roman"/>
                <w:lang w:eastAsia="ko-KR"/>
              </w:rPr>
            </w:pPr>
          </w:p>
        </w:tc>
      </w:tr>
      <w:tr w:rsidR="00DA554C" w:rsidRPr="00DA554C" w14:paraId="5DDECF94" w14:textId="77777777" w:rsidTr="009B659C">
        <w:trPr>
          <w:trHeight w:val="450"/>
        </w:trPr>
        <w:tc>
          <w:tcPr>
            <w:tcW w:w="346" w:type="pct"/>
            <w:tcBorders>
              <w:top w:val="nil"/>
              <w:left w:val="single" w:sz="4" w:space="0" w:color="auto"/>
              <w:bottom w:val="nil"/>
              <w:right w:val="nil"/>
            </w:tcBorders>
            <w:noWrap/>
            <w:vAlign w:val="center"/>
            <w:hideMark/>
          </w:tcPr>
          <w:p w14:paraId="42E0AE0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080C05F"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 xml:space="preserve">(B) a proceeding under section 80 of the </w:t>
            </w:r>
            <w:r w:rsidRPr="00DA554C">
              <w:rPr>
                <w:rFonts w:ascii="Arial" w:hAnsi="Arial" w:cs="Arial"/>
                <w:b/>
                <w:bCs/>
                <w:color w:val="000000"/>
                <w:sz w:val="18"/>
                <w:szCs w:val="18"/>
                <w:lang w:eastAsia="ko-KR"/>
              </w:rPr>
              <w:t>Planning and Environment Act 1987</w:t>
            </w:r>
          </w:p>
        </w:tc>
        <w:tc>
          <w:tcPr>
            <w:tcW w:w="521" w:type="pct"/>
            <w:tcBorders>
              <w:top w:val="nil"/>
              <w:left w:val="single" w:sz="4" w:space="0" w:color="auto"/>
              <w:bottom w:val="nil"/>
              <w:right w:val="nil"/>
            </w:tcBorders>
            <w:vAlign w:val="center"/>
            <w:hideMark/>
          </w:tcPr>
          <w:p w14:paraId="2660CC16"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c>
          <w:tcPr>
            <w:tcW w:w="483" w:type="pct"/>
            <w:tcBorders>
              <w:top w:val="nil"/>
              <w:left w:val="nil"/>
              <w:bottom w:val="nil"/>
              <w:right w:val="nil"/>
            </w:tcBorders>
            <w:vAlign w:val="center"/>
            <w:hideMark/>
          </w:tcPr>
          <w:p w14:paraId="6A823E1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c>
          <w:tcPr>
            <w:tcW w:w="598" w:type="pct"/>
            <w:tcBorders>
              <w:top w:val="nil"/>
              <w:left w:val="nil"/>
              <w:bottom w:val="nil"/>
              <w:right w:val="single" w:sz="4" w:space="0" w:color="auto"/>
            </w:tcBorders>
            <w:vAlign w:val="center"/>
            <w:hideMark/>
          </w:tcPr>
          <w:p w14:paraId="2194A08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nil</w:t>
            </w:r>
          </w:p>
        </w:tc>
      </w:tr>
      <w:tr w:rsidR="00DA554C" w:rsidRPr="00DA554C" w14:paraId="3D6A017E" w14:textId="77777777" w:rsidTr="009B659C">
        <w:trPr>
          <w:trHeight w:val="285"/>
        </w:trPr>
        <w:tc>
          <w:tcPr>
            <w:tcW w:w="346" w:type="pct"/>
            <w:tcBorders>
              <w:top w:val="nil"/>
              <w:left w:val="single" w:sz="4" w:space="0" w:color="auto"/>
              <w:bottom w:val="nil"/>
              <w:right w:val="nil"/>
            </w:tcBorders>
            <w:noWrap/>
            <w:vAlign w:val="center"/>
            <w:hideMark/>
          </w:tcPr>
          <w:p w14:paraId="47CE429F"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4EDEB024"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(ii) day one, otherwise than provided in subparagraph (i)</w:t>
            </w:r>
          </w:p>
        </w:tc>
        <w:tc>
          <w:tcPr>
            <w:tcW w:w="521" w:type="pct"/>
            <w:tcBorders>
              <w:top w:val="nil"/>
              <w:left w:val="single" w:sz="4" w:space="0" w:color="auto"/>
              <w:bottom w:val="nil"/>
              <w:right w:val="nil"/>
            </w:tcBorders>
            <w:vAlign w:val="center"/>
            <w:hideMark/>
          </w:tcPr>
          <w:p w14:paraId="501841E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407.5</w:t>
            </w:r>
          </w:p>
        </w:tc>
        <w:tc>
          <w:tcPr>
            <w:tcW w:w="483" w:type="pct"/>
            <w:tcBorders>
              <w:top w:val="nil"/>
              <w:left w:val="nil"/>
              <w:bottom w:val="nil"/>
              <w:right w:val="nil"/>
            </w:tcBorders>
            <w:vAlign w:val="center"/>
            <w:hideMark/>
          </w:tcPr>
          <w:p w14:paraId="4DA3FE5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134.5</w:t>
            </w:r>
          </w:p>
        </w:tc>
        <w:tc>
          <w:tcPr>
            <w:tcW w:w="598" w:type="pct"/>
            <w:tcBorders>
              <w:top w:val="nil"/>
              <w:left w:val="nil"/>
              <w:bottom w:val="nil"/>
              <w:right w:val="single" w:sz="4" w:space="0" w:color="auto"/>
            </w:tcBorders>
            <w:vAlign w:val="center"/>
            <w:hideMark/>
          </w:tcPr>
          <w:p w14:paraId="276088B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44.8</w:t>
            </w:r>
          </w:p>
        </w:tc>
      </w:tr>
      <w:tr w:rsidR="00DA554C" w:rsidRPr="00DA554C" w14:paraId="1D5DB993" w14:textId="77777777" w:rsidTr="009B659C">
        <w:trPr>
          <w:trHeight w:val="300"/>
        </w:trPr>
        <w:tc>
          <w:tcPr>
            <w:tcW w:w="346" w:type="pct"/>
            <w:tcBorders>
              <w:top w:val="nil"/>
              <w:left w:val="single" w:sz="4" w:space="0" w:color="auto"/>
              <w:bottom w:val="nil"/>
              <w:right w:val="nil"/>
            </w:tcBorders>
            <w:noWrap/>
            <w:vAlign w:val="center"/>
            <w:hideMark/>
          </w:tcPr>
          <w:p w14:paraId="26C801E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1FE17E4"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(iii) days 2 to 4</w:t>
            </w:r>
          </w:p>
        </w:tc>
        <w:tc>
          <w:tcPr>
            <w:tcW w:w="521" w:type="pct"/>
            <w:tcBorders>
              <w:top w:val="nil"/>
              <w:left w:val="single" w:sz="4" w:space="0" w:color="auto"/>
              <w:bottom w:val="nil"/>
              <w:right w:val="nil"/>
            </w:tcBorders>
            <w:vAlign w:val="center"/>
            <w:hideMark/>
          </w:tcPr>
          <w:p w14:paraId="6BE7744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407.5</w:t>
            </w:r>
          </w:p>
        </w:tc>
        <w:tc>
          <w:tcPr>
            <w:tcW w:w="483" w:type="pct"/>
            <w:tcBorders>
              <w:top w:val="nil"/>
              <w:left w:val="nil"/>
              <w:bottom w:val="nil"/>
              <w:right w:val="nil"/>
            </w:tcBorders>
            <w:vAlign w:val="center"/>
            <w:hideMark/>
          </w:tcPr>
          <w:p w14:paraId="2964713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134.5</w:t>
            </w:r>
          </w:p>
        </w:tc>
        <w:tc>
          <w:tcPr>
            <w:tcW w:w="598" w:type="pct"/>
            <w:tcBorders>
              <w:top w:val="nil"/>
              <w:left w:val="nil"/>
              <w:bottom w:val="nil"/>
              <w:right w:val="single" w:sz="4" w:space="0" w:color="auto"/>
            </w:tcBorders>
            <w:vAlign w:val="center"/>
            <w:hideMark/>
          </w:tcPr>
          <w:p w14:paraId="0D58A92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44.8</w:t>
            </w:r>
          </w:p>
        </w:tc>
      </w:tr>
      <w:tr w:rsidR="00DA554C" w:rsidRPr="00DA554C" w14:paraId="7EAAE6D4" w14:textId="77777777" w:rsidTr="009B659C">
        <w:trPr>
          <w:trHeight w:val="285"/>
        </w:trPr>
        <w:tc>
          <w:tcPr>
            <w:tcW w:w="346" w:type="pct"/>
            <w:tcBorders>
              <w:top w:val="nil"/>
              <w:left w:val="single" w:sz="4" w:space="0" w:color="auto"/>
              <w:bottom w:val="nil"/>
              <w:right w:val="nil"/>
            </w:tcBorders>
            <w:noWrap/>
            <w:vAlign w:val="center"/>
            <w:hideMark/>
          </w:tcPr>
          <w:p w14:paraId="2FA4FAA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nil"/>
              <w:right w:val="nil"/>
            </w:tcBorders>
            <w:vAlign w:val="center"/>
            <w:hideMark/>
          </w:tcPr>
          <w:p w14:paraId="673149C9"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(iv) days 5 to 9</w:t>
            </w:r>
          </w:p>
        </w:tc>
        <w:tc>
          <w:tcPr>
            <w:tcW w:w="521" w:type="pct"/>
            <w:tcBorders>
              <w:top w:val="nil"/>
              <w:left w:val="single" w:sz="4" w:space="0" w:color="auto"/>
              <w:bottom w:val="nil"/>
              <w:right w:val="nil"/>
            </w:tcBorders>
            <w:vAlign w:val="center"/>
            <w:hideMark/>
          </w:tcPr>
          <w:p w14:paraId="68E891C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815.0</w:t>
            </w:r>
          </w:p>
        </w:tc>
        <w:tc>
          <w:tcPr>
            <w:tcW w:w="483" w:type="pct"/>
            <w:tcBorders>
              <w:top w:val="nil"/>
              <w:left w:val="nil"/>
              <w:bottom w:val="nil"/>
              <w:right w:val="nil"/>
            </w:tcBorders>
            <w:vAlign w:val="center"/>
            <w:hideMark/>
          </w:tcPr>
          <w:p w14:paraId="3D2DD03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269.0</w:t>
            </w:r>
          </w:p>
        </w:tc>
        <w:tc>
          <w:tcPr>
            <w:tcW w:w="598" w:type="pct"/>
            <w:tcBorders>
              <w:top w:val="nil"/>
              <w:left w:val="nil"/>
              <w:bottom w:val="nil"/>
              <w:right w:val="single" w:sz="4" w:space="0" w:color="auto"/>
            </w:tcBorders>
            <w:vAlign w:val="center"/>
            <w:hideMark/>
          </w:tcPr>
          <w:p w14:paraId="2198D18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89.7</w:t>
            </w:r>
          </w:p>
        </w:tc>
      </w:tr>
      <w:tr w:rsidR="00DA554C" w:rsidRPr="00DA554C" w14:paraId="08220722" w14:textId="77777777" w:rsidTr="009B659C">
        <w:trPr>
          <w:trHeight w:val="773"/>
        </w:trPr>
        <w:tc>
          <w:tcPr>
            <w:tcW w:w="346" w:type="pct"/>
            <w:tcBorders>
              <w:top w:val="nil"/>
              <w:left w:val="single" w:sz="4" w:space="0" w:color="auto"/>
              <w:bottom w:val="single" w:sz="4" w:space="0" w:color="auto"/>
              <w:right w:val="nil"/>
            </w:tcBorders>
            <w:noWrap/>
            <w:vAlign w:val="center"/>
            <w:hideMark/>
          </w:tcPr>
          <w:p w14:paraId="7D665B75"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 xml:space="preserve"> </w:t>
            </w:r>
          </w:p>
        </w:tc>
        <w:tc>
          <w:tcPr>
            <w:tcW w:w="3052" w:type="pct"/>
            <w:tcBorders>
              <w:top w:val="nil"/>
              <w:left w:val="single" w:sz="4" w:space="0" w:color="auto"/>
              <w:bottom w:val="single" w:sz="4" w:space="0" w:color="auto"/>
              <w:right w:val="nil"/>
            </w:tcBorders>
            <w:vAlign w:val="center"/>
            <w:hideMark/>
          </w:tcPr>
          <w:p w14:paraId="5ACF8EDD" w14:textId="77777777" w:rsidR="00DA554C" w:rsidRPr="00DA554C" w:rsidRDefault="00DA554C" w:rsidP="00732900">
            <w:pPr>
              <w:ind w:left="720"/>
              <w:rPr>
                <w:rFonts w:ascii="Arial" w:hAnsi="Arial" w:cs="Arial"/>
                <w:color w:val="000000"/>
                <w:sz w:val="18"/>
                <w:szCs w:val="18"/>
                <w:lang w:eastAsia="ko-KR"/>
              </w:rPr>
            </w:pPr>
            <w:r w:rsidRPr="00DA554C">
              <w:rPr>
                <w:rFonts w:ascii="Arial" w:hAnsi="Arial" w:cs="Arial"/>
                <w:color w:val="000000"/>
                <w:sz w:val="18"/>
                <w:szCs w:val="18"/>
                <w:lang w:eastAsia="ko-KR"/>
              </w:rPr>
              <w:t>(v) day 10 and any subsequent day</w:t>
            </w:r>
          </w:p>
        </w:tc>
        <w:tc>
          <w:tcPr>
            <w:tcW w:w="521" w:type="pct"/>
            <w:tcBorders>
              <w:top w:val="nil"/>
              <w:left w:val="single" w:sz="4" w:space="0" w:color="auto"/>
              <w:bottom w:val="single" w:sz="4" w:space="0" w:color="auto"/>
              <w:right w:val="nil"/>
            </w:tcBorders>
            <w:vAlign w:val="center"/>
            <w:hideMark/>
          </w:tcPr>
          <w:p w14:paraId="67A89BC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1,222.5</w:t>
            </w:r>
          </w:p>
        </w:tc>
        <w:tc>
          <w:tcPr>
            <w:tcW w:w="483" w:type="pct"/>
            <w:tcBorders>
              <w:top w:val="nil"/>
              <w:left w:val="nil"/>
              <w:bottom w:val="single" w:sz="4" w:space="0" w:color="auto"/>
              <w:right w:val="nil"/>
            </w:tcBorders>
            <w:vAlign w:val="center"/>
            <w:hideMark/>
          </w:tcPr>
          <w:p w14:paraId="4A6C5BC2"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403.4</w:t>
            </w:r>
          </w:p>
        </w:tc>
        <w:tc>
          <w:tcPr>
            <w:tcW w:w="598" w:type="pct"/>
            <w:tcBorders>
              <w:top w:val="nil"/>
              <w:left w:val="nil"/>
              <w:bottom w:val="single" w:sz="4" w:space="0" w:color="auto"/>
              <w:right w:val="single" w:sz="4" w:space="0" w:color="auto"/>
            </w:tcBorders>
            <w:vAlign w:val="center"/>
            <w:hideMark/>
          </w:tcPr>
          <w:p w14:paraId="3A090C1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134.5</w:t>
            </w:r>
          </w:p>
        </w:tc>
      </w:tr>
      <w:tr w:rsidR="009B659C" w:rsidRPr="00DA554C" w14:paraId="317218E7" w14:textId="77777777" w:rsidTr="009B659C">
        <w:trPr>
          <w:trHeight w:val="300"/>
        </w:trPr>
        <w:tc>
          <w:tcPr>
            <w:tcW w:w="5000" w:type="pct"/>
            <w:gridSpan w:val="5"/>
            <w:tcBorders>
              <w:top w:val="single" w:sz="4" w:space="0" w:color="auto"/>
              <w:left w:val="single" w:sz="4" w:space="0" w:color="auto"/>
              <w:bottom w:val="nil"/>
              <w:right w:val="single" w:sz="4" w:space="0" w:color="auto"/>
            </w:tcBorders>
            <w:shd w:val="clear" w:color="000000" w:fill="F2F2F2"/>
            <w:noWrap/>
            <w:vAlign w:val="center"/>
            <w:hideMark/>
          </w:tcPr>
          <w:p w14:paraId="722285C0" w14:textId="64E57D92" w:rsidR="009B659C" w:rsidRPr="009B659C" w:rsidRDefault="009B659C" w:rsidP="009B659C">
            <w:pPr>
              <w:rPr>
                <w:rFonts w:ascii="Times New Roman" w:hAnsi="Times New Roman"/>
                <w:sz w:val="18"/>
                <w:szCs w:val="18"/>
                <w:lang w:eastAsia="ko-KR"/>
              </w:rPr>
            </w:pPr>
            <w:r w:rsidRPr="009B659C">
              <w:rPr>
                <w:rFonts w:ascii="Arial" w:hAnsi="Arial" w:cs="Arial"/>
                <w:b/>
                <w:bCs/>
                <w:color w:val="000000"/>
                <w:sz w:val="18"/>
                <w:szCs w:val="18"/>
                <w:lang w:eastAsia="ko-KR"/>
              </w:rPr>
              <w:lastRenderedPageBreak/>
              <w:t>Part 4—Administrative fee</w:t>
            </w:r>
          </w:p>
        </w:tc>
      </w:tr>
      <w:tr w:rsidR="00DA554C" w:rsidRPr="00DA554C" w14:paraId="1C856A0D" w14:textId="77777777" w:rsidTr="009B659C">
        <w:trPr>
          <w:trHeight w:val="285"/>
        </w:trPr>
        <w:tc>
          <w:tcPr>
            <w:tcW w:w="346" w:type="pct"/>
            <w:tcBorders>
              <w:top w:val="single" w:sz="4" w:space="0" w:color="auto"/>
              <w:left w:val="single" w:sz="4" w:space="0" w:color="auto"/>
              <w:bottom w:val="nil"/>
              <w:right w:val="nil"/>
            </w:tcBorders>
            <w:noWrap/>
            <w:vAlign w:val="center"/>
            <w:hideMark/>
          </w:tcPr>
          <w:p w14:paraId="01321D07"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29</w:t>
            </w:r>
          </w:p>
        </w:tc>
        <w:tc>
          <w:tcPr>
            <w:tcW w:w="3052" w:type="pct"/>
            <w:tcBorders>
              <w:top w:val="single" w:sz="4" w:space="0" w:color="auto"/>
              <w:left w:val="single" w:sz="4" w:space="0" w:color="auto"/>
              <w:bottom w:val="nil"/>
              <w:right w:val="nil"/>
            </w:tcBorders>
            <w:vAlign w:val="center"/>
            <w:hideMark/>
          </w:tcPr>
          <w:p w14:paraId="7A90577A"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purposes of section 144(4) of the Act</w:t>
            </w:r>
          </w:p>
        </w:tc>
        <w:tc>
          <w:tcPr>
            <w:tcW w:w="521" w:type="pct"/>
            <w:tcBorders>
              <w:top w:val="single" w:sz="4" w:space="0" w:color="auto"/>
              <w:left w:val="nil"/>
              <w:bottom w:val="nil"/>
              <w:right w:val="nil"/>
            </w:tcBorders>
            <w:vAlign w:val="center"/>
            <w:hideMark/>
          </w:tcPr>
          <w:p w14:paraId="0E78DD8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301.3</w:t>
            </w:r>
          </w:p>
        </w:tc>
        <w:tc>
          <w:tcPr>
            <w:tcW w:w="483" w:type="pct"/>
            <w:tcBorders>
              <w:top w:val="single" w:sz="4" w:space="0" w:color="auto"/>
              <w:left w:val="nil"/>
              <w:bottom w:val="nil"/>
              <w:right w:val="nil"/>
            </w:tcBorders>
            <w:vAlign w:val="center"/>
            <w:hideMark/>
          </w:tcPr>
          <w:p w14:paraId="4DD77350"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301.3</w:t>
            </w:r>
          </w:p>
        </w:tc>
        <w:tc>
          <w:tcPr>
            <w:tcW w:w="598" w:type="pct"/>
            <w:tcBorders>
              <w:top w:val="single" w:sz="4" w:space="0" w:color="auto"/>
              <w:left w:val="nil"/>
              <w:bottom w:val="nil"/>
              <w:right w:val="single" w:sz="4" w:space="0" w:color="auto"/>
            </w:tcBorders>
            <w:vAlign w:val="center"/>
            <w:hideMark/>
          </w:tcPr>
          <w:p w14:paraId="5D6F93C9"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33.1</w:t>
            </w:r>
          </w:p>
        </w:tc>
      </w:tr>
      <w:tr w:rsidR="00DA554C" w:rsidRPr="00DA554C" w14:paraId="530E39BC" w14:textId="77777777" w:rsidTr="009B659C">
        <w:trPr>
          <w:trHeight w:val="285"/>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45423B0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w:t>
            </w:r>
          </w:p>
        </w:tc>
        <w:tc>
          <w:tcPr>
            <w:tcW w:w="3052" w:type="pct"/>
            <w:tcBorders>
              <w:top w:val="single" w:sz="4" w:space="0" w:color="auto"/>
              <w:left w:val="single" w:sz="4" w:space="0" w:color="auto"/>
              <w:bottom w:val="single" w:sz="4" w:space="0" w:color="auto"/>
              <w:right w:val="nil"/>
            </w:tcBorders>
            <w:vAlign w:val="center"/>
            <w:hideMark/>
          </w:tcPr>
          <w:p w14:paraId="18DE7DBE"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purposes of section 145(2) of the Act</w:t>
            </w:r>
          </w:p>
        </w:tc>
        <w:tc>
          <w:tcPr>
            <w:tcW w:w="521" w:type="pct"/>
            <w:tcBorders>
              <w:top w:val="single" w:sz="4" w:space="0" w:color="auto"/>
              <w:left w:val="nil"/>
              <w:bottom w:val="single" w:sz="4" w:space="0" w:color="auto"/>
              <w:right w:val="nil"/>
            </w:tcBorders>
            <w:vAlign w:val="center"/>
            <w:hideMark/>
          </w:tcPr>
          <w:p w14:paraId="2A8A967A"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193.5</w:t>
            </w:r>
          </w:p>
        </w:tc>
        <w:tc>
          <w:tcPr>
            <w:tcW w:w="483" w:type="pct"/>
            <w:tcBorders>
              <w:top w:val="single" w:sz="4" w:space="0" w:color="auto"/>
              <w:left w:val="nil"/>
              <w:bottom w:val="single" w:sz="4" w:space="0" w:color="auto"/>
              <w:right w:val="nil"/>
            </w:tcBorders>
            <w:vAlign w:val="center"/>
            <w:hideMark/>
          </w:tcPr>
          <w:p w14:paraId="21BB7F7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193.5</w:t>
            </w:r>
          </w:p>
        </w:tc>
        <w:tc>
          <w:tcPr>
            <w:tcW w:w="598" w:type="pct"/>
            <w:tcBorders>
              <w:top w:val="single" w:sz="4" w:space="0" w:color="auto"/>
              <w:left w:val="nil"/>
              <w:bottom w:val="single" w:sz="4" w:space="0" w:color="auto"/>
              <w:right w:val="single" w:sz="4" w:space="0" w:color="auto"/>
            </w:tcBorders>
            <w:vAlign w:val="center"/>
            <w:hideMark/>
          </w:tcPr>
          <w:p w14:paraId="3116CEF4"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21.3</w:t>
            </w:r>
          </w:p>
        </w:tc>
      </w:tr>
      <w:tr w:rsidR="00DA554C" w:rsidRPr="00DA554C" w14:paraId="1B36B65C" w14:textId="77777777" w:rsidTr="009B659C">
        <w:trPr>
          <w:trHeight w:val="285"/>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63C9CBFE"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31</w:t>
            </w:r>
          </w:p>
        </w:tc>
        <w:tc>
          <w:tcPr>
            <w:tcW w:w="3052" w:type="pct"/>
            <w:tcBorders>
              <w:top w:val="single" w:sz="4" w:space="0" w:color="auto"/>
              <w:left w:val="single" w:sz="4" w:space="0" w:color="auto"/>
              <w:bottom w:val="nil"/>
              <w:right w:val="nil"/>
            </w:tcBorders>
            <w:vAlign w:val="center"/>
            <w:hideMark/>
          </w:tcPr>
          <w:p w14:paraId="4FA3C24A"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purposes of section 146(3) of the Act</w:t>
            </w:r>
          </w:p>
        </w:tc>
        <w:tc>
          <w:tcPr>
            <w:tcW w:w="521" w:type="pct"/>
            <w:tcBorders>
              <w:top w:val="nil"/>
              <w:left w:val="nil"/>
              <w:bottom w:val="single" w:sz="4" w:space="0" w:color="auto"/>
              <w:right w:val="nil"/>
            </w:tcBorders>
            <w:vAlign w:val="center"/>
            <w:hideMark/>
          </w:tcPr>
          <w:p w14:paraId="586163C1"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301.3</w:t>
            </w:r>
          </w:p>
        </w:tc>
        <w:tc>
          <w:tcPr>
            <w:tcW w:w="483" w:type="pct"/>
            <w:tcBorders>
              <w:top w:val="nil"/>
              <w:left w:val="nil"/>
              <w:bottom w:val="single" w:sz="4" w:space="0" w:color="auto"/>
              <w:right w:val="nil"/>
            </w:tcBorders>
            <w:vAlign w:val="center"/>
            <w:hideMark/>
          </w:tcPr>
          <w:p w14:paraId="2B3CB8E8"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301.3</w:t>
            </w:r>
          </w:p>
        </w:tc>
        <w:tc>
          <w:tcPr>
            <w:tcW w:w="598" w:type="pct"/>
            <w:tcBorders>
              <w:top w:val="nil"/>
              <w:left w:val="nil"/>
              <w:bottom w:val="single" w:sz="4" w:space="0" w:color="auto"/>
              <w:right w:val="single" w:sz="4" w:space="0" w:color="auto"/>
            </w:tcBorders>
            <w:vAlign w:val="center"/>
            <w:hideMark/>
          </w:tcPr>
          <w:p w14:paraId="538E754C"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33.1</w:t>
            </w:r>
          </w:p>
        </w:tc>
      </w:tr>
      <w:tr w:rsidR="00DA554C" w:rsidRPr="00DA554C" w14:paraId="77E700CB" w14:textId="77777777" w:rsidTr="009B659C">
        <w:trPr>
          <w:trHeight w:val="285"/>
        </w:trPr>
        <w:tc>
          <w:tcPr>
            <w:tcW w:w="346" w:type="pct"/>
            <w:tcBorders>
              <w:top w:val="single" w:sz="4" w:space="0" w:color="auto"/>
              <w:left w:val="single" w:sz="4" w:space="0" w:color="auto"/>
              <w:bottom w:val="single" w:sz="4" w:space="0" w:color="auto"/>
              <w:right w:val="single" w:sz="4" w:space="0" w:color="auto"/>
            </w:tcBorders>
            <w:noWrap/>
            <w:vAlign w:val="center"/>
            <w:hideMark/>
          </w:tcPr>
          <w:p w14:paraId="1CFEA16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32</w:t>
            </w:r>
          </w:p>
        </w:tc>
        <w:tc>
          <w:tcPr>
            <w:tcW w:w="3052" w:type="pct"/>
            <w:tcBorders>
              <w:top w:val="single" w:sz="4" w:space="0" w:color="auto"/>
              <w:left w:val="single" w:sz="4" w:space="0" w:color="auto"/>
              <w:bottom w:val="single" w:sz="4" w:space="0" w:color="auto"/>
              <w:right w:val="nil"/>
            </w:tcBorders>
            <w:vAlign w:val="center"/>
            <w:hideMark/>
          </w:tcPr>
          <w:p w14:paraId="6F834FF9" w14:textId="77777777" w:rsidR="00DA554C" w:rsidRPr="00DA554C" w:rsidRDefault="00DA554C" w:rsidP="00DA554C">
            <w:pPr>
              <w:rPr>
                <w:rFonts w:ascii="Arial" w:hAnsi="Arial" w:cs="Arial"/>
                <w:color w:val="000000"/>
                <w:sz w:val="18"/>
                <w:szCs w:val="18"/>
                <w:lang w:eastAsia="ko-KR"/>
              </w:rPr>
            </w:pPr>
            <w:r w:rsidRPr="00DA554C">
              <w:rPr>
                <w:rFonts w:ascii="Arial" w:hAnsi="Arial" w:cs="Arial"/>
                <w:color w:val="000000"/>
                <w:sz w:val="18"/>
                <w:szCs w:val="18"/>
                <w:lang w:eastAsia="ko-KR"/>
              </w:rPr>
              <w:t>For the issue of a summons under the Act or any enabling enactment</w:t>
            </w:r>
          </w:p>
        </w:tc>
        <w:tc>
          <w:tcPr>
            <w:tcW w:w="521" w:type="pct"/>
            <w:tcBorders>
              <w:top w:val="nil"/>
              <w:left w:val="nil"/>
              <w:bottom w:val="single" w:sz="4" w:space="0" w:color="auto"/>
              <w:right w:val="nil"/>
            </w:tcBorders>
            <w:vAlign w:val="center"/>
            <w:hideMark/>
          </w:tcPr>
          <w:p w14:paraId="1B9FF5F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59.5</w:t>
            </w:r>
          </w:p>
        </w:tc>
        <w:tc>
          <w:tcPr>
            <w:tcW w:w="483" w:type="pct"/>
            <w:tcBorders>
              <w:top w:val="nil"/>
              <w:left w:val="nil"/>
              <w:bottom w:val="single" w:sz="4" w:space="0" w:color="auto"/>
              <w:right w:val="nil"/>
            </w:tcBorders>
            <w:vAlign w:val="center"/>
            <w:hideMark/>
          </w:tcPr>
          <w:p w14:paraId="62AB33BB"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59.5</w:t>
            </w:r>
          </w:p>
        </w:tc>
        <w:tc>
          <w:tcPr>
            <w:tcW w:w="598" w:type="pct"/>
            <w:tcBorders>
              <w:top w:val="nil"/>
              <w:left w:val="nil"/>
              <w:bottom w:val="single" w:sz="4" w:space="0" w:color="auto"/>
              <w:right w:val="single" w:sz="4" w:space="0" w:color="auto"/>
            </w:tcBorders>
            <w:vAlign w:val="center"/>
            <w:hideMark/>
          </w:tcPr>
          <w:p w14:paraId="5CEC7F93" w14:textId="77777777" w:rsidR="00DA554C" w:rsidRPr="00DA554C" w:rsidRDefault="00DA554C" w:rsidP="00DA554C">
            <w:pPr>
              <w:jc w:val="center"/>
              <w:rPr>
                <w:rFonts w:ascii="Arial" w:hAnsi="Arial" w:cs="Arial"/>
                <w:color w:val="000000"/>
                <w:sz w:val="18"/>
                <w:szCs w:val="18"/>
                <w:lang w:eastAsia="ko-KR"/>
              </w:rPr>
            </w:pPr>
            <w:r w:rsidRPr="00DA554C">
              <w:rPr>
                <w:rFonts w:ascii="Arial" w:hAnsi="Arial" w:cs="Arial"/>
                <w:color w:val="000000"/>
                <w:sz w:val="18"/>
                <w:szCs w:val="18"/>
                <w:lang w:eastAsia="ko-KR"/>
              </w:rPr>
              <w:t>6.5</w:t>
            </w:r>
          </w:p>
        </w:tc>
      </w:tr>
    </w:tbl>
    <w:p w14:paraId="332DC153" w14:textId="77777777" w:rsidR="00E11A60" w:rsidRDefault="00E11A60">
      <w:pPr>
        <w:rPr>
          <w:rFonts w:ascii="Arial" w:eastAsia="Times" w:hAnsi="Arial"/>
          <w:sz w:val="22"/>
        </w:rPr>
      </w:pPr>
    </w:p>
    <w:p w14:paraId="37EE568F" w14:textId="0129945F" w:rsidR="00E11A60" w:rsidRDefault="00E11A60">
      <w:pPr>
        <w:rPr>
          <w:rFonts w:ascii="Arial" w:eastAsia="Times" w:hAnsi="Arial"/>
          <w:sz w:val="22"/>
        </w:rPr>
      </w:pPr>
      <w:r>
        <w:rPr>
          <w:rFonts w:ascii="Arial" w:eastAsia="Times" w:hAnsi="Arial"/>
          <w:sz w:val="22"/>
        </w:rPr>
        <w:br w:type="page"/>
      </w:r>
    </w:p>
    <w:p w14:paraId="330B6A9D" w14:textId="5FED1821" w:rsidR="00DF67D1" w:rsidRDefault="00DF67D1" w:rsidP="00DF67D1">
      <w:pPr>
        <w:pStyle w:val="Heading1"/>
      </w:pPr>
      <w:bookmarkStart w:id="136" w:name="_Appendix_C"/>
      <w:bookmarkStart w:id="137" w:name="_Toc216179732"/>
      <w:bookmarkEnd w:id="136"/>
      <w:r>
        <w:lastRenderedPageBreak/>
        <w:t>Appendix C</w:t>
      </w:r>
      <w:r w:rsidR="00534658" w:rsidRPr="00534658">
        <w:t xml:space="preserve"> – </w:t>
      </w:r>
      <w:r w:rsidR="00C74513">
        <w:t>Proposed Fees Option 3</w:t>
      </w:r>
      <w:bookmarkEnd w:id="137"/>
    </w:p>
    <w:p w14:paraId="0420AE33" w14:textId="1975A19B" w:rsidR="00B711A8" w:rsidRDefault="00B711A8" w:rsidP="001761B8">
      <w:pPr>
        <w:pStyle w:val="DJCStablecaption"/>
        <w:ind w:left="0"/>
        <w:rPr>
          <w:rFonts w:eastAsia="Times"/>
        </w:rPr>
      </w:pPr>
      <w:r w:rsidRPr="00C329DD">
        <w:t>Table 2</w:t>
      </w:r>
      <w:r w:rsidR="00E16D08">
        <w:t>4</w:t>
      </w:r>
      <w:r w:rsidRPr="00C329DD">
        <w:t>: Outline of current fees charged for VCAT services</w:t>
      </w:r>
      <w:r>
        <w:t xml:space="preserve"> under Option 3</w:t>
      </w:r>
    </w:p>
    <w:tbl>
      <w:tblPr>
        <w:tblW w:w="5000" w:type="pct"/>
        <w:tblLayout w:type="fixed"/>
        <w:tblCellMar>
          <w:top w:w="15" w:type="dxa"/>
          <w:bottom w:w="15" w:type="dxa"/>
        </w:tblCellMar>
        <w:tblLook w:val="04A0" w:firstRow="1" w:lastRow="0" w:firstColumn="1" w:lastColumn="0" w:noHBand="0" w:noVBand="1"/>
      </w:tblPr>
      <w:tblGrid>
        <w:gridCol w:w="727"/>
        <w:gridCol w:w="5789"/>
        <w:gridCol w:w="1276"/>
        <w:gridCol w:w="1274"/>
        <w:gridCol w:w="1272"/>
      </w:tblGrid>
      <w:tr w:rsidR="00F41C4E" w:rsidRPr="00007A97" w14:paraId="0791064A" w14:textId="77777777" w:rsidTr="00F41C4E">
        <w:trPr>
          <w:trHeight w:val="285"/>
          <w:tblHeader/>
        </w:trPr>
        <w:tc>
          <w:tcPr>
            <w:tcW w:w="352" w:type="pct"/>
            <w:tcBorders>
              <w:top w:val="nil"/>
              <w:left w:val="single" w:sz="4" w:space="0" w:color="auto"/>
              <w:bottom w:val="nil"/>
              <w:right w:val="nil"/>
            </w:tcBorders>
            <w:shd w:val="clear" w:color="000000" w:fill="002060"/>
            <w:vAlign w:val="center"/>
            <w:hideMark/>
          </w:tcPr>
          <w:p w14:paraId="358D1C9C" w14:textId="77777777" w:rsidR="00007A97" w:rsidRPr="00007A97" w:rsidRDefault="00007A97" w:rsidP="00007A97">
            <w:pPr>
              <w:jc w:val="center"/>
              <w:rPr>
                <w:rFonts w:ascii="Arial" w:hAnsi="Arial" w:cs="Arial"/>
                <w:b/>
                <w:bCs/>
                <w:i/>
                <w:iCs/>
                <w:color w:val="FFFFFF"/>
                <w:sz w:val="18"/>
                <w:szCs w:val="18"/>
                <w:lang w:eastAsia="ko-KR"/>
              </w:rPr>
            </w:pPr>
            <w:r w:rsidRPr="00007A97">
              <w:rPr>
                <w:rFonts w:ascii="Arial" w:hAnsi="Arial" w:cs="Arial"/>
                <w:b/>
                <w:bCs/>
                <w:i/>
                <w:iCs/>
                <w:color w:val="FFFFFF"/>
                <w:sz w:val="18"/>
                <w:szCs w:val="18"/>
                <w:lang w:eastAsia="ko-KR"/>
              </w:rPr>
              <w:t>Item No.</w:t>
            </w:r>
          </w:p>
        </w:tc>
        <w:tc>
          <w:tcPr>
            <w:tcW w:w="2800" w:type="pct"/>
            <w:tcBorders>
              <w:top w:val="nil"/>
              <w:left w:val="single" w:sz="4" w:space="0" w:color="auto"/>
              <w:bottom w:val="nil"/>
              <w:right w:val="nil"/>
            </w:tcBorders>
            <w:shd w:val="clear" w:color="000000" w:fill="002060"/>
            <w:vAlign w:val="center"/>
            <w:hideMark/>
          </w:tcPr>
          <w:p w14:paraId="018F4B3E" w14:textId="77777777" w:rsidR="00007A97" w:rsidRPr="00007A97" w:rsidRDefault="00007A97" w:rsidP="00007A97">
            <w:pPr>
              <w:jc w:val="center"/>
              <w:rPr>
                <w:rFonts w:ascii="Arial" w:hAnsi="Arial" w:cs="Arial"/>
                <w:b/>
                <w:bCs/>
                <w:i/>
                <w:iCs/>
                <w:color w:val="FFFFFF"/>
                <w:sz w:val="18"/>
                <w:szCs w:val="18"/>
                <w:lang w:eastAsia="ko-KR"/>
              </w:rPr>
            </w:pPr>
            <w:r w:rsidRPr="00007A97">
              <w:rPr>
                <w:rFonts w:ascii="Arial" w:hAnsi="Arial" w:cs="Arial"/>
                <w:b/>
                <w:bCs/>
                <w:i/>
                <w:iCs/>
                <w:color w:val="FFFFFF"/>
                <w:sz w:val="18"/>
                <w:szCs w:val="18"/>
                <w:lang w:eastAsia="ko-KR"/>
              </w:rPr>
              <w:t>Enactment</w:t>
            </w:r>
          </w:p>
        </w:tc>
        <w:tc>
          <w:tcPr>
            <w:tcW w:w="617" w:type="pct"/>
            <w:tcBorders>
              <w:top w:val="nil"/>
              <w:left w:val="single" w:sz="4" w:space="0" w:color="auto"/>
              <w:bottom w:val="nil"/>
              <w:right w:val="nil"/>
            </w:tcBorders>
            <w:shd w:val="clear" w:color="000000" w:fill="002060"/>
            <w:vAlign w:val="center"/>
            <w:hideMark/>
          </w:tcPr>
          <w:p w14:paraId="71463055" w14:textId="77777777" w:rsidR="00007A97" w:rsidRPr="00007A97" w:rsidRDefault="00007A97" w:rsidP="00007A97">
            <w:pPr>
              <w:jc w:val="center"/>
              <w:rPr>
                <w:rFonts w:ascii="Arial" w:hAnsi="Arial" w:cs="Arial"/>
                <w:b/>
                <w:bCs/>
                <w:i/>
                <w:iCs/>
                <w:color w:val="FFFFFF"/>
                <w:sz w:val="18"/>
                <w:szCs w:val="18"/>
                <w:lang w:eastAsia="ko-KR"/>
              </w:rPr>
            </w:pPr>
            <w:r w:rsidRPr="00007A97">
              <w:rPr>
                <w:rFonts w:ascii="Arial" w:hAnsi="Arial" w:cs="Arial"/>
                <w:b/>
                <w:bCs/>
                <w:i/>
                <w:iCs/>
                <w:color w:val="FFFFFF"/>
                <w:sz w:val="18"/>
                <w:szCs w:val="18"/>
                <w:lang w:eastAsia="ko-KR"/>
              </w:rPr>
              <w:t>Fee payable ($)</w:t>
            </w:r>
          </w:p>
        </w:tc>
        <w:tc>
          <w:tcPr>
            <w:tcW w:w="616" w:type="pct"/>
            <w:tcBorders>
              <w:top w:val="nil"/>
              <w:left w:val="single" w:sz="4" w:space="0" w:color="auto"/>
              <w:bottom w:val="nil"/>
              <w:right w:val="nil"/>
            </w:tcBorders>
            <w:shd w:val="clear" w:color="000000" w:fill="002060"/>
            <w:vAlign w:val="center"/>
            <w:hideMark/>
          </w:tcPr>
          <w:p w14:paraId="2CB93088" w14:textId="77777777" w:rsidR="00007A97" w:rsidRPr="00007A97" w:rsidRDefault="00007A97" w:rsidP="00007A97">
            <w:pPr>
              <w:jc w:val="center"/>
              <w:rPr>
                <w:rFonts w:ascii="Arial" w:hAnsi="Arial" w:cs="Arial"/>
                <w:b/>
                <w:bCs/>
                <w:i/>
                <w:iCs/>
                <w:color w:val="FFFFFF"/>
                <w:sz w:val="18"/>
                <w:szCs w:val="18"/>
                <w:lang w:eastAsia="ko-KR"/>
              </w:rPr>
            </w:pPr>
            <w:r w:rsidRPr="00007A97">
              <w:rPr>
                <w:rFonts w:ascii="Arial" w:hAnsi="Arial" w:cs="Arial"/>
                <w:b/>
                <w:bCs/>
                <w:i/>
                <w:iCs/>
                <w:color w:val="FFFFFF"/>
                <w:sz w:val="18"/>
                <w:szCs w:val="18"/>
                <w:lang w:eastAsia="ko-KR"/>
              </w:rPr>
              <w:t>Fee payable ($)</w:t>
            </w:r>
          </w:p>
        </w:tc>
        <w:tc>
          <w:tcPr>
            <w:tcW w:w="615" w:type="pct"/>
            <w:tcBorders>
              <w:top w:val="nil"/>
              <w:left w:val="single" w:sz="4" w:space="0" w:color="auto"/>
              <w:bottom w:val="nil"/>
              <w:right w:val="single" w:sz="4" w:space="0" w:color="auto"/>
            </w:tcBorders>
            <w:shd w:val="clear" w:color="000000" w:fill="002060"/>
            <w:vAlign w:val="center"/>
            <w:hideMark/>
          </w:tcPr>
          <w:p w14:paraId="578795F7" w14:textId="77777777" w:rsidR="00007A97" w:rsidRPr="00007A97" w:rsidRDefault="00007A97" w:rsidP="00007A97">
            <w:pPr>
              <w:jc w:val="center"/>
              <w:rPr>
                <w:rFonts w:ascii="Arial" w:hAnsi="Arial" w:cs="Arial"/>
                <w:b/>
                <w:bCs/>
                <w:i/>
                <w:iCs/>
                <w:color w:val="FFFFFF"/>
                <w:sz w:val="18"/>
                <w:szCs w:val="18"/>
                <w:lang w:eastAsia="ko-KR"/>
              </w:rPr>
            </w:pPr>
            <w:r w:rsidRPr="00007A97">
              <w:rPr>
                <w:rFonts w:ascii="Arial" w:hAnsi="Arial" w:cs="Arial"/>
                <w:b/>
                <w:bCs/>
                <w:i/>
                <w:iCs/>
                <w:color w:val="FFFFFF"/>
                <w:sz w:val="18"/>
                <w:szCs w:val="18"/>
                <w:lang w:eastAsia="ko-KR"/>
              </w:rPr>
              <w:t>Fee payable ($)</w:t>
            </w:r>
          </w:p>
        </w:tc>
      </w:tr>
      <w:tr w:rsidR="00F41C4E" w:rsidRPr="00007A97" w14:paraId="454C3E4E" w14:textId="77777777" w:rsidTr="00F41C4E">
        <w:trPr>
          <w:trHeight w:val="285"/>
          <w:tblHeader/>
        </w:trPr>
        <w:tc>
          <w:tcPr>
            <w:tcW w:w="352" w:type="pct"/>
            <w:tcBorders>
              <w:top w:val="nil"/>
              <w:left w:val="single" w:sz="4" w:space="0" w:color="auto"/>
              <w:bottom w:val="single" w:sz="4" w:space="0" w:color="auto"/>
              <w:right w:val="nil"/>
            </w:tcBorders>
            <w:shd w:val="clear" w:color="000000" w:fill="002060"/>
            <w:vAlign w:val="center"/>
            <w:hideMark/>
          </w:tcPr>
          <w:p w14:paraId="61AB0B63" w14:textId="77777777" w:rsidR="00007A97" w:rsidRPr="00007A97" w:rsidRDefault="00007A97" w:rsidP="00007A97">
            <w:pPr>
              <w:jc w:val="center"/>
              <w:rPr>
                <w:rFonts w:ascii="Arial" w:hAnsi="Arial" w:cs="Arial"/>
                <w:b/>
                <w:bCs/>
                <w:i/>
                <w:iCs/>
                <w:color w:val="FFFFFF"/>
                <w:sz w:val="18"/>
                <w:szCs w:val="18"/>
                <w:lang w:eastAsia="ko-KR"/>
              </w:rPr>
            </w:pPr>
          </w:p>
        </w:tc>
        <w:tc>
          <w:tcPr>
            <w:tcW w:w="2800" w:type="pct"/>
            <w:tcBorders>
              <w:top w:val="nil"/>
              <w:left w:val="single" w:sz="4" w:space="0" w:color="auto"/>
              <w:bottom w:val="single" w:sz="4" w:space="0" w:color="auto"/>
              <w:right w:val="nil"/>
            </w:tcBorders>
            <w:shd w:val="clear" w:color="000000" w:fill="002060"/>
            <w:hideMark/>
          </w:tcPr>
          <w:p w14:paraId="79E0D23E" w14:textId="77777777" w:rsidR="00007A97" w:rsidRPr="00007A97" w:rsidRDefault="00007A97" w:rsidP="00007A97">
            <w:pPr>
              <w:jc w:val="center"/>
              <w:rPr>
                <w:rFonts w:ascii="Times New Roman" w:hAnsi="Times New Roman"/>
                <w:lang w:eastAsia="ko-KR"/>
              </w:rPr>
            </w:pPr>
          </w:p>
        </w:tc>
        <w:tc>
          <w:tcPr>
            <w:tcW w:w="617" w:type="pct"/>
            <w:tcBorders>
              <w:top w:val="nil"/>
              <w:left w:val="single" w:sz="4" w:space="0" w:color="auto"/>
              <w:bottom w:val="single" w:sz="4" w:space="0" w:color="auto"/>
              <w:right w:val="nil"/>
            </w:tcBorders>
            <w:shd w:val="clear" w:color="000000" w:fill="002060"/>
            <w:vAlign w:val="center"/>
            <w:hideMark/>
          </w:tcPr>
          <w:p w14:paraId="40EE8956" w14:textId="77777777" w:rsidR="00007A97" w:rsidRPr="00007A97" w:rsidRDefault="00007A97" w:rsidP="00007A97">
            <w:pPr>
              <w:jc w:val="center"/>
              <w:rPr>
                <w:rFonts w:ascii="Arial" w:hAnsi="Arial" w:cs="Arial"/>
                <w:b/>
                <w:bCs/>
                <w:i/>
                <w:iCs/>
                <w:color w:val="FFFFFF"/>
                <w:sz w:val="18"/>
                <w:szCs w:val="18"/>
                <w:lang w:eastAsia="ko-KR"/>
              </w:rPr>
            </w:pPr>
            <w:r w:rsidRPr="00007A97">
              <w:rPr>
                <w:rFonts w:ascii="Arial" w:hAnsi="Arial" w:cs="Arial"/>
                <w:b/>
                <w:bCs/>
                <w:i/>
                <w:iCs/>
                <w:color w:val="FFFFFF"/>
                <w:sz w:val="18"/>
                <w:szCs w:val="18"/>
                <w:lang w:eastAsia="ko-KR"/>
              </w:rPr>
              <w:t>Corporate</w:t>
            </w:r>
          </w:p>
        </w:tc>
        <w:tc>
          <w:tcPr>
            <w:tcW w:w="616" w:type="pct"/>
            <w:tcBorders>
              <w:top w:val="nil"/>
              <w:left w:val="single" w:sz="4" w:space="0" w:color="auto"/>
              <w:bottom w:val="single" w:sz="4" w:space="0" w:color="auto"/>
              <w:right w:val="nil"/>
            </w:tcBorders>
            <w:shd w:val="clear" w:color="000000" w:fill="002060"/>
            <w:vAlign w:val="center"/>
            <w:hideMark/>
          </w:tcPr>
          <w:p w14:paraId="1A1788FA" w14:textId="77777777" w:rsidR="00007A97" w:rsidRPr="00007A97" w:rsidRDefault="00007A97" w:rsidP="00007A97">
            <w:pPr>
              <w:jc w:val="center"/>
              <w:rPr>
                <w:rFonts w:ascii="Arial" w:hAnsi="Arial" w:cs="Arial"/>
                <w:b/>
                <w:bCs/>
                <w:i/>
                <w:iCs/>
                <w:color w:val="FFFFFF"/>
                <w:sz w:val="18"/>
                <w:szCs w:val="18"/>
                <w:lang w:eastAsia="ko-KR"/>
              </w:rPr>
            </w:pPr>
            <w:r w:rsidRPr="00007A97">
              <w:rPr>
                <w:rFonts w:ascii="Arial" w:hAnsi="Arial" w:cs="Arial"/>
                <w:b/>
                <w:bCs/>
                <w:i/>
                <w:iCs/>
                <w:color w:val="FFFFFF"/>
                <w:sz w:val="18"/>
                <w:szCs w:val="18"/>
                <w:lang w:eastAsia="ko-KR"/>
              </w:rPr>
              <w:t>Standard</w:t>
            </w:r>
          </w:p>
        </w:tc>
        <w:tc>
          <w:tcPr>
            <w:tcW w:w="615" w:type="pct"/>
            <w:tcBorders>
              <w:top w:val="nil"/>
              <w:left w:val="single" w:sz="4" w:space="0" w:color="auto"/>
              <w:bottom w:val="single" w:sz="4" w:space="0" w:color="auto"/>
              <w:right w:val="single" w:sz="4" w:space="0" w:color="auto"/>
            </w:tcBorders>
            <w:shd w:val="clear" w:color="000000" w:fill="002060"/>
            <w:vAlign w:val="center"/>
            <w:hideMark/>
          </w:tcPr>
          <w:p w14:paraId="13EEA568" w14:textId="77777777" w:rsidR="00007A97" w:rsidRPr="00007A97" w:rsidRDefault="00007A97" w:rsidP="00007A97">
            <w:pPr>
              <w:jc w:val="center"/>
              <w:rPr>
                <w:rFonts w:ascii="Arial" w:hAnsi="Arial" w:cs="Arial"/>
                <w:b/>
                <w:bCs/>
                <w:i/>
                <w:iCs/>
                <w:color w:val="FFFFFF"/>
                <w:sz w:val="18"/>
                <w:szCs w:val="18"/>
                <w:lang w:eastAsia="ko-KR"/>
              </w:rPr>
            </w:pPr>
            <w:r w:rsidRPr="00007A97">
              <w:rPr>
                <w:rFonts w:ascii="Arial" w:hAnsi="Arial" w:cs="Arial"/>
                <w:b/>
                <w:bCs/>
                <w:i/>
                <w:iCs/>
                <w:color w:val="FFFFFF"/>
                <w:sz w:val="18"/>
                <w:szCs w:val="18"/>
                <w:lang w:eastAsia="ko-KR"/>
              </w:rPr>
              <w:t>Concession</w:t>
            </w:r>
          </w:p>
        </w:tc>
      </w:tr>
      <w:tr w:rsidR="009B659C" w:rsidRPr="00007A97" w14:paraId="3244E108" w14:textId="77777777" w:rsidTr="009B659C">
        <w:trPr>
          <w:trHeight w:val="300"/>
        </w:trPr>
        <w:tc>
          <w:tcPr>
            <w:tcW w:w="4385" w:type="pct"/>
            <w:gridSpan w:val="4"/>
            <w:tcBorders>
              <w:top w:val="nil"/>
              <w:left w:val="single" w:sz="4" w:space="0" w:color="auto"/>
              <w:bottom w:val="single" w:sz="4" w:space="0" w:color="auto"/>
              <w:right w:val="nil"/>
            </w:tcBorders>
            <w:shd w:val="clear" w:color="000000" w:fill="F2F2F2"/>
            <w:noWrap/>
            <w:vAlign w:val="center"/>
            <w:hideMark/>
          </w:tcPr>
          <w:p w14:paraId="5E2DDA81" w14:textId="568261A6" w:rsidR="009B659C" w:rsidRPr="009B659C" w:rsidRDefault="009B659C" w:rsidP="00007A97">
            <w:pPr>
              <w:rPr>
                <w:rFonts w:ascii="Times New Roman" w:hAnsi="Times New Roman"/>
                <w:b/>
                <w:bCs/>
                <w:sz w:val="18"/>
                <w:szCs w:val="18"/>
                <w:lang w:eastAsia="ko-KR"/>
              </w:rPr>
            </w:pPr>
            <w:r w:rsidRPr="009B659C">
              <w:rPr>
                <w:rFonts w:ascii="Arial" w:hAnsi="Arial" w:cs="Arial"/>
                <w:b/>
                <w:bCs/>
                <w:color w:val="000000"/>
                <w:sz w:val="18"/>
                <w:szCs w:val="18"/>
                <w:lang w:eastAsia="ko-KR"/>
              </w:rPr>
              <w:t>Part 1—Fee for commencement of a proceeding</w:t>
            </w:r>
          </w:p>
        </w:tc>
        <w:tc>
          <w:tcPr>
            <w:tcW w:w="615" w:type="pct"/>
            <w:tcBorders>
              <w:top w:val="nil"/>
              <w:left w:val="nil"/>
              <w:bottom w:val="single" w:sz="4" w:space="0" w:color="auto"/>
              <w:right w:val="single" w:sz="4" w:space="0" w:color="auto"/>
            </w:tcBorders>
            <w:shd w:val="clear" w:color="000000" w:fill="F2F2F2"/>
            <w:vAlign w:val="center"/>
            <w:hideMark/>
          </w:tcPr>
          <w:p w14:paraId="2024790E" w14:textId="77777777" w:rsidR="009B659C" w:rsidRPr="00007A97" w:rsidRDefault="009B659C" w:rsidP="00007A97">
            <w:pPr>
              <w:ind w:firstLineChars="100" w:firstLine="200"/>
              <w:rPr>
                <w:rFonts w:ascii="Times New Roman" w:hAnsi="Times New Roman"/>
                <w:lang w:eastAsia="ko-KR"/>
              </w:rPr>
            </w:pPr>
          </w:p>
        </w:tc>
      </w:tr>
      <w:tr w:rsidR="00F41C4E" w:rsidRPr="00007A97" w14:paraId="2FAA302E"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1779CCA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1.</w:t>
            </w:r>
          </w:p>
        </w:tc>
        <w:tc>
          <w:tcPr>
            <w:tcW w:w="2800" w:type="pct"/>
            <w:tcBorders>
              <w:top w:val="single" w:sz="4" w:space="0" w:color="auto"/>
              <w:left w:val="single" w:sz="4" w:space="0" w:color="auto"/>
              <w:bottom w:val="nil"/>
              <w:right w:val="nil"/>
            </w:tcBorders>
            <w:vAlign w:val="center"/>
            <w:hideMark/>
          </w:tcPr>
          <w:p w14:paraId="36AD9104"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No fee is payable for the commencement of a proceeding under the following enabling enactments or provisions of enabling enactments—</w:t>
            </w:r>
          </w:p>
        </w:tc>
        <w:tc>
          <w:tcPr>
            <w:tcW w:w="617" w:type="pct"/>
            <w:tcBorders>
              <w:top w:val="single" w:sz="4" w:space="0" w:color="auto"/>
              <w:left w:val="single" w:sz="4" w:space="0" w:color="auto"/>
              <w:bottom w:val="nil"/>
              <w:right w:val="nil"/>
            </w:tcBorders>
            <w:vAlign w:val="center"/>
            <w:hideMark/>
          </w:tcPr>
          <w:p w14:paraId="3BA11893"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2E389C3D"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4CCEAC06" w14:textId="77777777" w:rsidR="00007A97" w:rsidRPr="00007A97" w:rsidRDefault="00007A97" w:rsidP="00007A97">
            <w:pPr>
              <w:jc w:val="center"/>
              <w:rPr>
                <w:rFonts w:ascii="Times New Roman" w:hAnsi="Times New Roman"/>
                <w:lang w:eastAsia="ko-KR"/>
              </w:rPr>
            </w:pPr>
          </w:p>
        </w:tc>
      </w:tr>
      <w:tr w:rsidR="00F41C4E" w:rsidRPr="00007A97" w14:paraId="58043C46" w14:textId="77777777" w:rsidTr="00F41C4E">
        <w:trPr>
          <w:trHeight w:val="300"/>
        </w:trPr>
        <w:tc>
          <w:tcPr>
            <w:tcW w:w="352" w:type="pct"/>
            <w:tcBorders>
              <w:top w:val="nil"/>
              <w:left w:val="single" w:sz="4" w:space="0" w:color="auto"/>
              <w:bottom w:val="nil"/>
              <w:right w:val="nil"/>
            </w:tcBorders>
            <w:noWrap/>
            <w:vAlign w:val="center"/>
            <w:hideMark/>
          </w:tcPr>
          <w:p w14:paraId="2F0731E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213031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Aged Care Restrictive Practices Substitute Decision-maker Act 2024</w:t>
            </w:r>
          </w:p>
        </w:tc>
        <w:tc>
          <w:tcPr>
            <w:tcW w:w="617" w:type="pct"/>
            <w:tcBorders>
              <w:top w:val="nil"/>
              <w:left w:val="single" w:sz="4" w:space="0" w:color="auto"/>
              <w:bottom w:val="nil"/>
              <w:right w:val="nil"/>
            </w:tcBorders>
            <w:vAlign w:val="center"/>
            <w:hideMark/>
          </w:tcPr>
          <w:p w14:paraId="6E69CFA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C50657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351E67D" w14:textId="77777777" w:rsidR="00007A97" w:rsidRPr="00007A97" w:rsidRDefault="00007A97" w:rsidP="00007A97">
            <w:pPr>
              <w:jc w:val="center"/>
              <w:rPr>
                <w:rFonts w:ascii="Times New Roman" w:hAnsi="Times New Roman"/>
                <w:lang w:eastAsia="ko-KR"/>
              </w:rPr>
            </w:pPr>
          </w:p>
        </w:tc>
      </w:tr>
      <w:tr w:rsidR="00F41C4E" w:rsidRPr="00007A97" w14:paraId="62BE00DD" w14:textId="77777777" w:rsidTr="00F41C4E">
        <w:trPr>
          <w:trHeight w:val="300"/>
        </w:trPr>
        <w:tc>
          <w:tcPr>
            <w:tcW w:w="352" w:type="pct"/>
            <w:tcBorders>
              <w:top w:val="nil"/>
              <w:left w:val="single" w:sz="4" w:space="0" w:color="auto"/>
              <w:bottom w:val="nil"/>
              <w:right w:val="nil"/>
            </w:tcBorders>
            <w:noWrap/>
            <w:vAlign w:val="center"/>
            <w:hideMark/>
          </w:tcPr>
          <w:p w14:paraId="358934B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BB8A19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Assisted Reproductive Treatment Act 2008</w:t>
            </w:r>
          </w:p>
        </w:tc>
        <w:tc>
          <w:tcPr>
            <w:tcW w:w="617" w:type="pct"/>
            <w:tcBorders>
              <w:top w:val="nil"/>
              <w:left w:val="single" w:sz="4" w:space="0" w:color="auto"/>
              <w:bottom w:val="nil"/>
              <w:right w:val="nil"/>
            </w:tcBorders>
            <w:vAlign w:val="center"/>
            <w:hideMark/>
          </w:tcPr>
          <w:p w14:paraId="251C8F93"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3BCD35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E04A1C0" w14:textId="77777777" w:rsidR="00007A97" w:rsidRPr="00007A97" w:rsidRDefault="00007A97" w:rsidP="00007A97">
            <w:pPr>
              <w:jc w:val="center"/>
              <w:rPr>
                <w:rFonts w:ascii="Times New Roman" w:hAnsi="Times New Roman"/>
                <w:lang w:eastAsia="ko-KR"/>
              </w:rPr>
            </w:pPr>
          </w:p>
        </w:tc>
      </w:tr>
      <w:tr w:rsidR="00F41C4E" w:rsidRPr="00007A97" w14:paraId="1213C9D8" w14:textId="77777777" w:rsidTr="00F41C4E">
        <w:trPr>
          <w:trHeight w:val="300"/>
        </w:trPr>
        <w:tc>
          <w:tcPr>
            <w:tcW w:w="352" w:type="pct"/>
            <w:tcBorders>
              <w:top w:val="nil"/>
              <w:left w:val="single" w:sz="4" w:space="0" w:color="auto"/>
              <w:bottom w:val="nil"/>
              <w:right w:val="nil"/>
            </w:tcBorders>
            <w:noWrap/>
            <w:vAlign w:val="center"/>
            <w:hideMark/>
          </w:tcPr>
          <w:p w14:paraId="2E340E6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E186EE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Children, Youth and Families Act 2005</w:t>
            </w:r>
          </w:p>
        </w:tc>
        <w:tc>
          <w:tcPr>
            <w:tcW w:w="617" w:type="pct"/>
            <w:tcBorders>
              <w:top w:val="nil"/>
              <w:left w:val="single" w:sz="4" w:space="0" w:color="auto"/>
              <w:bottom w:val="nil"/>
              <w:right w:val="nil"/>
            </w:tcBorders>
            <w:vAlign w:val="center"/>
            <w:hideMark/>
          </w:tcPr>
          <w:p w14:paraId="2A62D787"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CF3207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6309D6B" w14:textId="77777777" w:rsidR="00007A97" w:rsidRPr="00007A97" w:rsidRDefault="00007A97" w:rsidP="00007A97">
            <w:pPr>
              <w:jc w:val="center"/>
              <w:rPr>
                <w:rFonts w:ascii="Times New Roman" w:hAnsi="Times New Roman"/>
                <w:lang w:eastAsia="ko-KR"/>
              </w:rPr>
            </w:pPr>
          </w:p>
        </w:tc>
      </w:tr>
      <w:tr w:rsidR="00F41C4E" w:rsidRPr="00007A97" w14:paraId="4C33A734" w14:textId="77777777" w:rsidTr="00F41C4E">
        <w:trPr>
          <w:trHeight w:val="285"/>
        </w:trPr>
        <w:tc>
          <w:tcPr>
            <w:tcW w:w="352" w:type="pct"/>
            <w:tcBorders>
              <w:top w:val="nil"/>
              <w:left w:val="single" w:sz="4" w:space="0" w:color="auto"/>
              <w:bottom w:val="nil"/>
              <w:right w:val="nil"/>
            </w:tcBorders>
            <w:noWrap/>
            <w:vAlign w:val="center"/>
            <w:hideMark/>
          </w:tcPr>
          <w:p w14:paraId="1C33313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2F50631"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Disability Act 2006</w:t>
            </w:r>
          </w:p>
        </w:tc>
        <w:tc>
          <w:tcPr>
            <w:tcW w:w="617" w:type="pct"/>
            <w:tcBorders>
              <w:top w:val="nil"/>
              <w:left w:val="single" w:sz="4" w:space="0" w:color="auto"/>
              <w:bottom w:val="nil"/>
              <w:right w:val="nil"/>
            </w:tcBorders>
            <w:vAlign w:val="center"/>
            <w:hideMark/>
          </w:tcPr>
          <w:p w14:paraId="3CFB6A81"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431B58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20CB2C9" w14:textId="77777777" w:rsidR="00007A97" w:rsidRPr="00007A97" w:rsidRDefault="00007A97" w:rsidP="00007A97">
            <w:pPr>
              <w:jc w:val="center"/>
              <w:rPr>
                <w:rFonts w:ascii="Times New Roman" w:hAnsi="Times New Roman"/>
                <w:lang w:eastAsia="ko-KR"/>
              </w:rPr>
            </w:pPr>
          </w:p>
        </w:tc>
      </w:tr>
      <w:tr w:rsidR="00F41C4E" w:rsidRPr="00007A97" w14:paraId="638248A1" w14:textId="77777777" w:rsidTr="00F41C4E">
        <w:trPr>
          <w:trHeight w:val="285"/>
        </w:trPr>
        <w:tc>
          <w:tcPr>
            <w:tcW w:w="352" w:type="pct"/>
            <w:tcBorders>
              <w:top w:val="nil"/>
              <w:left w:val="single" w:sz="4" w:space="0" w:color="auto"/>
              <w:bottom w:val="nil"/>
              <w:right w:val="nil"/>
            </w:tcBorders>
            <w:noWrap/>
            <w:vAlign w:val="center"/>
            <w:hideMark/>
          </w:tcPr>
          <w:p w14:paraId="74A25C1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3B3D54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Equal Opportunity Act 2010</w:t>
            </w:r>
            <w:r w:rsidRPr="00007A97">
              <w:rPr>
                <w:rFonts w:ascii="Arial" w:hAnsi="Arial" w:cs="Arial"/>
                <w:color w:val="000000"/>
                <w:sz w:val="18"/>
                <w:szCs w:val="18"/>
                <w:lang w:eastAsia="ko-KR"/>
              </w:rPr>
              <w:t>, except section 89(5)(a)</w:t>
            </w:r>
          </w:p>
        </w:tc>
        <w:tc>
          <w:tcPr>
            <w:tcW w:w="617" w:type="pct"/>
            <w:tcBorders>
              <w:top w:val="nil"/>
              <w:left w:val="single" w:sz="4" w:space="0" w:color="auto"/>
              <w:bottom w:val="nil"/>
              <w:right w:val="nil"/>
            </w:tcBorders>
            <w:vAlign w:val="center"/>
            <w:hideMark/>
          </w:tcPr>
          <w:p w14:paraId="750975B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6F6739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7BCDD4B" w14:textId="77777777" w:rsidR="00007A97" w:rsidRPr="00007A97" w:rsidRDefault="00007A97" w:rsidP="00007A97">
            <w:pPr>
              <w:jc w:val="center"/>
              <w:rPr>
                <w:rFonts w:ascii="Times New Roman" w:hAnsi="Times New Roman"/>
                <w:lang w:eastAsia="ko-KR"/>
              </w:rPr>
            </w:pPr>
          </w:p>
        </w:tc>
      </w:tr>
      <w:tr w:rsidR="00F41C4E" w:rsidRPr="00007A97" w14:paraId="4C21D258" w14:textId="77777777" w:rsidTr="00F41C4E">
        <w:trPr>
          <w:trHeight w:val="300"/>
        </w:trPr>
        <w:tc>
          <w:tcPr>
            <w:tcW w:w="352" w:type="pct"/>
            <w:tcBorders>
              <w:top w:val="nil"/>
              <w:left w:val="single" w:sz="4" w:space="0" w:color="auto"/>
              <w:bottom w:val="nil"/>
              <w:right w:val="nil"/>
            </w:tcBorders>
            <w:noWrap/>
            <w:vAlign w:val="center"/>
            <w:hideMark/>
          </w:tcPr>
          <w:p w14:paraId="1829462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274C460"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Freedom of Information Act 1982</w:t>
            </w:r>
            <w:r w:rsidRPr="00007A97">
              <w:rPr>
                <w:rFonts w:ascii="Arial" w:hAnsi="Arial" w:cs="Arial"/>
                <w:color w:val="000000"/>
                <w:sz w:val="18"/>
                <w:szCs w:val="18"/>
                <w:lang w:eastAsia="ko-KR"/>
              </w:rPr>
              <w:t>, applications under section 50 if—</w:t>
            </w:r>
          </w:p>
        </w:tc>
        <w:tc>
          <w:tcPr>
            <w:tcW w:w="617" w:type="pct"/>
            <w:tcBorders>
              <w:top w:val="nil"/>
              <w:left w:val="single" w:sz="4" w:space="0" w:color="auto"/>
              <w:bottom w:val="nil"/>
              <w:right w:val="nil"/>
            </w:tcBorders>
            <w:vAlign w:val="center"/>
            <w:hideMark/>
          </w:tcPr>
          <w:p w14:paraId="549E3C9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586482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B8B5AA9" w14:textId="77777777" w:rsidR="00007A97" w:rsidRPr="00007A97" w:rsidRDefault="00007A97" w:rsidP="00007A97">
            <w:pPr>
              <w:jc w:val="center"/>
              <w:rPr>
                <w:rFonts w:ascii="Times New Roman" w:hAnsi="Times New Roman"/>
                <w:lang w:eastAsia="ko-KR"/>
              </w:rPr>
            </w:pPr>
          </w:p>
        </w:tc>
      </w:tr>
      <w:tr w:rsidR="00F41C4E" w:rsidRPr="00007A97" w14:paraId="38BD7A8A" w14:textId="77777777" w:rsidTr="00F41C4E">
        <w:trPr>
          <w:trHeight w:val="510"/>
        </w:trPr>
        <w:tc>
          <w:tcPr>
            <w:tcW w:w="352" w:type="pct"/>
            <w:tcBorders>
              <w:top w:val="nil"/>
              <w:left w:val="single" w:sz="4" w:space="0" w:color="auto"/>
              <w:bottom w:val="nil"/>
              <w:right w:val="nil"/>
            </w:tcBorders>
            <w:noWrap/>
            <w:vAlign w:val="center"/>
            <w:hideMark/>
          </w:tcPr>
          <w:p w14:paraId="488F68B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0B0F9CA" w14:textId="77777777" w:rsidR="00007A97" w:rsidRPr="00007A97" w:rsidRDefault="00007A97" w:rsidP="00007A97">
            <w:pPr>
              <w:ind w:firstLineChars="100" w:firstLine="180"/>
              <w:rPr>
                <w:rFonts w:ascii="Arial" w:hAnsi="Arial" w:cs="Arial"/>
                <w:color w:val="000000"/>
                <w:sz w:val="18"/>
                <w:szCs w:val="18"/>
                <w:lang w:eastAsia="ko-KR"/>
              </w:rPr>
            </w:pPr>
            <w:r w:rsidRPr="00007A97">
              <w:rPr>
                <w:rFonts w:ascii="Arial" w:hAnsi="Arial" w:cs="Arial"/>
                <w:color w:val="000000"/>
                <w:sz w:val="18"/>
                <w:szCs w:val="18"/>
                <w:lang w:eastAsia="ko-KR"/>
              </w:rPr>
              <w:t>(a) the application is for the review of a deemed decision under section 49J or 53 refusing to grant access to a document; or</w:t>
            </w:r>
          </w:p>
        </w:tc>
        <w:tc>
          <w:tcPr>
            <w:tcW w:w="617" w:type="pct"/>
            <w:tcBorders>
              <w:top w:val="nil"/>
              <w:left w:val="single" w:sz="4" w:space="0" w:color="auto"/>
              <w:bottom w:val="nil"/>
              <w:right w:val="nil"/>
            </w:tcBorders>
            <w:vAlign w:val="center"/>
            <w:hideMark/>
          </w:tcPr>
          <w:p w14:paraId="606B94E5" w14:textId="77777777" w:rsidR="00007A97" w:rsidRPr="00007A97" w:rsidRDefault="00007A97" w:rsidP="00007A97">
            <w:pPr>
              <w:ind w:firstLineChars="100" w:firstLine="18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1A3BFF38"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ABABBA6" w14:textId="77777777" w:rsidR="00007A97" w:rsidRPr="00007A97" w:rsidRDefault="00007A97" w:rsidP="00007A97">
            <w:pPr>
              <w:jc w:val="center"/>
              <w:rPr>
                <w:rFonts w:ascii="Times New Roman" w:hAnsi="Times New Roman"/>
                <w:lang w:eastAsia="ko-KR"/>
              </w:rPr>
            </w:pPr>
          </w:p>
        </w:tc>
      </w:tr>
      <w:tr w:rsidR="00F41C4E" w:rsidRPr="00007A97" w14:paraId="1F94BCCA" w14:textId="77777777" w:rsidTr="00F41C4E">
        <w:trPr>
          <w:trHeight w:val="510"/>
        </w:trPr>
        <w:tc>
          <w:tcPr>
            <w:tcW w:w="352" w:type="pct"/>
            <w:tcBorders>
              <w:top w:val="nil"/>
              <w:left w:val="single" w:sz="4" w:space="0" w:color="auto"/>
              <w:bottom w:val="nil"/>
              <w:right w:val="nil"/>
            </w:tcBorders>
            <w:noWrap/>
            <w:vAlign w:val="center"/>
            <w:hideMark/>
          </w:tcPr>
          <w:p w14:paraId="5812D28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52463EE" w14:textId="77777777" w:rsidR="00007A97" w:rsidRPr="00007A97" w:rsidRDefault="00007A97" w:rsidP="00F41C4E">
            <w:pPr>
              <w:tabs>
                <w:tab w:val="left" w:pos="578"/>
              </w:tabs>
              <w:ind w:firstLineChars="100" w:firstLine="180"/>
              <w:rPr>
                <w:rFonts w:ascii="Arial" w:hAnsi="Arial" w:cs="Arial"/>
                <w:color w:val="000000"/>
                <w:sz w:val="18"/>
                <w:szCs w:val="18"/>
                <w:lang w:eastAsia="ko-KR"/>
              </w:rPr>
            </w:pPr>
            <w:r w:rsidRPr="00007A97">
              <w:rPr>
                <w:rFonts w:ascii="Arial" w:hAnsi="Arial" w:cs="Arial"/>
                <w:color w:val="000000"/>
                <w:sz w:val="18"/>
                <w:szCs w:val="18"/>
                <w:lang w:eastAsia="ko-KR"/>
              </w:rPr>
              <w:t>(b) the applicant is a natural person and the document to which access is sought contains information relating to the applicant's personal affairs</w:t>
            </w:r>
          </w:p>
        </w:tc>
        <w:tc>
          <w:tcPr>
            <w:tcW w:w="617" w:type="pct"/>
            <w:tcBorders>
              <w:top w:val="nil"/>
              <w:left w:val="single" w:sz="4" w:space="0" w:color="auto"/>
              <w:bottom w:val="nil"/>
              <w:right w:val="nil"/>
            </w:tcBorders>
            <w:vAlign w:val="center"/>
            <w:hideMark/>
          </w:tcPr>
          <w:p w14:paraId="401A9334" w14:textId="77777777" w:rsidR="00007A97" w:rsidRPr="00007A97" w:rsidRDefault="00007A97" w:rsidP="00007A97">
            <w:pPr>
              <w:ind w:firstLineChars="100" w:firstLine="18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568E016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0D82874" w14:textId="77777777" w:rsidR="00007A97" w:rsidRPr="00007A97" w:rsidRDefault="00007A97" w:rsidP="00007A97">
            <w:pPr>
              <w:jc w:val="center"/>
              <w:rPr>
                <w:rFonts w:ascii="Times New Roman" w:hAnsi="Times New Roman"/>
                <w:lang w:eastAsia="ko-KR"/>
              </w:rPr>
            </w:pPr>
          </w:p>
        </w:tc>
      </w:tr>
      <w:tr w:rsidR="00F41C4E" w:rsidRPr="00007A97" w14:paraId="4E350CEE" w14:textId="77777777" w:rsidTr="00F41C4E">
        <w:trPr>
          <w:trHeight w:val="300"/>
        </w:trPr>
        <w:tc>
          <w:tcPr>
            <w:tcW w:w="352" w:type="pct"/>
            <w:tcBorders>
              <w:top w:val="nil"/>
              <w:left w:val="single" w:sz="4" w:space="0" w:color="auto"/>
              <w:bottom w:val="nil"/>
              <w:right w:val="nil"/>
            </w:tcBorders>
            <w:noWrap/>
            <w:vAlign w:val="center"/>
            <w:hideMark/>
          </w:tcPr>
          <w:p w14:paraId="281B524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B300672"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Gender Equality Act 2020</w:t>
            </w:r>
          </w:p>
        </w:tc>
        <w:tc>
          <w:tcPr>
            <w:tcW w:w="617" w:type="pct"/>
            <w:tcBorders>
              <w:top w:val="nil"/>
              <w:left w:val="single" w:sz="4" w:space="0" w:color="auto"/>
              <w:bottom w:val="nil"/>
              <w:right w:val="nil"/>
            </w:tcBorders>
            <w:vAlign w:val="center"/>
            <w:hideMark/>
          </w:tcPr>
          <w:p w14:paraId="3C74140A"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C318831"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342A15C" w14:textId="77777777" w:rsidR="00007A97" w:rsidRPr="00007A97" w:rsidRDefault="00007A97" w:rsidP="00007A97">
            <w:pPr>
              <w:jc w:val="center"/>
              <w:rPr>
                <w:rFonts w:ascii="Times New Roman" w:hAnsi="Times New Roman"/>
                <w:lang w:eastAsia="ko-KR"/>
              </w:rPr>
            </w:pPr>
          </w:p>
        </w:tc>
      </w:tr>
      <w:tr w:rsidR="00F41C4E" w:rsidRPr="00007A97" w14:paraId="151EF6F1" w14:textId="77777777" w:rsidTr="00F41C4E">
        <w:trPr>
          <w:trHeight w:val="300"/>
        </w:trPr>
        <w:tc>
          <w:tcPr>
            <w:tcW w:w="352" w:type="pct"/>
            <w:tcBorders>
              <w:top w:val="nil"/>
              <w:left w:val="single" w:sz="4" w:space="0" w:color="auto"/>
              <w:bottom w:val="nil"/>
              <w:right w:val="nil"/>
            </w:tcBorders>
            <w:noWrap/>
            <w:vAlign w:val="center"/>
            <w:hideMark/>
          </w:tcPr>
          <w:p w14:paraId="643DDD6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462A0B0"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Guardianship and Administration Act 2019</w:t>
            </w:r>
          </w:p>
        </w:tc>
        <w:tc>
          <w:tcPr>
            <w:tcW w:w="617" w:type="pct"/>
            <w:tcBorders>
              <w:top w:val="nil"/>
              <w:left w:val="single" w:sz="4" w:space="0" w:color="auto"/>
              <w:bottom w:val="nil"/>
              <w:right w:val="nil"/>
            </w:tcBorders>
            <w:vAlign w:val="center"/>
            <w:hideMark/>
          </w:tcPr>
          <w:p w14:paraId="46BB609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D758D3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1B6992C" w14:textId="77777777" w:rsidR="00007A97" w:rsidRPr="00007A97" w:rsidRDefault="00007A97" w:rsidP="00007A97">
            <w:pPr>
              <w:jc w:val="center"/>
              <w:rPr>
                <w:rFonts w:ascii="Times New Roman" w:hAnsi="Times New Roman"/>
                <w:lang w:eastAsia="ko-KR"/>
              </w:rPr>
            </w:pPr>
          </w:p>
        </w:tc>
      </w:tr>
      <w:tr w:rsidR="00F41C4E" w:rsidRPr="00007A97" w14:paraId="33D6021B" w14:textId="77777777" w:rsidTr="00F41C4E">
        <w:trPr>
          <w:trHeight w:val="300"/>
        </w:trPr>
        <w:tc>
          <w:tcPr>
            <w:tcW w:w="352" w:type="pct"/>
            <w:tcBorders>
              <w:top w:val="nil"/>
              <w:left w:val="single" w:sz="4" w:space="0" w:color="auto"/>
              <w:bottom w:val="nil"/>
              <w:right w:val="nil"/>
            </w:tcBorders>
            <w:noWrap/>
            <w:vAlign w:val="center"/>
            <w:hideMark/>
          </w:tcPr>
          <w:p w14:paraId="5FF439B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757FEB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Health Records Act 2001</w:t>
            </w:r>
          </w:p>
        </w:tc>
        <w:tc>
          <w:tcPr>
            <w:tcW w:w="617" w:type="pct"/>
            <w:tcBorders>
              <w:top w:val="nil"/>
              <w:left w:val="single" w:sz="4" w:space="0" w:color="auto"/>
              <w:bottom w:val="nil"/>
              <w:right w:val="nil"/>
            </w:tcBorders>
            <w:vAlign w:val="center"/>
            <w:hideMark/>
          </w:tcPr>
          <w:p w14:paraId="45D3CAB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9156BB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5D2D22D" w14:textId="77777777" w:rsidR="00007A97" w:rsidRPr="00007A97" w:rsidRDefault="00007A97" w:rsidP="00007A97">
            <w:pPr>
              <w:jc w:val="center"/>
              <w:rPr>
                <w:rFonts w:ascii="Times New Roman" w:hAnsi="Times New Roman"/>
                <w:lang w:eastAsia="ko-KR"/>
              </w:rPr>
            </w:pPr>
          </w:p>
        </w:tc>
      </w:tr>
      <w:tr w:rsidR="00F41C4E" w:rsidRPr="00007A97" w14:paraId="5F5B23A3" w14:textId="77777777" w:rsidTr="00F41C4E">
        <w:trPr>
          <w:trHeight w:val="300"/>
        </w:trPr>
        <w:tc>
          <w:tcPr>
            <w:tcW w:w="352" w:type="pct"/>
            <w:tcBorders>
              <w:top w:val="nil"/>
              <w:left w:val="single" w:sz="4" w:space="0" w:color="auto"/>
              <w:bottom w:val="nil"/>
              <w:right w:val="nil"/>
            </w:tcBorders>
            <w:noWrap/>
            <w:vAlign w:val="center"/>
            <w:hideMark/>
          </w:tcPr>
          <w:p w14:paraId="341BA61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3BFA9D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Medical Treatment Planning and Decisions Act 2016</w:t>
            </w:r>
          </w:p>
        </w:tc>
        <w:tc>
          <w:tcPr>
            <w:tcW w:w="617" w:type="pct"/>
            <w:tcBorders>
              <w:top w:val="nil"/>
              <w:left w:val="single" w:sz="4" w:space="0" w:color="auto"/>
              <w:bottom w:val="nil"/>
              <w:right w:val="nil"/>
            </w:tcBorders>
            <w:vAlign w:val="center"/>
            <w:hideMark/>
          </w:tcPr>
          <w:p w14:paraId="0AE406CF"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8E5FB4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9E5C8F4" w14:textId="77777777" w:rsidR="00007A97" w:rsidRPr="00007A97" w:rsidRDefault="00007A97" w:rsidP="00007A97">
            <w:pPr>
              <w:jc w:val="center"/>
              <w:rPr>
                <w:rFonts w:ascii="Times New Roman" w:hAnsi="Times New Roman"/>
                <w:lang w:eastAsia="ko-KR"/>
              </w:rPr>
            </w:pPr>
          </w:p>
        </w:tc>
      </w:tr>
      <w:tr w:rsidR="00F41C4E" w:rsidRPr="00007A97" w14:paraId="3232A9A1" w14:textId="77777777" w:rsidTr="00F41C4E">
        <w:trPr>
          <w:trHeight w:val="300"/>
        </w:trPr>
        <w:tc>
          <w:tcPr>
            <w:tcW w:w="352" w:type="pct"/>
            <w:tcBorders>
              <w:top w:val="nil"/>
              <w:left w:val="single" w:sz="4" w:space="0" w:color="auto"/>
              <w:bottom w:val="nil"/>
              <w:right w:val="nil"/>
            </w:tcBorders>
            <w:noWrap/>
            <w:vAlign w:val="center"/>
            <w:hideMark/>
          </w:tcPr>
          <w:p w14:paraId="46730CB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6BC976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Mental Health and Wellbeing Act 2022</w:t>
            </w:r>
          </w:p>
        </w:tc>
        <w:tc>
          <w:tcPr>
            <w:tcW w:w="617" w:type="pct"/>
            <w:tcBorders>
              <w:top w:val="nil"/>
              <w:left w:val="single" w:sz="4" w:space="0" w:color="auto"/>
              <w:bottom w:val="nil"/>
              <w:right w:val="nil"/>
            </w:tcBorders>
            <w:vAlign w:val="center"/>
            <w:hideMark/>
          </w:tcPr>
          <w:p w14:paraId="4C096E7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0DE899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4523E74" w14:textId="77777777" w:rsidR="00007A97" w:rsidRPr="00007A97" w:rsidRDefault="00007A97" w:rsidP="00007A97">
            <w:pPr>
              <w:jc w:val="center"/>
              <w:rPr>
                <w:rFonts w:ascii="Times New Roman" w:hAnsi="Times New Roman"/>
                <w:lang w:eastAsia="ko-KR"/>
              </w:rPr>
            </w:pPr>
          </w:p>
        </w:tc>
      </w:tr>
      <w:tr w:rsidR="00F41C4E" w:rsidRPr="00007A97" w14:paraId="5A78B74C" w14:textId="77777777" w:rsidTr="00F41C4E">
        <w:trPr>
          <w:trHeight w:val="300"/>
        </w:trPr>
        <w:tc>
          <w:tcPr>
            <w:tcW w:w="352" w:type="pct"/>
            <w:tcBorders>
              <w:top w:val="nil"/>
              <w:left w:val="single" w:sz="4" w:space="0" w:color="auto"/>
              <w:bottom w:val="nil"/>
              <w:right w:val="nil"/>
            </w:tcBorders>
            <w:noWrap/>
            <w:vAlign w:val="center"/>
            <w:hideMark/>
          </w:tcPr>
          <w:p w14:paraId="5CA255E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AC5BB7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Powers of Attorney Act 2014</w:t>
            </w:r>
          </w:p>
        </w:tc>
        <w:tc>
          <w:tcPr>
            <w:tcW w:w="617" w:type="pct"/>
            <w:tcBorders>
              <w:top w:val="nil"/>
              <w:left w:val="single" w:sz="4" w:space="0" w:color="auto"/>
              <w:bottom w:val="nil"/>
              <w:right w:val="nil"/>
            </w:tcBorders>
            <w:vAlign w:val="center"/>
            <w:hideMark/>
          </w:tcPr>
          <w:p w14:paraId="6EB64B9A"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27F3EB1"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694EDEF" w14:textId="77777777" w:rsidR="00007A97" w:rsidRPr="00007A97" w:rsidRDefault="00007A97" w:rsidP="00007A97">
            <w:pPr>
              <w:jc w:val="center"/>
              <w:rPr>
                <w:rFonts w:ascii="Times New Roman" w:hAnsi="Times New Roman"/>
                <w:lang w:eastAsia="ko-KR"/>
              </w:rPr>
            </w:pPr>
          </w:p>
        </w:tc>
      </w:tr>
      <w:tr w:rsidR="00F41C4E" w:rsidRPr="00007A97" w14:paraId="6B8A6A5C" w14:textId="77777777" w:rsidTr="00F41C4E">
        <w:trPr>
          <w:trHeight w:val="300"/>
        </w:trPr>
        <w:tc>
          <w:tcPr>
            <w:tcW w:w="352" w:type="pct"/>
            <w:tcBorders>
              <w:top w:val="nil"/>
              <w:left w:val="single" w:sz="4" w:space="0" w:color="auto"/>
              <w:bottom w:val="nil"/>
              <w:right w:val="nil"/>
            </w:tcBorders>
            <w:noWrap/>
            <w:vAlign w:val="center"/>
            <w:hideMark/>
          </w:tcPr>
          <w:p w14:paraId="641CD7C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18E6F6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 xml:space="preserve">Privacy and Data Protection Act 2014 </w:t>
            </w:r>
          </w:p>
        </w:tc>
        <w:tc>
          <w:tcPr>
            <w:tcW w:w="617" w:type="pct"/>
            <w:tcBorders>
              <w:top w:val="nil"/>
              <w:left w:val="single" w:sz="4" w:space="0" w:color="auto"/>
              <w:bottom w:val="nil"/>
              <w:right w:val="nil"/>
            </w:tcBorders>
            <w:vAlign w:val="center"/>
            <w:hideMark/>
          </w:tcPr>
          <w:p w14:paraId="10542C7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83AA29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C7CD1D3" w14:textId="77777777" w:rsidR="00007A97" w:rsidRPr="00007A97" w:rsidRDefault="00007A97" w:rsidP="00007A97">
            <w:pPr>
              <w:jc w:val="center"/>
              <w:rPr>
                <w:rFonts w:ascii="Times New Roman" w:hAnsi="Times New Roman"/>
                <w:lang w:eastAsia="ko-KR"/>
              </w:rPr>
            </w:pPr>
          </w:p>
        </w:tc>
      </w:tr>
      <w:tr w:rsidR="00F41C4E" w:rsidRPr="00007A97" w14:paraId="082BD2E9" w14:textId="77777777" w:rsidTr="00F41C4E">
        <w:trPr>
          <w:trHeight w:val="285"/>
        </w:trPr>
        <w:tc>
          <w:tcPr>
            <w:tcW w:w="352" w:type="pct"/>
            <w:tcBorders>
              <w:top w:val="nil"/>
              <w:left w:val="single" w:sz="4" w:space="0" w:color="auto"/>
              <w:bottom w:val="nil"/>
              <w:right w:val="nil"/>
            </w:tcBorders>
            <w:noWrap/>
            <w:vAlign w:val="center"/>
            <w:hideMark/>
          </w:tcPr>
          <w:p w14:paraId="381F3C0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14F25C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Public Health and Wellbeing Act 2008</w:t>
            </w:r>
            <w:r w:rsidRPr="00007A97">
              <w:rPr>
                <w:rFonts w:ascii="Arial" w:hAnsi="Arial" w:cs="Arial"/>
                <w:color w:val="000000"/>
                <w:sz w:val="18"/>
                <w:szCs w:val="18"/>
                <w:lang w:eastAsia="ko-KR"/>
              </w:rPr>
              <w:t>, sections 122 and 204</w:t>
            </w:r>
          </w:p>
        </w:tc>
        <w:tc>
          <w:tcPr>
            <w:tcW w:w="617" w:type="pct"/>
            <w:tcBorders>
              <w:top w:val="nil"/>
              <w:left w:val="single" w:sz="4" w:space="0" w:color="auto"/>
              <w:bottom w:val="nil"/>
              <w:right w:val="nil"/>
            </w:tcBorders>
            <w:vAlign w:val="center"/>
            <w:hideMark/>
          </w:tcPr>
          <w:p w14:paraId="7468E41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703F57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DEBBFD9" w14:textId="77777777" w:rsidR="00007A97" w:rsidRPr="00007A97" w:rsidRDefault="00007A97" w:rsidP="00007A97">
            <w:pPr>
              <w:jc w:val="center"/>
              <w:rPr>
                <w:rFonts w:ascii="Times New Roman" w:hAnsi="Times New Roman"/>
                <w:lang w:eastAsia="ko-KR"/>
              </w:rPr>
            </w:pPr>
          </w:p>
        </w:tc>
      </w:tr>
      <w:tr w:rsidR="00F41C4E" w:rsidRPr="00007A97" w14:paraId="7F22025C" w14:textId="77777777" w:rsidTr="00F41C4E">
        <w:trPr>
          <w:trHeight w:val="300"/>
        </w:trPr>
        <w:tc>
          <w:tcPr>
            <w:tcW w:w="352" w:type="pct"/>
            <w:tcBorders>
              <w:top w:val="nil"/>
              <w:left w:val="single" w:sz="4" w:space="0" w:color="auto"/>
              <w:bottom w:val="nil"/>
              <w:right w:val="nil"/>
            </w:tcBorders>
            <w:noWrap/>
            <w:vAlign w:val="center"/>
            <w:hideMark/>
          </w:tcPr>
          <w:p w14:paraId="1446D77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CC59BA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Racial and Religious Tolerance Act 2001</w:t>
            </w:r>
          </w:p>
        </w:tc>
        <w:tc>
          <w:tcPr>
            <w:tcW w:w="617" w:type="pct"/>
            <w:tcBorders>
              <w:top w:val="nil"/>
              <w:left w:val="single" w:sz="4" w:space="0" w:color="auto"/>
              <w:bottom w:val="nil"/>
              <w:right w:val="nil"/>
            </w:tcBorders>
            <w:vAlign w:val="center"/>
            <w:hideMark/>
          </w:tcPr>
          <w:p w14:paraId="43F0DC7D"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A476F4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18464F5" w14:textId="77777777" w:rsidR="00007A97" w:rsidRPr="00007A97" w:rsidRDefault="00007A97" w:rsidP="00007A97">
            <w:pPr>
              <w:jc w:val="center"/>
              <w:rPr>
                <w:rFonts w:ascii="Times New Roman" w:hAnsi="Times New Roman"/>
                <w:lang w:eastAsia="ko-KR"/>
              </w:rPr>
            </w:pPr>
          </w:p>
        </w:tc>
      </w:tr>
      <w:tr w:rsidR="00F41C4E" w:rsidRPr="00007A97" w14:paraId="6140B89E" w14:textId="77777777" w:rsidTr="00F41C4E">
        <w:trPr>
          <w:trHeight w:val="1215"/>
        </w:trPr>
        <w:tc>
          <w:tcPr>
            <w:tcW w:w="352" w:type="pct"/>
            <w:tcBorders>
              <w:top w:val="nil"/>
              <w:left w:val="single" w:sz="4" w:space="0" w:color="auto"/>
              <w:bottom w:val="nil"/>
              <w:right w:val="nil"/>
            </w:tcBorders>
            <w:noWrap/>
            <w:vAlign w:val="center"/>
            <w:hideMark/>
          </w:tcPr>
          <w:p w14:paraId="56C1914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AEE8B5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Residential Tenancies Act 1997</w:t>
            </w:r>
            <w:r w:rsidRPr="00007A97">
              <w:rPr>
                <w:rFonts w:ascii="Arial" w:hAnsi="Arial" w:cs="Arial"/>
                <w:color w:val="000000"/>
                <w:sz w:val="18"/>
                <w:szCs w:val="18"/>
                <w:lang w:eastAsia="ko-KR"/>
              </w:rPr>
              <w:t>, Part 10, Part 12A, and any application under that Act considered suitable to be dealt with as an RDRV proceeding under section 93D of the</w:t>
            </w:r>
            <w:r w:rsidRPr="00007A97">
              <w:rPr>
                <w:rFonts w:ascii="Arial" w:hAnsi="Arial" w:cs="Arial"/>
                <w:b/>
                <w:bCs/>
                <w:color w:val="000000"/>
                <w:sz w:val="18"/>
                <w:szCs w:val="18"/>
                <w:lang w:eastAsia="ko-KR"/>
              </w:rPr>
              <w:t xml:space="preserve"> Victorian Civil and Administrative Tribunal Act 1998</w:t>
            </w:r>
            <w:r w:rsidRPr="00007A97">
              <w:rPr>
                <w:rFonts w:ascii="Arial" w:hAnsi="Arial" w:cs="Arial"/>
                <w:color w:val="000000"/>
                <w:sz w:val="18"/>
                <w:szCs w:val="18"/>
                <w:lang w:eastAsia="ko-KR"/>
              </w:rPr>
              <w:t>, unless notice has been provided to the principal registrar under section 93G of the</w:t>
            </w:r>
            <w:r w:rsidRPr="00007A97">
              <w:rPr>
                <w:rFonts w:ascii="Arial" w:hAnsi="Arial" w:cs="Arial"/>
                <w:b/>
                <w:bCs/>
                <w:color w:val="000000"/>
                <w:sz w:val="18"/>
                <w:szCs w:val="18"/>
                <w:lang w:eastAsia="ko-KR"/>
              </w:rPr>
              <w:t xml:space="preserve"> Victorian Civil and Administrative Tribunal Act 1998 </w:t>
            </w:r>
            <w:r w:rsidRPr="00007A97">
              <w:rPr>
                <w:rFonts w:ascii="Arial" w:hAnsi="Arial" w:cs="Arial"/>
                <w:color w:val="000000"/>
                <w:sz w:val="18"/>
                <w:szCs w:val="18"/>
                <w:lang w:eastAsia="ko-KR"/>
              </w:rPr>
              <w:t>that the RDRV proceeding has been unsuccessful.</w:t>
            </w:r>
          </w:p>
        </w:tc>
        <w:tc>
          <w:tcPr>
            <w:tcW w:w="617" w:type="pct"/>
            <w:tcBorders>
              <w:top w:val="nil"/>
              <w:left w:val="single" w:sz="4" w:space="0" w:color="auto"/>
              <w:bottom w:val="nil"/>
              <w:right w:val="nil"/>
            </w:tcBorders>
            <w:hideMark/>
          </w:tcPr>
          <w:p w14:paraId="0C642D7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A313C84"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DEB91AF" w14:textId="77777777" w:rsidR="00007A97" w:rsidRPr="00007A97" w:rsidRDefault="00007A97" w:rsidP="00007A97">
            <w:pPr>
              <w:jc w:val="center"/>
              <w:rPr>
                <w:rFonts w:ascii="Times New Roman" w:hAnsi="Times New Roman"/>
                <w:lang w:eastAsia="ko-KR"/>
              </w:rPr>
            </w:pPr>
          </w:p>
        </w:tc>
      </w:tr>
      <w:tr w:rsidR="00F41C4E" w:rsidRPr="00007A97" w14:paraId="361FE289" w14:textId="77777777" w:rsidTr="00F41C4E">
        <w:trPr>
          <w:trHeight w:val="285"/>
        </w:trPr>
        <w:tc>
          <w:tcPr>
            <w:tcW w:w="352" w:type="pct"/>
            <w:tcBorders>
              <w:top w:val="nil"/>
              <w:left w:val="single" w:sz="4" w:space="0" w:color="auto"/>
              <w:bottom w:val="nil"/>
              <w:right w:val="nil"/>
            </w:tcBorders>
            <w:noWrap/>
            <w:vAlign w:val="center"/>
            <w:hideMark/>
          </w:tcPr>
          <w:p w14:paraId="0AF781A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434DD78"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Social Services Regulation Act 2021</w:t>
            </w:r>
            <w:r w:rsidRPr="00007A97">
              <w:rPr>
                <w:rFonts w:ascii="Arial" w:hAnsi="Arial" w:cs="Arial"/>
                <w:color w:val="000000"/>
                <w:sz w:val="18"/>
                <w:szCs w:val="18"/>
                <w:lang w:eastAsia="ko-KR"/>
              </w:rPr>
              <w:t>, sections 256 and 272</w:t>
            </w:r>
          </w:p>
        </w:tc>
        <w:tc>
          <w:tcPr>
            <w:tcW w:w="617" w:type="pct"/>
            <w:tcBorders>
              <w:top w:val="nil"/>
              <w:left w:val="single" w:sz="4" w:space="0" w:color="auto"/>
              <w:bottom w:val="nil"/>
              <w:right w:val="nil"/>
            </w:tcBorders>
            <w:vAlign w:val="center"/>
            <w:hideMark/>
          </w:tcPr>
          <w:p w14:paraId="0B21389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4848CD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C1CC0DE" w14:textId="77777777" w:rsidR="00007A97" w:rsidRPr="00007A97" w:rsidRDefault="00007A97" w:rsidP="00007A97">
            <w:pPr>
              <w:jc w:val="center"/>
              <w:rPr>
                <w:rFonts w:ascii="Times New Roman" w:hAnsi="Times New Roman"/>
                <w:lang w:eastAsia="ko-KR"/>
              </w:rPr>
            </w:pPr>
          </w:p>
        </w:tc>
      </w:tr>
      <w:tr w:rsidR="00F41C4E" w:rsidRPr="00007A97" w14:paraId="1C45634C" w14:textId="77777777" w:rsidTr="00F41C4E">
        <w:trPr>
          <w:trHeight w:val="285"/>
        </w:trPr>
        <w:tc>
          <w:tcPr>
            <w:tcW w:w="352" w:type="pct"/>
            <w:tcBorders>
              <w:top w:val="nil"/>
              <w:left w:val="single" w:sz="4" w:space="0" w:color="auto"/>
              <w:bottom w:val="nil"/>
              <w:right w:val="nil"/>
            </w:tcBorders>
            <w:noWrap/>
            <w:vAlign w:val="center"/>
            <w:hideMark/>
          </w:tcPr>
          <w:p w14:paraId="00426C1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F39DC1E"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Voluntary Assisted Dying Act 2017</w:t>
            </w:r>
          </w:p>
        </w:tc>
        <w:tc>
          <w:tcPr>
            <w:tcW w:w="617" w:type="pct"/>
            <w:tcBorders>
              <w:top w:val="nil"/>
              <w:left w:val="single" w:sz="4" w:space="0" w:color="auto"/>
              <w:bottom w:val="nil"/>
              <w:right w:val="nil"/>
            </w:tcBorders>
            <w:vAlign w:val="center"/>
            <w:hideMark/>
          </w:tcPr>
          <w:p w14:paraId="39BE26F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c>
          <w:tcPr>
            <w:tcW w:w="616" w:type="pct"/>
            <w:tcBorders>
              <w:top w:val="nil"/>
              <w:left w:val="nil"/>
              <w:bottom w:val="nil"/>
              <w:right w:val="nil"/>
            </w:tcBorders>
            <w:vAlign w:val="center"/>
            <w:hideMark/>
          </w:tcPr>
          <w:p w14:paraId="4EEABA0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c>
          <w:tcPr>
            <w:tcW w:w="615" w:type="pct"/>
            <w:tcBorders>
              <w:top w:val="nil"/>
              <w:left w:val="nil"/>
              <w:bottom w:val="nil"/>
              <w:right w:val="single" w:sz="4" w:space="0" w:color="auto"/>
            </w:tcBorders>
            <w:vAlign w:val="center"/>
            <w:hideMark/>
          </w:tcPr>
          <w:p w14:paraId="1DF006E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46320F30" w14:textId="77777777" w:rsidTr="00F41C4E">
        <w:trPr>
          <w:trHeight w:val="1350"/>
        </w:trPr>
        <w:tc>
          <w:tcPr>
            <w:tcW w:w="352" w:type="pct"/>
            <w:tcBorders>
              <w:top w:val="single" w:sz="4" w:space="0" w:color="auto"/>
              <w:left w:val="single" w:sz="4" w:space="0" w:color="auto"/>
              <w:bottom w:val="single" w:sz="4" w:space="0" w:color="auto"/>
              <w:right w:val="nil"/>
            </w:tcBorders>
            <w:noWrap/>
            <w:vAlign w:val="center"/>
            <w:hideMark/>
          </w:tcPr>
          <w:p w14:paraId="2CFF27D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2.</w:t>
            </w:r>
          </w:p>
        </w:tc>
        <w:tc>
          <w:tcPr>
            <w:tcW w:w="2800" w:type="pct"/>
            <w:tcBorders>
              <w:top w:val="single" w:sz="4" w:space="0" w:color="auto"/>
              <w:left w:val="single" w:sz="4" w:space="0" w:color="auto"/>
              <w:bottom w:val="single" w:sz="4" w:space="0" w:color="auto"/>
              <w:right w:val="nil"/>
            </w:tcBorders>
            <w:vAlign w:val="center"/>
            <w:hideMark/>
          </w:tcPr>
          <w:p w14:paraId="53A9072D"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the commencement of a proceeding under the </w:t>
            </w:r>
            <w:r w:rsidRPr="00007A97">
              <w:rPr>
                <w:rFonts w:ascii="Arial" w:hAnsi="Arial" w:cs="Arial"/>
                <w:b/>
                <w:bCs/>
                <w:color w:val="000000"/>
                <w:sz w:val="18"/>
                <w:szCs w:val="18"/>
                <w:lang w:eastAsia="ko-KR"/>
              </w:rPr>
              <w:t>Residential Tenancies Act 1997</w:t>
            </w:r>
            <w:r w:rsidRPr="00007A97">
              <w:rPr>
                <w:rFonts w:ascii="Arial" w:hAnsi="Arial" w:cs="Arial"/>
                <w:color w:val="000000"/>
                <w:sz w:val="18"/>
                <w:szCs w:val="18"/>
                <w:lang w:eastAsia="ko-KR"/>
              </w:rPr>
              <w:t xml:space="preserve">, except Part 10, Part 12A and any application under that Act considered suitable to be dealt with as an RDRV proceeding under section 93D of the </w:t>
            </w:r>
            <w:r w:rsidRPr="00007A97">
              <w:rPr>
                <w:rFonts w:ascii="Arial" w:hAnsi="Arial" w:cs="Arial"/>
                <w:b/>
                <w:bCs/>
                <w:color w:val="000000"/>
                <w:sz w:val="18"/>
                <w:szCs w:val="18"/>
                <w:lang w:eastAsia="ko-KR"/>
              </w:rPr>
              <w:t>Victorian Civil and Administrative Tribunal Act 1998</w:t>
            </w:r>
            <w:r w:rsidRPr="00007A97">
              <w:rPr>
                <w:rFonts w:ascii="Arial" w:hAnsi="Arial" w:cs="Arial"/>
                <w:color w:val="000000"/>
                <w:sz w:val="18"/>
                <w:szCs w:val="18"/>
                <w:lang w:eastAsia="ko-KR"/>
              </w:rPr>
              <w:t xml:space="preserve">, unless notice has been provided to the principal registrar under section 93G of the </w:t>
            </w:r>
            <w:r w:rsidRPr="00007A97">
              <w:rPr>
                <w:rFonts w:ascii="Arial" w:hAnsi="Arial" w:cs="Arial"/>
                <w:b/>
                <w:bCs/>
                <w:color w:val="000000"/>
                <w:sz w:val="18"/>
                <w:szCs w:val="18"/>
                <w:lang w:eastAsia="ko-KR"/>
              </w:rPr>
              <w:t>Victorian Civil and Administrative Tribunal Act 1998</w:t>
            </w:r>
            <w:r w:rsidRPr="00007A97">
              <w:rPr>
                <w:rFonts w:ascii="Arial" w:hAnsi="Arial" w:cs="Arial"/>
                <w:color w:val="000000"/>
                <w:sz w:val="18"/>
                <w:szCs w:val="18"/>
                <w:lang w:eastAsia="ko-KR"/>
              </w:rPr>
              <w:t xml:space="preserve"> that the RDRV proceeding has been unsuccessful</w:t>
            </w:r>
          </w:p>
        </w:tc>
        <w:tc>
          <w:tcPr>
            <w:tcW w:w="617" w:type="pct"/>
            <w:tcBorders>
              <w:top w:val="single" w:sz="4" w:space="0" w:color="auto"/>
              <w:left w:val="single" w:sz="4" w:space="0" w:color="auto"/>
              <w:bottom w:val="single" w:sz="4" w:space="0" w:color="auto"/>
              <w:right w:val="nil"/>
            </w:tcBorders>
            <w:vAlign w:val="center"/>
            <w:hideMark/>
          </w:tcPr>
          <w:p w14:paraId="1685248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196.5</w:t>
            </w:r>
          </w:p>
        </w:tc>
        <w:tc>
          <w:tcPr>
            <w:tcW w:w="616" w:type="pct"/>
            <w:tcBorders>
              <w:top w:val="single" w:sz="4" w:space="0" w:color="auto"/>
              <w:left w:val="nil"/>
              <w:bottom w:val="single" w:sz="4" w:space="0" w:color="auto"/>
              <w:right w:val="nil"/>
            </w:tcBorders>
            <w:vAlign w:val="center"/>
            <w:hideMark/>
          </w:tcPr>
          <w:p w14:paraId="0CD777C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64.8</w:t>
            </w:r>
          </w:p>
        </w:tc>
        <w:tc>
          <w:tcPr>
            <w:tcW w:w="615" w:type="pct"/>
            <w:tcBorders>
              <w:top w:val="single" w:sz="4" w:space="0" w:color="auto"/>
              <w:left w:val="nil"/>
              <w:bottom w:val="single" w:sz="4" w:space="0" w:color="auto"/>
              <w:right w:val="single" w:sz="4" w:space="0" w:color="auto"/>
            </w:tcBorders>
            <w:vAlign w:val="center"/>
            <w:hideMark/>
          </w:tcPr>
          <w:p w14:paraId="411B0F9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568963AB" w14:textId="77777777" w:rsidTr="00F41C4E">
        <w:trPr>
          <w:trHeight w:val="555"/>
        </w:trPr>
        <w:tc>
          <w:tcPr>
            <w:tcW w:w="352" w:type="pct"/>
            <w:tcBorders>
              <w:top w:val="nil"/>
              <w:left w:val="single" w:sz="4" w:space="0" w:color="auto"/>
              <w:bottom w:val="nil"/>
              <w:right w:val="nil"/>
            </w:tcBorders>
            <w:noWrap/>
            <w:vAlign w:val="center"/>
            <w:hideMark/>
          </w:tcPr>
          <w:p w14:paraId="097D7D8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w:t>
            </w:r>
          </w:p>
        </w:tc>
        <w:tc>
          <w:tcPr>
            <w:tcW w:w="2800" w:type="pct"/>
            <w:tcBorders>
              <w:top w:val="nil"/>
              <w:left w:val="single" w:sz="4" w:space="0" w:color="auto"/>
              <w:bottom w:val="nil"/>
              <w:right w:val="nil"/>
            </w:tcBorders>
            <w:vAlign w:val="center"/>
            <w:hideMark/>
          </w:tcPr>
          <w:p w14:paraId="2E457CC2"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commencement of a proceeding under the following enabling enactments or provisions of enabling enactments—</w:t>
            </w:r>
          </w:p>
        </w:tc>
        <w:tc>
          <w:tcPr>
            <w:tcW w:w="617" w:type="pct"/>
            <w:tcBorders>
              <w:top w:val="nil"/>
              <w:left w:val="single" w:sz="4" w:space="0" w:color="auto"/>
              <w:bottom w:val="nil"/>
              <w:right w:val="nil"/>
            </w:tcBorders>
            <w:vAlign w:val="center"/>
            <w:hideMark/>
          </w:tcPr>
          <w:p w14:paraId="3ACFFAB7"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57D208F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FAE8DF9" w14:textId="77777777" w:rsidR="00007A97" w:rsidRPr="00007A97" w:rsidRDefault="00007A97" w:rsidP="00007A97">
            <w:pPr>
              <w:jc w:val="center"/>
              <w:rPr>
                <w:rFonts w:ascii="Times New Roman" w:hAnsi="Times New Roman"/>
                <w:lang w:eastAsia="ko-KR"/>
              </w:rPr>
            </w:pPr>
          </w:p>
        </w:tc>
      </w:tr>
      <w:tr w:rsidR="00F41C4E" w:rsidRPr="00007A97" w14:paraId="42AE45BC" w14:textId="77777777" w:rsidTr="00F41C4E">
        <w:trPr>
          <w:trHeight w:val="285"/>
        </w:trPr>
        <w:tc>
          <w:tcPr>
            <w:tcW w:w="352" w:type="pct"/>
            <w:tcBorders>
              <w:top w:val="nil"/>
              <w:left w:val="single" w:sz="4" w:space="0" w:color="auto"/>
              <w:bottom w:val="nil"/>
              <w:right w:val="nil"/>
            </w:tcBorders>
            <w:noWrap/>
            <w:vAlign w:val="center"/>
            <w:hideMark/>
          </w:tcPr>
          <w:p w14:paraId="6FC18BA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lastRenderedPageBreak/>
              <w:t xml:space="preserve"> </w:t>
            </w:r>
          </w:p>
        </w:tc>
        <w:tc>
          <w:tcPr>
            <w:tcW w:w="2800" w:type="pct"/>
            <w:tcBorders>
              <w:top w:val="nil"/>
              <w:left w:val="single" w:sz="4" w:space="0" w:color="auto"/>
              <w:bottom w:val="nil"/>
              <w:right w:val="nil"/>
            </w:tcBorders>
            <w:vAlign w:val="center"/>
            <w:hideMark/>
          </w:tcPr>
          <w:p w14:paraId="6F16B0FF"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Motor Car Traders Act 1986</w:t>
            </w:r>
            <w:r w:rsidRPr="00007A97">
              <w:rPr>
                <w:rFonts w:ascii="Arial" w:hAnsi="Arial" w:cs="Arial"/>
                <w:color w:val="000000"/>
                <w:sz w:val="18"/>
                <w:szCs w:val="18"/>
                <w:lang w:eastAsia="ko-KR"/>
              </w:rPr>
              <w:t>, section 45</w:t>
            </w:r>
          </w:p>
        </w:tc>
        <w:tc>
          <w:tcPr>
            <w:tcW w:w="617" w:type="pct"/>
            <w:tcBorders>
              <w:top w:val="nil"/>
              <w:left w:val="single" w:sz="4" w:space="0" w:color="auto"/>
              <w:bottom w:val="nil"/>
              <w:right w:val="nil"/>
            </w:tcBorders>
            <w:vAlign w:val="center"/>
            <w:hideMark/>
          </w:tcPr>
          <w:p w14:paraId="54911D3F"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E1BE868"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FAFB48C" w14:textId="77777777" w:rsidR="00007A97" w:rsidRPr="00007A97" w:rsidRDefault="00007A97" w:rsidP="00007A97">
            <w:pPr>
              <w:jc w:val="center"/>
              <w:rPr>
                <w:rFonts w:ascii="Times New Roman" w:hAnsi="Times New Roman"/>
                <w:lang w:eastAsia="ko-KR"/>
              </w:rPr>
            </w:pPr>
          </w:p>
        </w:tc>
      </w:tr>
      <w:tr w:rsidR="00F41C4E" w:rsidRPr="00007A97" w14:paraId="4667DF82" w14:textId="77777777" w:rsidTr="00F41C4E">
        <w:trPr>
          <w:trHeight w:val="285"/>
        </w:trPr>
        <w:tc>
          <w:tcPr>
            <w:tcW w:w="352" w:type="pct"/>
            <w:tcBorders>
              <w:top w:val="nil"/>
              <w:left w:val="single" w:sz="4" w:space="0" w:color="auto"/>
              <w:bottom w:val="single" w:sz="4" w:space="0" w:color="auto"/>
              <w:right w:val="nil"/>
            </w:tcBorders>
            <w:noWrap/>
            <w:vAlign w:val="center"/>
            <w:hideMark/>
          </w:tcPr>
          <w:p w14:paraId="32B6264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single" w:sz="4" w:space="0" w:color="auto"/>
              <w:right w:val="nil"/>
            </w:tcBorders>
            <w:vAlign w:val="center"/>
            <w:hideMark/>
          </w:tcPr>
          <w:p w14:paraId="10E7114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Social Services Regulation Act 2021</w:t>
            </w:r>
            <w:r w:rsidRPr="00007A97">
              <w:rPr>
                <w:rFonts w:ascii="Arial" w:hAnsi="Arial" w:cs="Arial"/>
                <w:color w:val="000000"/>
                <w:sz w:val="18"/>
                <w:szCs w:val="18"/>
                <w:lang w:eastAsia="ko-KR"/>
              </w:rPr>
              <w:t>, section 274</w:t>
            </w:r>
          </w:p>
        </w:tc>
        <w:tc>
          <w:tcPr>
            <w:tcW w:w="617" w:type="pct"/>
            <w:tcBorders>
              <w:top w:val="nil"/>
              <w:left w:val="single" w:sz="4" w:space="0" w:color="auto"/>
              <w:bottom w:val="nil"/>
              <w:right w:val="nil"/>
            </w:tcBorders>
            <w:vAlign w:val="center"/>
            <w:hideMark/>
          </w:tcPr>
          <w:p w14:paraId="0B8E1C4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196.5</w:t>
            </w:r>
          </w:p>
        </w:tc>
        <w:tc>
          <w:tcPr>
            <w:tcW w:w="616" w:type="pct"/>
            <w:tcBorders>
              <w:top w:val="nil"/>
              <w:left w:val="nil"/>
              <w:bottom w:val="nil"/>
              <w:right w:val="nil"/>
            </w:tcBorders>
            <w:vAlign w:val="center"/>
            <w:hideMark/>
          </w:tcPr>
          <w:p w14:paraId="65DF503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64.8</w:t>
            </w:r>
          </w:p>
        </w:tc>
        <w:tc>
          <w:tcPr>
            <w:tcW w:w="615" w:type="pct"/>
            <w:tcBorders>
              <w:top w:val="nil"/>
              <w:left w:val="nil"/>
              <w:bottom w:val="nil"/>
              <w:right w:val="single" w:sz="4" w:space="0" w:color="auto"/>
            </w:tcBorders>
            <w:vAlign w:val="center"/>
            <w:hideMark/>
          </w:tcPr>
          <w:p w14:paraId="431637C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21.6</w:t>
            </w:r>
          </w:p>
        </w:tc>
      </w:tr>
      <w:tr w:rsidR="00F41C4E" w:rsidRPr="00007A97" w14:paraId="453C3E93"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19F659D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w:t>
            </w:r>
          </w:p>
        </w:tc>
        <w:tc>
          <w:tcPr>
            <w:tcW w:w="2800" w:type="pct"/>
            <w:tcBorders>
              <w:top w:val="single" w:sz="4" w:space="0" w:color="auto"/>
              <w:left w:val="single" w:sz="4" w:space="0" w:color="auto"/>
              <w:bottom w:val="nil"/>
              <w:right w:val="nil"/>
            </w:tcBorders>
            <w:vAlign w:val="center"/>
            <w:hideMark/>
          </w:tcPr>
          <w:p w14:paraId="1AE252BF"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commencement of a proceeding under the following enabling enactments or provisions of enabling enactments—</w:t>
            </w:r>
          </w:p>
        </w:tc>
        <w:tc>
          <w:tcPr>
            <w:tcW w:w="617" w:type="pct"/>
            <w:tcBorders>
              <w:top w:val="single" w:sz="4" w:space="0" w:color="auto"/>
              <w:left w:val="single" w:sz="4" w:space="0" w:color="auto"/>
              <w:bottom w:val="nil"/>
              <w:right w:val="nil"/>
            </w:tcBorders>
            <w:vAlign w:val="center"/>
            <w:hideMark/>
          </w:tcPr>
          <w:p w14:paraId="778D2C98"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7DF4C0CC"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31953C6F" w14:textId="77777777" w:rsidR="00007A97" w:rsidRPr="00007A97" w:rsidRDefault="00007A97" w:rsidP="00007A97">
            <w:pPr>
              <w:jc w:val="center"/>
              <w:rPr>
                <w:rFonts w:ascii="Times New Roman" w:hAnsi="Times New Roman"/>
                <w:lang w:eastAsia="ko-KR"/>
              </w:rPr>
            </w:pPr>
          </w:p>
        </w:tc>
      </w:tr>
      <w:tr w:rsidR="00F41C4E" w:rsidRPr="00007A97" w14:paraId="54CA2093" w14:textId="77777777" w:rsidTr="00F41C4E">
        <w:trPr>
          <w:trHeight w:val="510"/>
        </w:trPr>
        <w:tc>
          <w:tcPr>
            <w:tcW w:w="352" w:type="pct"/>
            <w:tcBorders>
              <w:top w:val="nil"/>
              <w:left w:val="single" w:sz="4" w:space="0" w:color="auto"/>
              <w:bottom w:val="nil"/>
              <w:right w:val="nil"/>
            </w:tcBorders>
            <w:noWrap/>
            <w:vAlign w:val="center"/>
            <w:hideMark/>
          </w:tcPr>
          <w:p w14:paraId="3339557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99145D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Building Act 1993</w:t>
            </w:r>
            <w:r w:rsidRPr="00007A97">
              <w:rPr>
                <w:rFonts w:ascii="Arial" w:hAnsi="Arial" w:cs="Arial"/>
                <w:color w:val="000000"/>
                <w:sz w:val="18"/>
                <w:szCs w:val="18"/>
                <w:lang w:eastAsia="ko-KR"/>
              </w:rPr>
              <w:t>, except sections 25J and 186, Division 12 of Part 12A, section 187ZI and clause 10(3) and (4) of Schedule 7</w:t>
            </w:r>
          </w:p>
        </w:tc>
        <w:tc>
          <w:tcPr>
            <w:tcW w:w="617" w:type="pct"/>
            <w:tcBorders>
              <w:top w:val="nil"/>
              <w:left w:val="single" w:sz="4" w:space="0" w:color="auto"/>
              <w:bottom w:val="nil"/>
              <w:right w:val="nil"/>
            </w:tcBorders>
            <w:vAlign w:val="center"/>
            <w:hideMark/>
          </w:tcPr>
          <w:p w14:paraId="15315A7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1686FC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E9427DD" w14:textId="77777777" w:rsidR="00007A97" w:rsidRPr="00007A97" w:rsidRDefault="00007A97" w:rsidP="00007A97">
            <w:pPr>
              <w:jc w:val="center"/>
              <w:rPr>
                <w:rFonts w:ascii="Times New Roman" w:hAnsi="Times New Roman"/>
                <w:lang w:eastAsia="ko-KR"/>
              </w:rPr>
            </w:pPr>
          </w:p>
        </w:tc>
      </w:tr>
      <w:tr w:rsidR="00F41C4E" w:rsidRPr="00007A97" w14:paraId="16FBD0FE" w14:textId="77777777" w:rsidTr="00F41C4E">
        <w:trPr>
          <w:trHeight w:val="285"/>
        </w:trPr>
        <w:tc>
          <w:tcPr>
            <w:tcW w:w="352" w:type="pct"/>
            <w:tcBorders>
              <w:top w:val="nil"/>
              <w:left w:val="single" w:sz="4" w:space="0" w:color="auto"/>
              <w:bottom w:val="nil"/>
              <w:right w:val="nil"/>
            </w:tcBorders>
            <w:noWrap/>
            <w:vAlign w:val="center"/>
            <w:hideMark/>
          </w:tcPr>
          <w:p w14:paraId="695098B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3FEB0B7"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Company Titles (Home Units) Act 2013</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6CCE445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020414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07516E3" w14:textId="77777777" w:rsidR="00007A97" w:rsidRPr="00007A97" w:rsidRDefault="00007A97" w:rsidP="00007A97">
            <w:pPr>
              <w:jc w:val="center"/>
              <w:rPr>
                <w:rFonts w:ascii="Times New Roman" w:hAnsi="Times New Roman"/>
                <w:lang w:eastAsia="ko-KR"/>
              </w:rPr>
            </w:pPr>
          </w:p>
        </w:tc>
      </w:tr>
      <w:tr w:rsidR="00F41C4E" w:rsidRPr="00007A97" w14:paraId="10B3948B" w14:textId="77777777" w:rsidTr="00F41C4E">
        <w:trPr>
          <w:trHeight w:val="285"/>
        </w:trPr>
        <w:tc>
          <w:tcPr>
            <w:tcW w:w="352" w:type="pct"/>
            <w:tcBorders>
              <w:top w:val="nil"/>
              <w:left w:val="single" w:sz="4" w:space="0" w:color="auto"/>
              <w:bottom w:val="nil"/>
              <w:right w:val="nil"/>
            </w:tcBorders>
            <w:noWrap/>
            <w:vAlign w:val="center"/>
            <w:hideMark/>
          </w:tcPr>
          <w:p w14:paraId="558D618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BE3A6A1"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Domestic Building Contracts Act 1995</w:t>
            </w:r>
            <w:r w:rsidRPr="00007A97">
              <w:rPr>
                <w:rFonts w:ascii="Arial" w:hAnsi="Arial" w:cs="Arial"/>
                <w:color w:val="000000"/>
                <w:sz w:val="18"/>
                <w:szCs w:val="18"/>
                <w:lang w:eastAsia="ko-KR"/>
              </w:rPr>
              <w:t>,</w:t>
            </w:r>
            <w:r w:rsidRPr="00007A97">
              <w:rPr>
                <w:rFonts w:ascii="Arial" w:hAnsi="Arial" w:cs="Arial"/>
                <w:b/>
                <w:bCs/>
                <w:color w:val="000000"/>
                <w:sz w:val="18"/>
                <w:szCs w:val="18"/>
                <w:lang w:eastAsia="ko-KR"/>
              </w:rPr>
              <w:t xml:space="preserve"> </w:t>
            </w:r>
            <w:r w:rsidRPr="00007A97">
              <w:rPr>
                <w:rFonts w:ascii="Arial" w:hAnsi="Arial" w:cs="Arial"/>
                <w:color w:val="000000"/>
                <w:sz w:val="18"/>
                <w:szCs w:val="18"/>
                <w:lang w:eastAsia="ko-KR"/>
              </w:rPr>
              <w:t>sections 45F, 63, 65, 66, 67 and 67A</w:t>
            </w:r>
          </w:p>
        </w:tc>
        <w:tc>
          <w:tcPr>
            <w:tcW w:w="617" w:type="pct"/>
            <w:tcBorders>
              <w:top w:val="nil"/>
              <w:left w:val="single" w:sz="4" w:space="0" w:color="auto"/>
              <w:bottom w:val="nil"/>
              <w:right w:val="nil"/>
            </w:tcBorders>
            <w:vAlign w:val="center"/>
            <w:hideMark/>
          </w:tcPr>
          <w:p w14:paraId="577C2A81"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17783A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102BA57" w14:textId="77777777" w:rsidR="00007A97" w:rsidRPr="00007A97" w:rsidRDefault="00007A97" w:rsidP="00007A97">
            <w:pPr>
              <w:jc w:val="center"/>
              <w:rPr>
                <w:rFonts w:ascii="Times New Roman" w:hAnsi="Times New Roman"/>
                <w:lang w:eastAsia="ko-KR"/>
              </w:rPr>
            </w:pPr>
          </w:p>
        </w:tc>
      </w:tr>
      <w:tr w:rsidR="00F41C4E" w:rsidRPr="00007A97" w14:paraId="1070264B" w14:textId="77777777" w:rsidTr="00F41C4E">
        <w:trPr>
          <w:trHeight w:val="285"/>
        </w:trPr>
        <w:tc>
          <w:tcPr>
            <w:tcW w:w="352" w:type="pct"/>
            <w:tcBorders>
              <w:top w:val="nil"/>
              <w:left w:val="single" w:sz="4" w:space="0" w:color="auto"/>
              <w:bottom w:val="nil"/>
              <w:right w:val="nil"/>
            </w:tcBorders>
            <w:noWrap/>
            <w:vAlign w:val="center"/>
            <w:hideMark/>
          </w:tcPr>
          <w:p w14:paraId="5456529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EAA55C0"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Estate Agents Act 1980</w:t>
            </w:r>
            <w:r w:rsidRPr="00007A97">
              <w:rPr>
                <w:rFonts w:ascii="Arial" w:hAnsi="Arial" w:cs="Arial"/>
                <w:color w:val="000000"/>
                <w:sz w:val="18"/>
                <w:szCs w:val="18"/>
                <w:lang w:eastAsia="ko-KR"/>
              </w:rPr>
              <w:t>, sections 56A(4) and 56B(1)</w:t>
            </w:r>
          </w:p>
        </w:tc>
        <w:tc>
          <w:tcPr>
            <w:tcW w:w="617" w:type="pct"/>
            <w:tcBorders>
              <w:top w:val="nil"/>
              <w:left w:val="single" w:sz="4" w:space="0" w:color="auto"/>
              <w:bottom w:val="nil"/>
              <w:right w:val="nil"/>
            </w:tcBorders>
            <w:vAlign w:val="center"/>
            <w:hideMark/>
          </w:tcPr>
          <w:p w14:paraId="37A86EC2"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3ADD14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E438C74" w14:textId="77777777" w:rsidR="00007A97" w:rsidRPr="00007A97" w:rsidRDefault="00007A97" w:rsidP="00007A97">
            <w:pPr>
              <w:jc w:val="center"/>
              <w:rPr>
                <w:rFonts w:ascii="Times New Roman" w:hAnsi="Times New Roman"/>
                <w:lang w:eastAsia="ko-KR"/>
              </w:rPr>
            </w:pPr>
          </w:p>
        </w:tc>
      </w:tr>
      <w:tr w:rsidR="00F41C4E" w:rsidRPr="00007A97" w14:paraId="2823AD43" w14:textId="77777777" w:rsidTr="00F41C4E">
        <w:trPr>
          <w:trHeight w:val="285"/>
        </w:trPr>
        <w:tc>
          <w:tcPr>
            <w:tcW w:w="352" w:type="pct"/>
            <w:tcBorders>
              <w:top w:val="nil"/>
              <w:left w:val="single" w:sz="4" w:space="0" w:color="auto"/>
              <w:bottom w:val="nil"/>
              <w:right w:val="nil"/>
            </w:tcBorders>
            <w:noWrap/>
            <w:vAlign w:val="center"/>
            <w:hideMark/>
          </w:tcPr>
          <w:p w14:paraId="3979D12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159B111"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Housing Act 1983</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38EAA23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C5E8F1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2A46781" w14:textId="77777777" w:rsidR="00007A97" w:rsidRPr="00007A97" w:rsidRDefault="00007A97" w:rsidP="00007A97">
            <w:pPr>
              <w:jc w:val="center"/>
              <w:rPr>
                <w:rFonts w:ascii="Times New Roman" w:hAnsi="Times New Roman"/>
                <w:lang w:eastAsia="ko-KR"/>
              </w:rPr>
            </w:pPr>
          </w:p>
        </w:tc>
      </w:tr>
      <w:tr w:rsidR="00F41C4E" w:rsidRPr="00007A97" w14:paraId="51799348" w14:textId="77777777" w:rsidTr="00F41C4E">
        <w:trPr>
          <w:trHeight w:val="285"/>
        </w:trPr>
        <w:tc>
          <w:tcPr>
            <w:tcW w:w="352" w:type="pct"/>
            <w:tcBorders>
              <w:top w:val="nil"/>
              <w:left w:val="single" w:sz="4" w:space="0" w:color="auto"/>
              <w:bottom w:val="nil"/>
              <w:right w:val="nil"/>
            </w:tcBorders>
            <w:noWrap/>
            <w:vAlign w:val="center"/>
            <w:hideMark/>
          </w:tcPr>
          <w:p w14:paraId="7BBA9E4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15814A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Owner Drivers and Forestry Contractors Act 2005</w:t>
            </w:r>
          </w:p>
        </w:tc>
        <w:tc>
          <w:tcPr>
            <w:tcW w:w="617" w:type="pct"/>
            <w:tcBorders>
              <w:top w:val="nil"/>
              <w:left w:val="single" w:sz="4" w:space="0" w:color="auto"/>
              <w:bottom w:val="nil"/>
              <w:right w:val="nil"/>
            </w:tcBorders>
            <w:vAlign w:val="center"/>
            <w:hideMark/>
          </w:tcPr>
          <w:p w14:paraId="6B1DA12F"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ABD89B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4587B29" w14:textId="77777777" w:rsidR="00007A97" w:rsidRPr="00007A97" w:rsidRDefault="00007A97" w:rsidP="00007A97">
            <w:pPr>
              <w:jc w:val="center"/>
              <w:rPr>
                <w:rFonts w:ascii="Times New Roman" w:hAnsi="Times New Roman"/>
                <w:lang w:eastAsia="ko-KR"/>
              </w:rPr>
            </w:pPr>
          </w:p>
        </w:tc>
      </w:tr>
      <w:tr w:rsidR="00F41C4E" w:rsidRPr="00007A97" w14:paraId="58F288D2" w14:textId="77777777" w:rsidTr="00F41C4E">
        <w:trPr>
          <w:trHeight w:val="285"/>
        </w:trPr>
        <w:tc>
          <w:tcPr>
            <w:tcW w:w="352" w:type="pct"/>
            <w:tcBorders>
              <w:top w:val="nil"/>
              <w:left w:val="single" w:sz="4" w:space="0" w:color="auto"/>
              <w:bottom w:val="nil"/>
              <w:right w:val="nil"/>
            </w:tcBorders>
            <w:noWrap/>
            <w:vAlign w:val="center"/>
            <w:hideMark/>
          </w:tcPr>
          <w:p w14:paraId="4014249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FCDBE1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Retirement Villages Act 1986</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7301E8B1"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B48CFE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35D9A3B" w14:textId="77777777" w:rsidR="00007A97" w:rsidRPr="00007A97" w:rsidRDefault="00007A97" w:rsidP="00007A97">
            <w:pPr>
              <w:jc w:val="center"/>
              <w:rPr>
                <w:rFonts w:ascii="Times New Roman" w:hAnsi="Times New Roman"/>
                <w:lang w:eastAsia="ko-KR"/>
              </w:rPr>
            </w:pPr>
          </w:p>
        </w:tc>
      </w:tr>
      <w:tr w:rsidR="00F41C4E" w:rsidRPr="00007A97" w14:paraId="52382D52" w14:textId="77777777" w:rsidTr="00F41C4E">
        <w:trPr>
          <w:trHeight w:val="285"/>
        </w:trPr>
        <w:tc>
          <w:tcPr>
            <w:tcW w:w="352" w:type="pct"/>
            <w:tcBorders>
              <w:top w:val="nil"/>
              <w:left w:val="single" w:sz="4" w:space="0" w:color="auto"/>
              <w:bottom w:val="nil"/>
              <w:right w:val="nil"/>
            </w:tcBorders>
            <w:noWrap/>
            <w:vAlign w:val="center"/>
            <w:hideMark/>
          </w:tcPr>
          <w:p w14:paraId="6B77D3C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F03696E"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Retirement Villages (Contractual Arrangements) Regulations 2017</w:t>
            </w:r>
          </w:p>
        </w:tc>
        <w:tc>
          <w:tcPr>
            <w:tcW w:w="617" w:type="pct"/>
            <w:tcBorders>
              <w:top w:val="nil"/>
              <w:left w:val="single" w:sz="4" w:space="0" w:color="auto"/>
              <w:bottom w:val="nil"/>
              <w:right w:val="nil"/>
            </w:tcBorders>
            <w:vAlign w:val="center"/>
            <w:hideMark/>
          </w:tcPr>
          <w:p w14:paraId="70F08463"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5613CBA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07922C8" w14:textId="77777777" w:rsidR="00007A97" w:rsidRPr="00007A97" w:rsidRDefault="00007A97" w:rsidP="00007A97">
            <w:pPr>
              <w:jc w:val="center"/>
              <w:rPr>
                <w:rFonts w:ascii="Times New Roman" w:hAnsi="Times New Roman"/>
                <w:lang w:eastAsia="ko-KR"/>
              </w:rPr>
            </w:pPr>
          </w:p>
        </w:tc>
      </w:tr>
      <w:tr w:rsidR="00F41C4E" w:rsidRPr="00007A97" w14:paraId="7355D258" w14:textId="77777777" w:rsidTr="00F41C4E">
        <w:trPr>
          <w:trHeight w:val="285"/>
        </w:trPr>
        <w:tc>
          <w:tcPr>
            <w:tcW w:w="352" w:type="pct"/>
            <w:tcBorders>
              <w:top w:val="nil"/>
              <w:left w:val="single" w:sz="4" w:space="0" w:color="auto"/>
              <w:bottom w:val="nil"/>
              <w:right w:val="nil"/>
            </w:tcBorders>
            <w:noWrap/>
            <w:vAlign w:val="center"/>
            <w:hideMark/>
          </w:tcPr>
          <w:p w14:paraId="502F746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790CC6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Sale of Land Act 1962</w:t>
            </w:r>
          </w:p>
        </w:tc>
        <w:tc>
          <w:tcPr>
            <w:tcW w:w="617" w:type="pct"/>
            <w:tcBorders>
              <w:top w:val="nil"/>
              <w:left w:val="single" w:sz="4" w:space="0" w:color="auto"/>
              <w:bottom w:val="nil"/>
              <w:right w:val="nil"/>
            </w:tcBorders>
            <w:vAlign w:val="center"/>
            <w:hideMark/>
          </w:tcPr>
          <w:p w14:paraId="18FDC45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A60FC7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5C14A8C" w14:textId="77777777" w:rsidR="00007A97" w:rsidRPr="00007A97" w:rsidRDefault="00007A97" w:rsidP="00007A97">
            <w:pPr>
              <w:jc w:val="center"/>
              <w:rPr>
                <w:rFonts w:ascii="Times New Roman" w:hAnsi="Times New Roman"/>
                <w:lang w:eastAsia="ko-KR"/>
              </w:rPr>
            </w:pPr>
          </w:p>
        </w:tc>
      </w:tr>
      <w:tr w:rsidR="00F41C4E" w:rsidRPr="00007A97" w14:paraId="6EB8F3DE" w14:textId="77777777" w:rsidTr="00F41C4E">
        <w:trPr>
          <w:trHeight w:val="285"/>
        </w:trPr>
        <w:tc>
          <w:tcPr>
            <w:tcW w:w="352" w:type="pct"/>
            <w:tcBorders>
              <w:top w:val="nil"/>
              <w:left w:val="single" w:sz="4" w:space="0" w:color="auto"/>
              <w:bottom w:val="nil"/>
              <w:right w:val="nil"/>
            </w:tcBorders>
            <w:noWrap/>
            <w:vAlign w:val="center"/>
            <w:hideMark/>
          </w:tcPr>
          <w:p w14:paraId="3E7372F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E0EC82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Subdivision Act 1988</w:t>
            </w:r>
            <w:r w:rsidRPr="00007A97">
              <w:rPr>
                <w:rFonts w:ascii="Arial" w:hAnsi="Arial" w:cs="Arial"/>
                <w:color w:val="000000"/>
                <w:sz w:val="18"/>
                <w:szCs w:val="18"/>
                <w:lang w:eastAsia="ko-KR"/>
              </w:rPr>
              <w:t>, Part 5</w:t>
            </w:r>
          </w:p>
        </w:tc>
        <w:tc>
          <w:tcPr>
            <w:tcW w:w="617" w:type="pct"/>
            <w:tcBorders>
              <w:top w:val="nil"/>
              <w:left w:val="single" w:sz="4" w:space="0" w:color="auto"/>
              <w:bottom w:val="nil"/>
              <w:right w:val="nil"/>
            </w:tcBorders>
            <w:vAlign w:val="center"/>
            <w:hideMark/>
          </w:tcPr>
          <w:p w14:paraId="48211FCA"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9CD550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5440D25" w14:textId="77777777" w:rsidR="00007A97" w:rsidRPr="00007A97" w:rsidRDefault="00007A97" w:rsidP="00007A97">
            <w:pPr>
              <w:jc w:val="center"/>
              <w:rPr>
                <w:rFonts w:ascii="Times New Roman" w:hAnsi="Times New Roman"/>
                <w:lang w:eastAsia="ko-KR"/>
              </w:rPr>
            </w:pPr>
          </w:p>
        </w:tc>
      </w:tr>
      <w:tr w:rsidR="00F41C4E" w:rsidRPr="00007A97" w14:paraId="6008A5DA" w14:textId="77777777" w:rsidTr="00F41C4E">
        <w:trPr>
          <w:trHeight w:val="285"/>
        </w:trPr>
        <w:tc>
          <w:tcPr>
            <w:tcW w:w="352" w:type="pct"/>
            <w:tcBorders>
              <w:top w:val="nil"/>
              <w:left w:val="single" w:sz="4" w:space="0" w:color="auto"/>
              <w:bottom w:val="single" w:sz="4" w:space="0" w:color="auto"/>
              <w:right w:val="nil"/>
            </w:tcBorders>
            <w:noWrap/>
            <w:vAlign w:val="center"/>
            <w:hideMark/>
          </w:tcPr>
          <w:p w14:paraId="48708B0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0925D4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Water Act 1989</w:t>
            </w:r>
            <w:r w:rsidRPr="00007A97">
              <w:rPr>
                <w:rFonts w:ascii="Arial" w:hAnsi="Arial" w:cs="Arial"/>
                <w:color w:val="000000"/>
                <w:sz w:val="18"/>
                <w:szCs w:val="18"/>
                <w:lang w:eastAsia="ko-KR"/>
              </w:rPr>
              <w:t xml:space="preserve">, section 19 </w:t>
            </w:r>
          </w:p>
        </w:tc>
        <w:tc>
          <w:tcPr>
            <w:tcW w:w="617" w:type="pct"/>
            <w:tcBorders>
              <w:top w:val="nil"/>
              <w:left w:val="single" w:sz="4" w:space="0" w:color="auto"/>
              <w:bottom w:val="nil"/>
              <w:right w:val="nil"/>
            </w:tcBorders>
            <w:vAlign w:val="center"/>
            <w:hideMark/>
          </w:tcPr>
          <w:p w14:paraId="2A11C03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1,465.8</w:t>
            </w:r>
          </w:p>
        </w:tc>
        <w:tc>
          <w:tcPr>
            <w:tcW w:w="616" w:type="pct"/>
            <w:tcBorders>
              <w:top w:val="nil"/>
              <w:left w:val="nil"/>
              <w:bottom w:val="nil"/>
              <w:right w:val="nil"/>
            </w:tcBorders>
            <w:vAlign w:val="center"/>
            <w:hideMark/>
          </w:tcPr>
          <w:p w14:paraId="0608D4A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483.7</w:t>
            </w:r>
          </w:p>
        </w:tc>
        <w:tc>
          <w:tcPr>
            <w:tcW w:w="615" w:type="pct"/>
            <w:tcBorders>
              <w:top w:val="nil"/>
              <w:left w:val="nil"/>
              <w:bottom w:val="nil"/>
              <w:right w:val="single" w:sz="4" w:space="0" w:color="auto"/>
            </w:tcBorders>
            <w:vAlign w:val="center"/>
            <w:hideMark/>
          </w:tcPr>
          <w:p w14:paraId="1BD1F09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161.2</w:t>
            </w:r>
          </w:p>
        </w:tc>
      </w:tr>
      <w:tr w:rsidR="00F41C4E" w:rsidRPr="00007A97" w14:paraId="6574393D"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46CF8ED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w:t>
            </w:r>
          </w:p>
        </w:tc>
        <w:tc>
          <w:tcPr>
            <w:tcW w:w="2800" w:type="pct"/>
            <w:tcBorders>
              <w:top w:val="single" w:sz="4" w:space="0" w:color="auto"/>
              <w:left w:val="single" w:sz="4" w:space="0" w:color="auto"/>
              <w:bottom w:val="nil"/>
              <w:right w:val="nil"/>
            </w:tcBorders>
            <w:vAlign w:val="center"/>
            <w:hideMark/>
          </w:tcPr>
          <w:p w14:paraId="23A77E23"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commencement of a proceeding under the following enabling enactments or provisions of enabling enactments—</w:t>
            </w:r>
          </w:p>
        </w:tc>
        <w:tc>
          <w:tcPr>
            <w:tcW w:w="617" w:type="pct"/>
            <w:tcBorders>
              <w:top w:val="single" w:sz="4" w:space="0" w:color="auto"/>
              <w:left w:val="single" w:sz="4" w:space="0" w:color="auto"/>
              <w:bottom w:val="nil"/>
              <w:right w:val="nil"/>
            </w:tcBorders>
            <w:vAlign w:val="center"/>
            <w:hideMark/>
          </w:tcPr>
          <w:p w14:paraId="6B9EC8BF"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458844E4"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17C7C243" w14:textId="77777777" w:rsidR="00007A97" w:rsidRPr="00007A97" w:rsidRDefault="00007A97" w:rsidP="00007A97">
            <w:pPr>
              <w:jc w:val="center"/>
              <w:rPr>
                <w:rFonts w:ascii="Times New Roman" w:hAnsi="Times New Roman"/>
                <w:lang w:eastAsia="ko-KR"/>
              </w:rPr>
            </w:pPr>
          </w:p>
        </w:tc>
      </w:tr>
      <w:tr w:rsidR="00F41C4E" w:rsidRPr="00007A97" w14:paraId="2FA58E97" w14:textId="77777777" w:rsidTr="00F41C4E">
        <w:trPr>
          <w:trHeight w:val="285"/>
        </w:trPr>
        <w:tc>
          <w:tcPr>
            <w:tcW w:w="352" w:type="pct"/>
            <w:tcBorders>
              <w:top w:val="nil"/>
              <w:left w:val="single" w:sz="4" w:space="0" w:color="auto"/>
              <w:bottom w:val="nil"/>
              <w:right w:val="nil"/>
            </w:tcBorders>
            <w:noWrap/>
            <w:vAlign w:val="center"/>
            <w:hideMark/>
          </w:tcPr>
          <w:p w14:paraId="36C4BC2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47288E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Accident Compensation Act 1985</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28FA8E8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F3AF35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39614B8" w14:textId="77777777" w:rsidR="00007A97" w:rsidRPr="00007A97" w:rsidRDefault="00007A97" w:rsidP="00007A97">
            <w:pPr>
              <w:jc w:val="center"/>
              <w:rPr>
                <w:rFonts w:ascii="Times New Roman" w:hAnsi="Times New Roman"/>
                <w:lang w:eastAsia="ko-KR"/>
              </w:rPr>
            </w:pPr>
          </w:p>
        </w:tc>
      </w:tr>
      <w:tr w:rsidR="00F41C4E" w:rsidRPr="00007A97" w14:paraId="76319376" w14:textId="77777777" w:rsidTr="00F41C4E">
        <w:trPr>
          <w:trHeight w:val="285"/>
        </w:trPr>
        <w:tc>
          <w:tcPr>
            <w:tcW w:w="352" w:type="pct"/>
            <w:tcBorders>
              <w:top w:val="nil"/>
              <w:left w:val="single" w:sz="4" w:space="0" w:color="auto"/>
              <w:bottom w:val="nil"/>
              <w:right w:val="nil"/>
            </w:tcBorders>
            <w:noWrap/>
            <w:vAlign w:val="center"/>
            <w:hideMark/>
          </w:tcPr>
          <w:p w14:paraId="7D5C161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0C8450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Accident Towing Services Act 2007</w:t>
            </w:r>
          </w:p>
        </w:tc>
        <w:tc>
          <w:tcPr>
            <w:tcW w:w="617" w:type="pct"/>
            <w:tcBorders>
              <w:top w:val="nil"/>
              <w:left w:val="single" w:sz="4" w:space="0" w:color="auto"/>
              <w:bottom w:val="nil"/>
              <w:right w:val="nil"/>
            </w:tcBorders>
            <w:vAlign w:val="center"/>
            <w:hideMark/>
          </w:tcPr>
          <w:p w14:paraId="2E0CDAE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E36ED6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C3EF45E" w14:textId="77777777" w:rsidR="00007A97" w:rsidRPr="00007A97" w:rsidRDefault="00007A97" w:rsidP="00007A97">
            <w:pPr>
              <w:jc w:val="center"/>
              <w:rPr>
                <w:rFonts w:ascii="Times New Roman" w:hAnsi="Times New Roman"/>
                <w:lang w:eastAsia="ko-KR"/>
              </w:rPr>
            </w:pPr>
          </w:p>
        </w:tc>
      </w:tr>
      <w:tr w:rsidR="00F41C4E" w:rsidRPr="00007A97" w14:paraId="2668A23E" w14:textId="77777777" w:rsidTr="00F41C4E">
        <w:trPr>
          <w:trHeight w:val="285"/>
        </w:trPr>
        <w:tc>
          <w:tcPr>
            <w:tcW w:w="352" w:type="pct"/>
            <w:tcBorders>
              <w:top w:val="nil"/>
              <w:left w:val="single" w:sz="4" w:space="0" w:color="auto"/>
              <w:bottom w:val="nil"/>
              <w:right w:val="nil"/>
            </w:tcBorders>
            <w:noWrap/>
            <w:vAlign w:val="center"/>
            <w:hideMark/>
          </w:tcPr>
          <w:p w14:paraId="66F3037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3D9A25D"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Accident Towing Services Regulations 2019</w:t>
            </w:r>
          </w:p>
        </w:tc>
        <w:tc>
          <w:tcPr>
            <w:tcW w:w="617" w:type="pct"/>
            <w:tcBorders>
              <w:top w:val="nil"/>
              <w:left w:val="single" w:sz="4" w:space="0" w:color="auto"/>
              <w:bottom w:val="nil"/>
              <w:right w:val="nil"/>
            </w:tcBorders>
            <w:vAlign w:val="center"/>
            <w:hideMark/>
          </w:tcPr>
          <w:p w14:paraId="1F3675FF"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0759718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D663E17" w14:textId="77777777" w:rsidR="00007A97" w:rsidRPr="00007A97" w:rsidRDefault="00007A97" w:rsidP="00007A97">
            <w:pPr>
              <w:jc w:val="center"/>
              <w:rPr>
                <w:rFonts w:ascii="Times New Roman" w:hAnsi="Times New Roman"/>
                <w:lang w:eastAsia="ko-KR"/>
              </w:rPr>
            </w:pPr>
          </w:p>
        </w:tc>
      </w:tr>
      <w:tr w:rsidR="00F41C4E" w:rsidRPr="00007A97" w14:paraId="6EF1CC46" w14:textId="77777777" w:rsidTr="00F41C4E">
        <w:trPr>
          <w:trHeight w:val="285"/>
        </w:trPr>
        <w:tc>
          <w:tcPr>
            <w:tcW w:w="352" w:type="pct"/>
            <w:tcBorders>
              <w:top w:val="nil"/>
              <w:left w:val="single" w:sz="4" w:space="0" w:color="auto"/>
              <w:bottom w:val="nil"/>
              <w:right w:val="nil"/>
            </w:tcBorders>
            <w:noWrap/>
            <w:vAlign w:val="center"/>
            <w:hideMark/>
          </w:tcPr>
          <w:p w14:paraId="1724EC9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E95C61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Adoption Act 1984</w:t>
            </w:r>
            <w:r w:rsidRPr="00007A97">
              <w:rPr>
                <w:rFonts w:ascii="Arial" w:hAnsi="Arial" w:cs="Arial"/>
                <w:color w:val="000000"/>
                <w:sz w:val="18"/>
                <w:szCs w:val="18"/>
                <w:lang w:eastAsia="ko-KR"/>
              </w:rPr>
              <w:t>,</w:t>
            </w:r>
            <w:r w:rsidRPr="00007A97">
              <w:rPr>
                <w:rFonts w:ascii="Arial" w:hAnsi="Arial" w:cs="Arial"/>
                <w:b/>
                <w:bCs/>
                <w:color w:val="000000"/>
                <w:sz w:val="18"/>
                <w:szCs w:val="18"/>
                <w:lang w:eastAsia="ko-KR"/>
              </w:rPr>
              <w:t xml:space="preserve"> </w:t>
            </w:r>
            <w:r w:rsidRPr="00007A97">
              <w:rPr>
                <w:rFonts w:ascii="Arial" w:hAnsi="Arial" w:cs="Arial"/>
                <w:color w:val="000000"/>
                <w:sz w:val="18"/>
                <w:szCs w:val="18"/>
                <w:lang w:eastAsia="ko-KR"/>
              </w:rPr>
              <w:t>section 129A</w:t>
            </w:r>
          </w:p>
        </w:tc>
        <w:tc>
          <w:tcPr>
            <w:tcW w:w="617" w:type="pct"/>
            <w:tcBorders>
              <w:top w:val="nil"/>
              <w:left w:val="single" w:sz="4" w:space="0" w:color="auto"/>
              <w:bottom w:val="nil"/>
              <w:right w:val="nil"/>
            </w:tcBorders>
            <w:vAlign w:val="center"/>
            <w:hideMark/>
          </w:tcPr>
          <w:p w14:paraId="52DDE4C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59F9B5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718012B" w14:textId="77777777" w:rsidR="00007A97" w:rsidRPr="00007A97" w:rsidRDefault="00007A97" w:rsidP="00007A97">
            <w:pPr>
              <w:jc w:val="center"/>
              <w:rPr>
                <w:rFonts w:ascii="Times New Roman" w:hAnsi="Times New Roman"/>
                <w:lang w:eastAsia="ko-KR"/>
              </w:rPr>
            </w:pPr>
          </w:p>
        </w:tc>
      </w:tr>
      <w:tr w:rsidR="00F41C4E" w:rsidRPr="00007A97" w14:paraId="07603FE1" w14:textId="77777777" w:rsidTr="00F41C4E">
        <w:trPr>
          <w:trHeight w:val="285"/>
        </w:trPr>
        <w:tc>
          <w:tcPr>
            <w:tcW w:w="352" w:type="pct"/>
            <w:tcBorders>
              <w:top w:val="nil"/>
              <w:left w:val="single" w:sz="4" w:space="0" w:color="auto"/>
              <w:bottom w:val="nil"/>
              <w:right w:val="nil"/>
            </w:tcBorders>
            <w:noWrap/>
            <w:vAlign w:val="center"/>
            <w:hideMark/>
          </w:tcPr>
          <w:p w14:paraId="4D368AC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077873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Agricultural and Veterinary Chemicals (Control of Use) Act 1992</w:t>
            </w:r>
          </w:p>
        </w:tc>
        <w:tc>
          <w:tcPr>
            <w:tcW w:w="617" w:type="pct"/>
            <w:tcBorders>
              <w:top w:val="nil"/>
              <w:left w:val="single" w:sz="4" w:space="0" w:color="auto"/>
              <w:bottom w:val="nil"/>
              <w:right w:val="nil"/>
            </w:tcBorders>
            <w:vAlign w:val="center"/>
            <w:hideMark/>
          </w:tcPr>
          <w:p w14:paraId="448AC097"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A0B2D8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9DDA719" w14:textId="77777777" w:rsidR="00007A97" w:rsidRPr="00007A97" w:rsidRDefault="00007A97" w:rsidP="00007A97">
            <w:pPr>
              <w:jc w:val="center"/>
              <w:rPr>
                <w:rFonts w:ascii="Times New Roman" w:hAnsi="Times New Roman"/>
                <w:lang w:eastAsia="ko-KR"/>
              </w:rPr>
            </w:pPr>
          </w:p>
        </w:tc>
      </w:tr>
      <w:tr w:rsidR="00F41C4E" w:rsidRPr="00007A97" w14:paraId="7EA4E1F3" w14:textId="77777777" w:rsidTr="00F41C4E">
        <w:trPr>
          <w:trHeight w:val="285"/>
        </w:trPr>
        <w:tc>
          <w:tcPr>
            <w:tcW w:w="352" w:type="pct"/>
            <w:tcBorders>
              <w:top w:val="nil"/>
              <w:left w:val="single" w:sz="4" w:space="0" w:color="auto"/>
              <w:bottom w:val="nil"/>
              <w:right w:val="nil"/>
            </w:tcBorders>
            <w:noWrap/>
            <w:vAlign w:val="center"/>
            <w:hideMark/>
          </w:tcPr>
          <w:p w14:paraId="127F4D6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8C8C71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Architects Act 1991</w:t>
            </w:r>
          </w:p>
        </w:tc>
        <w:tc>
          <w:tcPr>
            <w:tcW w:w="617" w:type="pct"/>
            <w:tcBorders>
              <w:top w:val="nil"/>
              <w:left w:val="single" w:sz="4" w:space="0" w:color="auto"/>
              <w:bottom w:val="nil"/>
              <w:right w:val="nil"/>
            </w:tcBorders>
            <w:vAlign w:val="center"/>
            <w:hideMark/>
          </w:tcPr>
          <w:p w14:paraId="098A044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ED2487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432098B" w14:textId="77777777" w:rsidR="00007A97" w:rsidRPr="00007A97" w:rsidRDefault="00007A97" w:rsidP="00007A97">
            <w:pPr>
              <w:jc w:val="center"/>
              <w:rPr>
                <w:rFonts w:ascii="Times New Roman" w:hAnsi="Times New Roman"/>
                <w:lang w:eastAsia="ko-KR"/>
              </w:rPr>
            </w:pPr>
          </w:p>
        </w:tc>
      </w:tr>
      <w:tr w:rsidR="00F41C4E" w:rsidRPr="00007A97" w14:paraId="05C6368D" w14:textId="77777777" w:rsidTr="00F41C4E">
        <w:trPr>
          <w:trHeight w:val="285"/>
        </w:trPr>
        <w:tc>
          <w:tcPr>
            <w:tcW w:w="352" w:type="pct"/>
            <w:tcBorders>
              <w:top w:val="nil"/>
              <w:left w:val="single" w:sz="4" w:space="0" w:color="auto"/>
              <w:bottom w:val="nil"/>
              <w:right w:val="nil"/>
            </w:tcBorders>
            <w:noWrap/>
            <w:vAlign w:val="center"/>
            <w:hideMark/>
          </w:tcPr>
          <w:p w14:paraId="167D19E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85822E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Associations Incorporation Reform Act 2012</w:t>
            </w:r>
          </w:p>
        </w:tc>
        <w:tc>
          <w:tcPr>
            <w:tcW w:w="617" w:type="pct"/>
            <w:tcBorders>
              <w:top w:val="nil"/>
              <w:left w:val="single" w:sz="4" w:space="0" w:color="auto"/>
              <w:bottom w:val="nil"/>
              <w:right w:val="nil"/>
            </w:tcBorders>
            <w:vAlign w:val="center"/>
            <w:hideMark/>
          </w:tcPr>
          <w:p w14:paraId="48403CF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370381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32461BB" w14:textId="77777777" w:rsidR="00007A97" w:rsidRPr="00007A97" w:rsidRDefault="00007A97" w:rsidP="00007A97">
            <w:pPr>
              <w:jc w:val="center"/>
              <w:rPr>
                <w:rFonts w:ascii="Times New Roman" w:hAnsi="Times New Roman"/>
                <w:lang w:eastAsia="ko-KR"/>
              </w:rPr>
            </w:pPr>
          </w:p>
        </w:tc>
      </w:tr>
      <w:tr w:rsidR="00F41C4E" w:rsidRPr="00007A97" w14:paraId="524CECB7" w14:textId="77777777" w:rsidTr="00F41C4E">
        <w:trPr>
          <w:trHeight w:val="285"/>
        </w:trPr>
        <w:tc>
          <w:tcPr>
            <w:tcW w:w="352" w:type="pct"/>
            <w:tcBorders>
              <w:top w:val="nil"/>
              <w:left w:val="single" w:sz="4" w:space="0" w:color="auto"/>
              <w:bottom w:val="nil"/>
              <w:right w:val="nil"/>
            </w:tcBorders>
            <w:noWrap/>
            <w:vAlign w:val="center"/>
            <w:hideMark/>
          </w:tcPr>
          <w:p w14:paraId="20277D1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5F79CB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Back to Work Act 2015</w:t>
            </w:r>
          </w:p>
        </w:tc>
        <w:tc>
          <w:tcPr>
            <w:tcW w:w="617" w:type="pct"/>
            <w:tcBorders>
              <w:top w:val="nil"/>
              <w:left w:val="single" w:sz="4" w:space="0" w:color="auto"/>
              <w:bottom w:val="nil"/>
              <w:right w:val="nil"/>
            </w:tcBorders>
            <w:vAlign w:val="center"/>
            <w:hideMark/>
          </w:tcPr>
          <w:p w14:paraId="2744413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086DD4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0E3E820" w14:textId="77777777" w:rsidR="00007A97" w:rsidRPr="00007A97" w:rsidRDefault="00007A97" w:rsidP="00007A97">
            <w:pPr>
              <w:jc w:val="center"/>
              <w:rPr>
                <w:rFonts w:ascii="Times New Roman" w:hAnsi="Times New Roman"/>
                <w:lang w:eastAsia="ko-KR"/>
              </w:rPr>
            </w:pPr>
          </w:p>
        </w:tc>
      </w:tr>
      <w:tr w:rsidR="00F41C4E" w:rsidRPr="00007A97" w14:paraId="4DAECDE6" w14:textId="77777777" w:rsidTr="00F41C4E">
        <w:trPr>
          <w:trHeight w:val="285"/>
        </w:trPr>
        <w:tc>
          <w:tcPr>
            <w:tcW w:w="352" w:type="pct"/>
            <w:tcBorders>
              <w:top w:val="nil"/>
              <w:left w:val="single" w:sz="4" w:space="0" w:color="auto"/>
              <w:bottom w:val="nil"/>
              <w:right w:val="nil"/>
            </w:tcBorders>
            <w:noWrap/>
            <w:vAlign w:val="center"/>
            <w:hideMark/>
          </w:tcPr>
          <w:p w14:paraId="6C220CA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14C839C"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Biological Control Act 1986</w:t>
            </w:r>
          </w:p>
        </w:tc>
        <w:tc>
          <w:tcPr>
            <w:tcW w:w="617" w:type="pct"/>
            <w:tcBorders>
              <w:top w:val="nil"/>
              <w:left w:val="single" w:sz="4" w:space="0" w:color="auto"/>
              <w:bottom w:val="nil"/>
              <w:right w:val="nil"/>
            </w:tcBorders>
            <w:vAlign w:val="center"/>
            <w:hideMark/>
          </w:tcPr>
          <w:p w14:paraId="1F61FE2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D60934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CFE2A6F" w14:textId="77777777" w:rsidR="00007A97" w:rsidRPr="00007A97" w:rsidRDefault="00007A97" w:rsidP="00007A97">
            <w:pPr>
              <w:jc w:val="center"/>
              <w:rPr>
                <w:rFonts w:ascii="Times New Roman" w:hAnsi="Times New Roman"/>
                <w:lang w:eastAsia="ko-KR"/>
              </w:rPr>
            </w:pPr>
          </w:p>
        </w:tc>
      </w:tr>
      <w:tr w:rsidR="00F41C4E" w:rsidRPr="00007A97" w14:paraId="53CA2E90" w14:textId="77777777" w:rsidTr="00F41C4E">
        <w:trPr>
          <w:trHeight w:val="285"/>
        </w:trPr>
        <w:tc>
          <w:tcPr>
            <w:tcW w:w="352" w:type="pct"/>
            <w:tcBorders>
              <w:top w:val="nil"/>
              <w:left w:val="single" w:sz="4" w:space="0" w:color="auto"/>
              <w:bottom w:val="nil"/>
              <w:right w:val="nil"/>
            </w:tcBorders>
            <w:noWrap/>
            <w:vAlign w:val="center"/>
            <w:hideMark/>
          </w:tcPr>
          <w:p w14:paraId="461DC7C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F85BAE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Births, Deaths and Marriages Registration Act 1996</w:t>
            </w:r>
          </w:p>
        </w:tc>
        <w:tc>
          <w:tcPr>
            <w:tcW w:w="617" w:type="pct"/>
            <w:tcBorders>
              <w:top w:val="nil"/>
              <w:left w:val="single" w:sz="4" w:space="0" w:color="auto"/>
              <w:bottom w:val="nil"/>
              <w:right w:val="nil"/>
            </w:tcBorders>
            <w:vAlign w:val="center"/>
            <w:hideMark/>
          </w:tcPr>
          <w:p w14:paraId="485F8D0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4B120A1"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A3D7BFB" w14:textId="77777777" w:rsidR="00007A97" w:rsidRPr="00007A97" w:rsidRDefault="00007A97" w:rsidP="00007A97">
            <w:pPr>
              <w:jc w:val="center"/>
              <w:rPr>
                <w:rFonts w:ascii="Times New Roman" w:hAnsi="Times New Roman"/>
                <w:lang w:eastAsia="ko-KR"/>
              </w:rPr>
            </w:pPr>
          </w:p>
        </w:tc>
      </w:tr>
      <w:tr w:rsidR="00F41C4E" w:rsidRPr="00007A97" w14:paraId="4E60E417" w14:textId="77777777" w:rsidTr="00F41C4E">
        <w:trPr>
          <w:trHeight w:val="510"/>
        </w:trPr>
        <w:tc>
          <w:tcPr>
            <w:tcW w:w="352" w:type="pct"/>
            <w:tcBorders>
              <w:top w:val="nil"/>
              <w:left w:val="single" w:sz="4" w:space="0" w:color="auto"/>
              <w:bottom w:val="nil"/>
              <w:right w:val="nil"/>
            </w:tcBorders>
            <w:noWrap/>
            <w:vAlign w:val="center"/>
            <w:hideMark/>
          </w:tcPr>
          <w:p w14:paraId="0E69371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573FD1E"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Building Act 1993</w:t>
            </w:r>
            <w:r w:rsidRPr="00007A97">
              <w:rPr>
                <w:rFonts w:ascii="Arial" w:hAnsi="Arial" w:cs="Arial"/>
                <w:color w:val="000000"/>
                <w:sz w:val="18"/>
                <w:szCs w:val="18"/>
                <w:lang w:eastAsia="ko-KR"/>
              </w:rPr>
              <w:t>, sections 25J and 186, Division 12 of Part 12A, section 187ZI and clause 10(3) and (4) of Schedule 7</w:t>
            </w:r>
          </w:p>
        </w:tc>
        <w:tc>
          <w:tcPr>
            <w:tcW w:w="617" w:type="pct"/>
            <w:tcBorders>
              <w:top w:val="nil"/>
              <w:left w:val="single" w:sz="4" w:space="0" w:color="auto"/>
              <w:bottom w:val="nil"/>
              <w:right w:val="nil"/>
            </w:tcBorders>
            <w:vAlign w:val="center"/>
            <w:hideMark/>
          </w:tcPr>
          <w:p w14:paraId="7DC260D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509ABD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F111BB5" w14:textId="77777777" w:rsidR="00007A97" w:rsidRPr="00007A97" w:rsidRDefault="00007A97" w:rsidP="00007A97">
            <w:pPr>
              <w:jc w:val="center"/>
              <w:rPr>
                <w:rFonts w:ascii="Times New Roman" w:hAnsi="Times New Roman"/>
                <w:lang w:eastAsia="ko-KR"/>
              </w:rPr>
            </w:pPr>
          </w:p>
        </w:tc>
      </w:tr>
      <w:tr w:rsidR="00F41C4E" w:rsidRPr="00007A97" w14:paraId="575EBDFE" w14:textId="77777777" w:rsidTr="00F41C4E">
        <w:trPr>
          <w:trHeight w:val="285"/>
        </w:trPr>
        <w:tc>
          <w:tcPr>
            <w:tcW w:w="352" w:type="pct"/>
            <w:tcBorders>
              <w:top w:val="nil"/>
              <w:left w:val="single" w:sz="4" w:space="0" w:color="auto"/>
              <w:bottom w:val="nil"/>
              <w:right w:val="nil"/>
            </w:tcBorders>
            <w:noWrap/>
            <w:vAlign w:val="center"/>
            <w:hideMark/>
          </w:tcPr>
          <w:p w14:paraId="761B319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C49D1D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Bus Safety Act 2009</w:t>
            </w:r>
          </w:p>
        </w:tc>
        <w:tc>
          <w:tcPr>
            <w:tcW w:w="617" w:type="pct"/>
            <w:tcBorders>
              <w:top w:val="nil"/>
              <w:left w:val="single" w:sz="4" w:space="0" w:color="auto"/>
              <w:bottom w:val="nil"/>
              <w:right w:val="nil"/>
            </w:tcBorders>
            <w:vAlign w:val="center"/>
            <w:hideMark/>
          </w:tcPr>
          <w:p w14:paraId="0703B4E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4405B5C"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3FDB6E9" w14:textId="77777777" w:rsidR="00007A97" w:rsidRPr="00007A97" w:rsidRDefault="00007A97" w:rsidP="00007A97">
            <w:pPr>
              <w:jc w:val="center"/>
              <w:rPr>
                <w:rFonts w:ascii="Times New Roman" w:hAnsi="Times New Roman"/>
                <w:lang w:eastAsia="ko-KR"/>
              </w:rPr>
            </w:pPr>
          </w:p>
        </w:tc>
      </w:tr>
      <w:tr w:rsidR="00F41C4E" w:rsidRPr="00007A97" w14:paraId="220E5B23" w14:textId="77777777" w:rsidTr="00F41C4E">
        <w:trPr>
          <w:trHeight w:val="285"/>
        </w:trPr>
        <w:tc>
          <w:tcPr>
            <w:tcW w:w="352" w:type="pct"/>
            <w:tcBorders>
              <w:top w:val="nil"/>
              <w:left w:val="single" w:sz="4" w:space="0" w:color="auto"/>
              <w:bottom w:val="nil"/>
              <w:right w:val="nil"/>
            </w:tcBorders>
            <w:noWrap/>
            <w:vAlign w:val="center"/>
            <w:hideMark/>
          </w:tcPr>
          <w:p w14:paraId="68AB9FB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B1A7B7C"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Business Licensing Authority Act 1998</w:t>
            </w:r>
          </w:p>
        </w:tc>
        <w:tc>
          <w:tcPr>
            <w:tcW w:w="617" w:type="pct"/>
            <w:tcBorders>
              <w:top w:val="nil"/>
              <w:left w:val="single" w:sz="4" w:space="0" w:color="auto"/>
              <w:bottom w:val="nil"/>
              <w:right w:val="nil"/>
            </w:tcBorders>
            <w:vAlign w:val="center"/>
            <w:hideMark/>
          </w:tcPr>
          <w:p w14:paraId="61FFF54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371653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0456A5E" w14:textId="77777777" w:rsidR="00007A97" w:rsidRPr="00007A97" w:rsidRDefault="00007A97" w:rsidP="00007A97">
            <w:pPr>
              <w:jc w:val="center"/>
              <w:rPr>
                <w:rFonts w:ascii="Times New Roman" w:hAnsi="Times New Roman"/>
                <w:lang w:eastAsia="ko-KR"/>
              </w:rPr>
            </w:pPr>
          </w:p>
        </w:tc>
      </w:tr>
      <w:tr w:rsidR="00F41C4E" w:rsidRPr="00007A97" w14:paraId="6C91CAD7" w14:textId="77777777" w:rsidTr="00F41C4E">
        <w:trPr>
          <w:trHeight w:val="285"/>
        </w:trPr>
        <w:tc>
          <w:tcPr>
            <w:tcW w:w="352" w:type="pct"/>
            <w:tcBorders>
              <w:top w:val="nil"/>
              <w:left w:val="single" w:sz="4" w:space="0" w:color="auto"/>
              <w:bottom w:val="nil"/>
              <w:right w:val="nil"/>
            </w:tcBorders>
            <w:noWrap/>
            <w:vAlign w:val="center"/>
            <w:hideMark/>
          </w:tcPr>
          <w:p w14:paraId="1BCB100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832ACDD"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Cemeteries and Crematoria Act 2003</w:t>
            </w:r>
          </w:p>
        </w:tc>
        <w:tc>
          <w:tcPr>
            <w:tcW w:w="617" w:type="pct"/>
            <w:tcBorders>
              <w:top w:val="nil"/>
              <w:left w:val="single" w:sz="4" w:space="0" w:color="auto"/>
              <w:bottom w:val="nil"/>
              <w:right w:val="nil"/>
            </w:tcBorders>
            <w:vAlign w:val="center"/>
            <w:hideMark/>
          </w:tcPr>
          <w:p w14:paraId="2B1E8FB3"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E7B91B4"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59191C3" w14:textId="77777777" w:rsidR="00007A97" w:rsidRPr="00007A97" w:rsidRDefault="00007A97" w:rsidP="00007A97">
            <w:pPr>
              <w:jc w:val="center"/>
              <w:rPr>
                <w:rFonts w:ascii="Times New Roman" w:hAnsi="Times New Roman"/>
                <w:lang w:eastAsia="ko-KR"/>
              </w:rPr>
            </w:pPr>
          </w:p>
        </w:tc>
      </w:tr>
      <w:tr w:rsidR="00F41C4E" w:rsidRPr="00007A97" w14:paraId="18E6CEA0" w14:textId="77777777" w:rsidTr="00F41C4E">
        <w:trPr>
          <w:trHeight w:val="285"/>
        </w:trPr>
        <w:tc>
          <w:tcPr>
            <w:tcW w:w="352" w:type="pct"/>
            <w:tcBorders>
              <w:top w:val="nil"/>
              <w:left w:val="single" w:sz="4" w:space="0" w:color="auto"/>
              <w:bottom w:val="nil"/>
              <w:right w:val="nil"/>
            </w:tcBorders>
            <w:noWrap/>
            <w:vAlign w:val="center"/>
            <w:hideMark/>
          </w:tcPr>
          <w:p w14:paraId="301F949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695244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Children's Services Act 1996</w:t>
            </w:r>
          </w:p>
        </w:tc>
        <w:tc>
          <w:tcPr>
            <w:tcW w:w="617" w:type="pct"/>
            <w:tcBorders>
              <w:top w:val="nil"/>
              <w:left w:val="single" w:sz="4" w:space="0" w:color="auto"/>
              <w:bottom w:val="nil"/>
              <w:right w:val="nil"/>
            </w:tcBorders>
            <w:vAlign w:val="center"/>
            <w:hideMark/>
          </w:tcPr>
          <w:p w14:paraId="629D781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E14919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623725B" w14:textId="77777777" w:rsidR="00007A97" w:rsidRPr="00007A97" w:rsidRDefault="00007A97" w:rsidP="00007A97">
            <w:pPr>
              <w:jc w:val="center"/>
              <w:rPr>
                <w:rFonts w:ascii="Times New Roman" w:hAnsi="Times New Roman"/>
                <w:lang w:eastAsia="ko-KR"/>
              </w:rPr>
            </w:pPr>
          </w:p>
        </w:tc>
      </w:tr>
      <w:tr w:rsidR="00F41C4E" w:rsidRPr="00007A97" w14:paraId="2D3542AA" w14:textId="77777777" w:rsidTr="00F41C4E">
        <w:trPr>
          <w:trHeight w:val="285"/>
        </w:trPr>
        <w:tc>
          <w:tcPr>
            <w:tcW w:w="352" w:type="pct"/>
            <w:tcBorders>
              <w:top w:val="nil"/>
              <w:left w:val="single" w:sz="4" w:space="0" w:color="auto"/>
              <w:bottom w:val="nil"/>
              <w:right w:val="nil"/>
            </w:tcBorders>
            <w:noWrap/>
            <w:vAlign w:val="center"/>
            <w:hideMark/>
          </w:tcPr>
          <w:p w14:paraId="6991812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E13A0E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Commercial Passenger Vehicle Industry Act 2017</w:t>
            </w:r>
          </w:p>
        </w:tc>
        <w:tc>
          <w:tcPr>
            <w:tcW w:w="617" w:type="pct"/>
            <w:tcBorders>
              <w:top w:val="nil"/>
              <w:left w:val="single" w:sz="4" w:space="0" w:color="auto"/>
              <w:bottom w:val="nil"/>
              <w:right w:val="nil"/>
            </w:tcBorders>
            <w:vAlign w:val="center"/>
            <w:hideMark/>
          </w:tcPr>
          <w:p w14:paraId="220FEC6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7ECC6E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197F240" w14:textId="77777777" w:rsidR="00007A97" w:rsidRPr="00007A97" w:rsidRDefault="00007A97" w:rsidP="00007A97">
            <w:pPr>
              <w:jc w:val="center"/>
              <w:rPr>
                <w:rFonts w:ascii="Times New Roman" w:hAnsi="Times New Roman"/>
                <w:lang w:eastAsia="ko-KR"/>
              </w:rPr>
            </w:pPr>
          </w:p>
        </w:tc>
      </w:tr>
      <w:tr w:rsidR="00F41C4E" w:rsidRPr="00007A97" w14:paraId="5DDE3B57" w14:textId="77777777" w:rsidTr="00F41C4E">
        <w:trPr>
          <w:trHeight w:val="285"/>
        </w:trPr>
        <w:tc>
          <w:tcPr>
            <w:tcW w:w="352" w:type="pct"/>
            <w:tcBorders>
              <w:top w:val="nil"/>
              <w:left w:val="single" w:sz="4" w:space="0" w:color="auto"/>
              <w:bottom w:val="nil"/>
              <w:right w:val="nil"/>
            </w:tcBorders>
            <w:noWrap/>
            <w:vAlign w:val="center"/>
            <w:hideMark/>
          </w:tcPr>
          <w:p w14:paraId="6F4B3D2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477349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Conveyancers Act 2006</w:t>
            </w:r>
            <w:r w:rsidRPr="00007A97">
              <w:rPr>
                <w:rFonts w:ascii="Arial" w:hAnsi="Arial" w:cs="Arial"/>
                <w:color w:val="000000"/>
                <w:sz w:val="18"/>
                <w:szCs w:val="18"/>
                <w:lang w:eastAsia="ko-KR"/>
              </w:rPr>
              <w:t>, sections 33, 34, 146 and 187</w:t>
            </w:r>
          </w:p>
        </w:tc>
        <w:tc>
          <w:tcPr>
            <w:tcW w:w="617" w:type="pct"/>
            <w:tcBorders>
              <w:top w:val="nil"/>
              <w:left w:val="single" w:sz="4" w:space="0" w:color="auto"/>
              <w:bottom w:val="nil"/>
              <w:right w:val="nil"/>
            </w:tcBorders>
            <w:vAlign w:val="center"/>
            <w:hideMark/>
          </w:tcPr>
          <w:p w14:paraId="5C28D90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61A8B0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35563B0" w14:textId="77777777" w:rsidR="00007A97" w:rsidRPr="00007A97" w:rsidRDefault="00007A97" w:rsidP="00007A97">
            <w:pPr>
              <w:jc w:val="center"/>
              <w:rPr>
                <w:rFonts w:ascii="Times New Roman" w:hAnsi="Times New Roman"/>
                <w:lang w:eastAsia="ko-KR"/>
              </w:rPr>
            </w:pPr>
          </w:p>
        </w:tc>
      </w:tr>
      <w:tr w:rsidR="00F41C4E" w:rsidRPr="00007A97" w14:paraId="13F85189" w14:textId="77777777" w:rsidTr="00F41C4E">
        <w:trPr>
          <w:trHeight w:val="285"/>
        </w:trPr>
        <w:tc>
          <w:tcPr>
            <w:tcW w:w="352" w:type="pct"/>
            <w:tcBorders>
              <w:top w:val="nil"/>
              <w:left w:val="single" w:sz="4" w:space="0" w:color="auto"/>
              <w:bottom w:val="nil"/>
              <w:right w:val="nil"/>
            </w:tcBorders>
            <w:noWrap/>
            <w:vAlign w:val="center"/>
            <w:hideMark/>
          </w:tcPr>
          <w:p w14:paraId="319761B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78D16B5"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Co</w:t>
            </w:r>
            <w:r w:rsidRPr="00007A97">
              <w:rPr>
                <w:rFonts w:ascii="Arial" w:hAnsi="Arial" w:cs="Arial"/>
                <w:color w:val="000000"/>
                <w:sz w:val="18"/>
                <w:szCs w:val="18"/>
                <w:lang w:eastAsia="ko-KR"/>
              </w:rPr>
              <w:noBreakHyphen/>
              <w:t>operatives National Law (Victoria)</w:t>
            </w:r>
          </w:p>
        </w:tc>
        <w:tc>
          <w:tcPr>
            <w:tcW w:w="617" w:type="pct"/>
            <w:tcBorders>
              <w:top w:val="nil"/>
              <w:left w:val="single" w:sz="4" w:space="0" w:color="auto"/>
              <w:bottom w:val="nil"/>
              <w:right w:val="nil"/>
            </w:tcBorders>
            <w:vAlign w:val="center"/>
            <w:hideMark/>
          </w:tcPr>
          <w:p w14:paraId="1AACD414"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7350D13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E761B0A" w14:textId="77777777" w:rsidR="00007A97" w:rsidRPr="00007A97" w:rsidRDefault="00007A97" w:rsidP="00007A97">
            <w:pPr>
              <w:jc w:val="center"/>
              <w:rPr>
                <w:rFonts w:ascii="Times New Roman" w:hAnsi="Times New Roman"/>
                <w:lang w:eastAsia="ko-KR"/>
              </w:rPr>
            </w:pPr>
          </w:p>
        </w:tc>
      </w:tr>
      <w:tr w:rsidR="00F41C4E" w:rsidRPr="00007A97" w14:paraId="739FE39C" w14:textId="77777777" w:rsidTr="00F41C4E">
        <w:trPr>
          <w:trHeight w:val="285"/>
        </w:trPr>
        <w:tc>
          <w:tcPr>
            <w:tcW w:w="352" w:type="pct"/>
            <w:tcBorders>
              <w:top w:val="nil"/>
              <w:left w:val="single" w:sz="4" w:space="0" w:color="auto"/>
              <w:bottom w:val="nil"/>
              <w:right w:val="nil"/>
            </w:tcBorders>
            <w:noWrap/>
            <w:vAlign w:val="center"/>
            <w:hideMark/>
          </w:tcPr>
          <w:p w14:paraId="385CB4D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79234D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Country Fire Authority Act 1958</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1F01A6F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D6F5EE6"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498591F" w14:textId="77777777" w:rsidR="00007A97" w:rsidRPr="00007A97" w:rsidRDefault="00007A97" w:rsidP="00007A97">
            <w:pPr>
              <w:jc w:val="center"/>
              <w:rPr>
                <w:rFonts w:ascii="Times New Roman" w:hAnsi="Times New Roman"/>
                <w:lang w:eastAsia="ko-KR"/>
              </w:rPr>
            </w:pPr>
          </w:p>
        </w:tc>
      </w:tr>
      <w:tr w:rsidR="00F41C4E" w:rsidRPr="00007A97" w14:paraId="48AE1620" w14:textId="77777777" w:rsidTr="00F41C4E">
        <w:trPr>
          <w:trHeight w:val="285"/>
        </w:trPr>
        <w:tc>
          <w:tcPr>
            <w:tcW w:w="352" w:type="pct"/>
            <w:tcBorders>
              <w:top w:val="nil"/>
              <w:left w:val="single" w:sz="4" w:space="0" w:color="auto"/>
              <w:bottom w:val="nil"/>
              <w:right w:val="nil"/>
            </w:tcBorders>
            <w:noWrap/>
            <w:vAlign w:val="center"/>
            <w:hideMark/>
          </w:tcPr>
          <w:p w14:paraId="57EBC05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A3EE6BC"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Dairy Act 2000</w:t>
            </w:r>
          </w:p>
        </w:tc>
        <w:tc>
          <w:tcPr>
            <w:tcW w:w="617" w:type="pct"/>
            <w:tcBorders>
              <w:top w:val="nil"/>
              <w:left w:val="single" w:sz="4" w:space="0" w:color="auto"/>
              <w:bottom w:val="nil"/>
              <w:right w:val="nil"/>
            </w:tcBorders>
            <w:vAlign w:val="center"/>
            <w:hideMark/>
          </w:tcPr>
          <w:p w14:paraId="2A2669F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EBB7D3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9BED2EA" w14:textId="77777777" w:rsidR="00007A97" w:rsidRPr="00007A97" w:rsidRDefault="00007A97" w:rsidP="00007A97">
            <w:pPr>
              <w:jc w:val="center"/>
              <w:rPr>
                <w:rFonts w:ascii="Times New Roman" w:hAnsi="Times New Roman"/>
                <w:lang w:eastAsia="ko-KR"/>
              </w:rPr>
            </w:pPr>
          </w:p>
        </w:tc>
      </w:tr>
      <w:tr w:rsidR="00F41C4E" w:rsidRPr="00007A97" w14:paraId="1147C21D" w14:textId="77777777" w:rsidTr="00F41C4E">
        <w:trPr>
          <w:trHeight w:val="285"/>
        </w:trPr>
        <w:tc>
          <w:tcPr>
            <w:tcW w:w="352" w:type="pct"/>
            <w:tcBorders>
              <w:top w:val="nil"/>
              <w:left w:val="single" w:sz="4" w:space="0" w:color="auto"/>
              <w:bottom w:val="nil"/>
              <w:right w:val="nil"/>
            </w:tcBorders>
            <w:noWrap/>
            <w:vAlign w:val="center"/>
            <w:hideMark/>
          </w:tcPr>
          <w:p w14:paraId="5993AF8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1C1A91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Dangerous Goods Act 1985</w:t>
            </w:r>
          </w:p>
        </w:tc>
        <w:tc>
          <w:tcPr>
            <w:tcW w:w="617" w:type="pct"/>
            <w:tcBorders>
              <w:top w:val="nil"/>
              <w:left w:val="single" w:sz="4" w:space="0" w:color="auto"/>
              <w:bottom w:val="nil"/>
              <w:right w:val="nil"/>
            </w:tcBorders>
            <w:vAlign w:val="center"/>
            <w:hideMark/>
          </w:tcPr>
          <w:p w14:paraId="4D8058B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FD7D59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6291643" w14:textId="77777777" w:rsidR="00007A97" w:rsidRPr="00007A97" w:rsidRDefault="00007A97" w:rsidP="00007A97">
            <w:pPr>
              <w:jc w:val="center"/>
              <w:rPr>
                <w:rFonts w:ascii="Times New Roman" w:hAnsi="Times New Roman"/>
                <w:lang w:eastAsia="ko-KR"/>
              </w:rPr>
            </w:pPr>
          </w:p>
        </w:tc>
      </w:tr>
      <w:tr w:rsidR="00F41C4E" w:rsidRPr="00007A97" w14:paraId="26D23CA2" w14:textId="77777777" w:rsidTr="00F41C4E">
        <w:trPr>
          <w:trHeight w:val="285"/>
        </w:trPr>
        <w:tc>
          <w:tcPr>
            <w:tcW w:w="352" w:type="pct"/>
            <w:tcBorders>
              <w:top w:val="nil"/>
              <w:left w:val="single" w:sz="4" w:space="0" w:color="auto"/>
              <w:bottom w:val="nil"/>
              <w:right w:val="nil"/>
            </w:tcBorders>
            <w:noWrap/>
            <w:vAlign w:val="center"/>
            <w:hideMark/>
          </w:tcPr>
          <w:p w14:paraId="08EE87B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lastRenderedPageBreak/>
              <w:t xml:space="preserve"> </w:t>
            </w:r>
          </w:p>
        </w:tc>
        <w:tc>
          <w:tcPr>
            <w:tcW w:w="2800" w:type="pct"/>
            <w:tcBorders>
              <w:top w:val="nil"/>
              <w:left w:val="single" w:sz="4" w:space="0" w:color="auto"/>
              <w:bottom w:val="nil"/>
              <w:right w:val="nil"/>
            </w:tcBorders>
            <w:vAlign w:val="center"/>
            <w:hideMark/>
          </w:tcPr>
          <w:p w14:paraId="41DA0FC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Development Victoria Act 2003</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659C7FB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FDC665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54E45A3" w14:textId="77777777" w:rsidR="00007A97" w:rsidRPr="00007A97" w:rsidRDefault="00007A97" w:rsidP="00007A97">
            <w:pPr>
              <w:jc w:val="center"/>
              <w:rPr>
                <w:rFonts w:ascii="Times New Roman" w:hAnsi="Times New Roman"/>
                <w:lang w:eastAsia="ko-KR"/>
              </w:rPr>
            </w:pPr>
          </w:p>
        </w:tc>
      </w:tr>
      <w:tr w:rsidR="00F41C4E" w:rsidRPr="00007A97" w14:paraId="2A13FCBC" w14:textId="77777777" w:rsidTr="00F41C4E">
        <w:trPr>
          <w:trHeight w:val="285"/>
        </w:trPr>
        <w:tc>
          <w:tcPr>
            <w:tcW w:w="352" w:type="pct"/>
            <w:tcBorders>
              <w:top w:val="nil"/>
              <w:left w:val="single" w:sz="4" w:space="0" w:color="auto"/>
              <w:bottom w:val="nil"/>
              <w:right w:val="nil"/>
            </w:tcBorders>
            <w:noWrap/>
            <w:vAlign w:val="center"/>
            <w:hideMark/>
          </w:tcPr>
          <w:p w14:paraId="6A6CD21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BC4A1E2"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Disability Act 2006</w:t>
            </w:r>
            <w:r w:rsidRPr="00007A97">
              <w:rPr>
                <w:rFonts w:ascii="Arial" w:hAnsi="Arial" w:cs="Arial"/>
                <w:color w:val="000000"/>
                <w:sz w:val="18"/>
                <w:szCs w:val="18"/>
                <w:lang w:eastAsia="ko-KR"/>
              </w:rPr>
              <w:t>, section 45</w:t>
            </w:r>
          </w:p>
        </w:tc>
        <w:tc>
          <w:tcPr>
            <w:tcW w:w="617" w:type="pct"/>
            <w:tcBorders>
              <w:top w:val="nil"/>
              <w:left w:val="single" w:sz="4" w:space="0" w:color="auto"/>
              <w:bottom w:val="nil"/>
              <w:right w:val="nil"/>
            </w:tcBorders>
            <w:vAlign w:val="center"/>
            <w:hideMark/>
          </w:tcPr>
          <w:p w14:paraId="718339A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247EB3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C17DA07" w14:textId="77777777" w:rsidR="00007A97" w:rsidRPr="00007A97" w:rsidRDefault="00007A97" w:rsidP="00007A97">
            <w:pPr>
              <w:jc w:val="center"/>
              <w:rPr>
                <w:rFonts w:ascii="Times New Roman" w:hAnsi="Times New Roman"/>
                <w:lang w:eastAsia="ko-KR"/>
              </w:rPr>
            </w:pPr>
          </w:p>
        </w:tc>
      </w:tr>
      <w:tr w:rsidR="00F41C4E" w:rsidRPr="00007A97" w14:paraId="759A10E5" w14:textId="77777777" w:rsidTr="00F41C4E">
        <w:trPr>
          <w:trHeight w:val="285"/>
        </w:trPr>
        <w:tc>
          <w:tcPr>
            <w:tcW w:w="352" w:type="pct"/>
            <w:tcBorders>
              <w:top w:val="nil"/>
              <w:left w:val="single" w:sz="4" w:space="0" w:color="auto"/>
              <w:bottom w:val="nil"/>
              <w:right w:val="nil"/>
            </w:tcBorders>
            <w:noWrap/>
            <w:vAlign w:val="center"/>
            <w:hideMark/>
          </w:tcPr>
          <w:p w14:paraId="5BD388F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D3B6A2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Disability Service Safeguards Act 2018</w:t>
            </w:r>
          </w:p>
        </w:tc>
        <w:tc>
          <w:tcPr>
            <w:tcW w:w="617" w:type="pct"/>
            <w:tcBorders>
              <w:top w:val="nil"/>
              <w:left w:val="single" w:sz="4" w:space="0" w:color="auto"/>
              <w:bottom w:val="nil"/>
              <w:right w:val="nil"/>
            </w:tcBorders>
            <w:vAlign w:val="center"/>
            <w:hideMark/>
          </w:tcPr>
          <w:p w14:paraId="4B64AAB1"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FF5358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D140F42" w14:textId="77777777" w:rsidR="00007A97" w:rsidRPr="00007A97" w:rsidRDefault="00007A97" w:rsidP="00007A97">
            <w:pPr>
              <w:jc w:val="center"/>
              <w:rPr>
                <w:rFonts w:ascii="Times New Roman" w:hAnsi="Times New Roman"/>
                <w:lang w:eastAsia="ko-KR"/>
              </w:rPr>
            </w:pPr>
          </w:p>
        </w:tc>
      </w:tr>
      <w:tr w:rsidR="00F41C4E" w:rsidRPr="00007A97" w14:paraId="0B0B5328" w14:textId="77777777" w:rsidTr="00F41C4E">
        <w:trPr>
          <w:trHeight w:val="285"/>
        </w:trPr>
        <w:tc>
          <w:tcPr>
            <w:tcW w:w="352" w:type="pct"/>
            <w:tcBorders>
              <w:top w:val="nil"/>
              <w:left w:val="single" w:sz="4" w:space="0" w:color="auto"/>
              <w:bottom w:val="nil"/>
              <w:right w:val="nil"/>
            </w:tcBorders>
            <w:noWrap/>
            <w:vAlign w:val="center"/>
            <w:hideMark/>
          </w:tcPr>
          <w:p w14:paraId="32870AB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1B1F88E"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Domestic Animals Act 1994</w:t>
            </w:r>
          </w:p>
        </w:tc>
        <w:tc>
          <w:tcPr>
            <w:tcW w:w="617" w:type="pct"/>
            <w:tcBorders>
              <w:top w:val="nil"/>
              <w:left w:val="single" w:sz="4" w:space="0" w:color="auto"/>
              <w:bottom w:val="nil"/>
              <w:right w:val="nil"/>
            </w:tcBorders>
            <w:vAlign w:val="center"/>
            <w:hideMark/>
          </w:tcPr>
          <w:p w14:paraId="2399014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FD3DD2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DD7635A" w14:textId="77777777" w:rsidR="00007A97" w:rsidRPr="00007A97" w:rsidRDefault="00007A97" w:rsidP="00007A97">
            <w:pPr>
              <w:jc w:val="center"/>
              <w:rPr>
                <w:rFonts w:ascii="Times New Roman" w:hAnsi="Times New Roman"/>
                <w:lang w:eastAsia="ko-KR"/>
              </w:rPr>
            </w:pPr>
          </w:p>
        </w:tc>
      </w:tr>
      <w:tr w:rsidR="00F41C4E" w:rsidRPr="00007A97" w14:paraId="722E3648" w14:textId="77777777" w:rsidTr="00F41C4E">
        <w:trPr>
          <w:trHeight w:val="285"/>
        </w:trPr>
        <w:tc>
          <w:tcPr>
            <w:tcW w:w="352" w:type="pct"/>
            <w:tcBorders>
              <w:top w:val="nil"/>
              <w:left w:val="single" w:sz="4" w:space="0" w:color="auto"/>
              <w:bottom w:val="nil"/>
              <w:right w:val="nil"/>
            </w:tcBorders>
            <w:noWrap/>
            <w:vAlign w:val="center"/>
            <w:hideMark/>
          </w:tcPr>
          <w:p w14:paraId="4C81E8B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ECA983E"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Drugs, Poisons and Controlled Substances Act 1981</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2D3F467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F7FD338"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5D6F2D3" w14:textId="77777777" w:rsidR="00007A97" w:rsidRPr="00007A97" w:rsidRDefault="00007A97" w:rsidP="00007A97">
            <w:pPr>
              <w:jc w:val="center"/>
              <w:rPr>
                <w:rFonts w:ascii="Times New Roman" w:hAnsi="Times New Roman"/>
                <w:lang w:eastAsia="ko-KR"/>
              </w:rPr>
            </w:pPr>
          </w:p>
        </w:tc>
      </w:tr>
      <w:tr w:rsidR="00F41C4E" w:rsidRPr="00007A97" w14:paraId="6F507B9F" w14:textId="77777777" w:rsidTr="00F41C4E">
        <w:trPr>
          <w:trHeight w:val="285"/>
        </w:trPr>
        <w:tc>
          <w:tcPr>
            <w:tcW w:w="352" w:type="pct"/>
            <w:tcBorders>
              <w:top w:val="nil"/>
              <w:left w:val="single" w:sz="4" w:space="0" w:color="auto"/>
              <w:bottom w:val="nil"/>
              <w:right w:val="nil"/>
            </w:tcBorders>
            <w:noWrap/>
            <w:vAlign w:val="center"/>
            <w:hideMark/>
          </w:tcPr>
          <w:p w14:paraId="71E559B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6B0DC51"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Education and Care Services National Law (Victoria)</w:t>
            </w:r>
          </w:p>
        </w:tc>
        <w:tc>
          <w:tcPr>
            <w:tcW w:w="617" w:type="pct"/>
            <w:tcBorders>
              <w:top w:val="nil"/>
              <w:left w:val="single" w:sz="4" w:space="0" w:color="auto"/>
              <w:bottom w:val="nil"/>
              <w:right w:val="nil"/>
            </w:tcBorders>
            <w:vAlign w:val="center"/>
            <w:hideMark/>
          </w:tcPr>
          <w:p w14:paraId="4A00C081"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19E5EDB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4DDE2BF" w14:textId="77777777" w:rsidR="00007A97" w:rsidRPr="00007A97" w:rsidRDefault="00007A97" w:rsidP="00007A97">
            <w:pPr>
              <w:jc w:val="center"/>
              <w:rPr>
                <w:rFonts w:ascii="Times New Roman" w:hAnsi="Times New Roman"/>
                <w:lang w:eastAsia="ko-KR"/>
              </w:rPr>
            </w:pPr>
          </w:p>
        </w:tc>
      </w:tr>
      <w:tr w:rsidR="00F41C4E" w:rsidRPr="00007A97" w14:paraId="524C97FF" w14:textId="77777777" w:rsidTr="00F41C4E">
        <w:trPr>
          <w:trHeight w:val="285"/>
        </w:trPr>
        <w:tc>
          <w:tcPr>
            <w:tcW w:w="352" w:type="pct"/>
            <w:tcBorders>
              <w:top w:val="nil"/>
              <w:left w:val="single" w:sz="4" w:space="0" w:color="auto"/>
              <w:bottom w:val="nil"/>
              <w:right w:val="nil"/>
            </w:tcBorders>
            <w:noWrap/>
            <w:vAlign w:val="center"/>
            <w:hideMark/>
          </w:tcPr>
          <w:p w14:paraId="7DA3727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26BABEF"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Education and Training Reform Act 2006</w:t>
            </w:r>
            <w:r w:rsidRPr="00007A97">
              <w:rPr>
                <w:rFonts w:ascii="Arial" w:hAnsi="Arial" w:cs="Arial"/>
                <w:color w:val="000000"/>
                <w:sz w:val="18"/>
                <w:szCs w:val="18"/>
                <w:lang w:eastAsia="ko-KR"/>
              </w:rPr>
              <w:t>, Division 14 of Part 2.6 and Part 4.8</w:t>
            </w:r>
          </w:p>
        </w:tc>
        <w:tc>
          <w:tcPr>
            <w:tcW w:w="617" w:type="pct"/>
            <w:tcBorders>
              <w:top w:val="nil"/>
              <w:left w:val="single" w:sz="4" w:space="0" w:color="auto"/>
              <w:bottom w:val="nil"/>
              <w:right w:val="nil"/>
            </w:tcBorders>
            <w:vAlign w:val="center"/>
            <w:hideMark/>
          </w:tcPr>
          <w:p w14:paraId="77AF9BC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6F91F9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E3D5758" w14:textId="77777777" w:rsidR="00007A97" w:rsidRPr="00007A97" w:rsidRDefault="00007A97" w:rsidP="00007A97">
            <w:pPr>
              <w:jc w:val="center"/>
              <w:rPr>
                <w:rFonts w:ascii="Times New Roman" w:hAnsi="Times New Roman"/>
                <w:lang w:eastAsia="ko-KR"/>
              </w:rPr>
            </w:pPr>
          </w:p>
        </w:tc>
      </w:tr>
      <w:tr w:rsidR="00F41C4E" w:rsidRPr="00007A97" w14:paraId="57E5F60C" w14:textId="77777777" w:rsidTr="00F41C4E">
        <w:trPr>
          <w:trHeight w:val="285"/>
        </w:trPr>
        <w:tc>
          <w:tcPr>
            <w:tcW w:w="352" w:type="pct"/>
            <w:tcBorders>
              <w:top w:val="nil"/>
              <w:left w:val="single" w:sz="4" w:space="0" w:color="auto"/>
              <w:bottom w:val="nil"/>
              <w:right w:val="nil"/>
            </w:tcBorders>
            <w:noWrap/>
            <w:vAlign w:val="center"/>
            <w:hideMark/>
          </w:tcPr>
          <w:p w14:paraId="5F6FE0F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2170B1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Electoral Act 2002</w:t>
            </w:r>
          </w:p>
        </w:tc>
        <w:tc>
          <w:tcPr>
            <w:tcW w:w="617" w:type="pct"/>
            <w:tcBorders>
              <w:top w:val="nil"/>
              <w:left w:val="single" w:sz="4" w:space="0" w:color="auto"/>
              <w:bottom w:val="nil"/>
              <w:right w:val="nil"/>
            </w:tcBorders>
            <w:vAlign w:val="center"/>
            <w:hideMark/>
          </w:tcPr>
          <w:p w14:paraId="291198F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326489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EBBDBA5" w14:textId="77777777" w:rsidR="00007A97" w:rsidRPr="00007A97" w:rsidRDefault="00007A97" w:rsidP="00007A97">
            <w:pPr>
              <w:jc w:val="center"/>
              <w:rPr>
                <w:rFonts w:ascii="Times New Roman" w:hAnsi="Times New Roman"/>
                <w:lang w:eastAsia="ko-KR"/>
              </w:rPr>
            </w:pPr>
          </w:p>
        </w:tc>
      </w:tr>
      <w:tr w:rsidR="00F41C4E" w:rsidRPr="00007A97" w14:paraId="16593B76" w14:textId="77777777" w:rsidTr="00F41C4E">
        <w:trPr>
          <w:trHeight w:val="285"/>
        </w:trPr>
        <w:tc>
          <w:tcPr>
            <w:tcW w:w="352" w:type="pct"/>
            <w:tcBorders>
              <w:top w:val="nil"/>
              <w:left w:val="single" w:sz="4" w:space="0" w:color="auto"/>
              <w:bottom w:val="nil"/>
              <w:right w:val="nil"/>
            </w:tcBorders>
            <w:noWrap/>
            <w:vAlign w:val="center"/>
            <w:hideMark/>
          </w:tcPr>
          <w:p w14:paraId="2C1D118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236932D"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Electricity Safety Act 1998</w:t>
            </w:r>
          </w:p>
        </w:tc>
        <w:tc>
          <w:tcPr>
            <w:tcW w:w="617" w:type="pct"/>
            <w:tcBorders>
              <w:top w:val="nil"/>
              <w:left w:val="single" w:sz="4" w:space="0" w:color="auto"/>
              <w:bottom w:val="nil"/>
              <w:right w:val="nil"/>
            </w:tcBorders>
            <w:vAlign w:val="center"/>
            <w:hideMark/>
          </w:tcPr>
          <w:p w14:paraId="32B9207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31EECC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46DE0E3" w14:textId="77777777" w:rsidR="00007A97" w:rsidRPr="00007A97" w:rsidRDefault="00007A97" w:rsidP="00007A97">
            <w:pPr>
              <w:jc w:val="center"/>
              <w:rPr>
                <w:rFonts w:ascii="Times New Roman" w:hAnsi="Times New Roman"/>
                <w:lang w:eastAsia="ko-KR"/>
              </w:rPr>
            </w:pPr>
          </w:p>
        </w:tc>
      </w:tr>
      <w:tr w:rsidR="00F41C4E" w:rsidRPr="00007A97" w14:paraId="661C3E91" w14:textId="77777777" w:rsidTr="00F41C4E">
        <w:trPr>
          <w:trHeight w:val="285"/>
        </w:trPr>
        <w:tc>
          <w:tcPr>
            <w:tcW w:w="352" w:type="pct"/>
            <w:tcBorders>
              <w:top w:val="nil"/>
              <w:left w:val="single" w:sz="4" w:space="0" w:color="auto"/>
              <w:bottom w:val="nil"/>
              <w:right w:val="nil"/>
            </w:tcBorders>
            <w:noWrap/>
            <w:vAlign w:val="center"/>
            <w:hideMark/>
          </w:tcPr>
          <w:p w14:paraId="784AE3E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C16CE91"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Emergency Management Act 1986</w:t>
            </w:r>
          </w:p>
        </w:tc>
        <w:tc>
          <w:tcPr>
            <w:tcW w:w="617" w:type="pct"/>
            <w:tcBorders>
              <w:top w:val="nil"/>
              <w:left w:val="single" w:sz="4" w:space="0" w:color="auto"/>
              <w:bottom w:val="nil"/>
              <w:right w:val="nil"/>
            </w:tcBorders>
            <w:vAlign w:val="center"/>
            <w:hideMark/>
          </w:tcPr>
          <w:p w14:paraId="41FF7801"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0AB846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F03F6B4" w14:textId="77777777" w:rsidR="00007A97" w:rsidRPr="00007A97" w:rsidRDefault="00007A97" w:rsidP="00007A97">
            <w:pPr>
              <w:jc w:val="center"/>
              <w:rPr>
                <w:rFonts w:ascii="Times New Roman" w:hAnsi="Times New Roman"/>
                <w:lang w:eastAsia="ko-KR"/>
              </w:rPr>
            </w:pPr>
          </w:p>
        </w:tc>
      </w:tr>
      <w:tr w:rsidR="00F41C4E" w:rsidRPr="00007A97" w14:paraId="7DC65F2F" w14:textId="77777777" w:rsidTr="00F41C4E">
        <w:trPr>
          <w:trHeight w:val="285"/>
        </w:trPr>
        <w:tc>
          <w:tcPr>
            <w:tcW w:w="352" w:type="pct"/>
            <w:tcBorders>
              <w:top w:val="nil"/>
              <w:left w:val="single" w:sz="4" w:space="0" w:color="auto"/>
              <w:bottom w:val="nil"/>
              <w:right w:val="nil"/>
            </w:tcBorders>
            <w:noWrap/>
            <w:vAlign w:val="center"/>
            <w:hideMark/>
          </w:tcPr>
          <w:p w14:paraId="64992A8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3022FF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Emergency Services Superannuation Act 1986</w:t>
            </w:r>
          </w:p>
        </w:tc>
        <w:tc>
          <w:tcPr>
            <w:tcW w:w="617" w:type="pct"/>
            <w:tcBorders>
              <w:top w:val="nil"/>
              <w:left w:val="single" w:sz="4" w:space="0" w:color="auto"/>
              <w:bottom w:val="nil"/>
              <w:right w:val="nil"/>
            </w:tcBorders>
            <w:vAlign w:val="center"/>
            <w:hideMark/>
          </w:tcPr>
          <w:p w14:paraId="65F6571D"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678EB9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7F2196D" w14:textId="77777777" w:rsidR="00007A97" w:rsidRPr="00007A97" w:rsidRDefault="00007A97" w:rsidP="00007A97">
            <w:pPr>
              <w:jc w:val="center"/>
              <w:rPr>
                <w:rFonts w:ascii="Times New Roman" w:hAnsi="Times New Roman"/>
                <w:lang w:eastAsia="ko-KR"/>
              </w:rPr>
            </w:pPr>
          </w:p>
        </w:tc>
      </w:tr>
      <w:tr w:rsidR="00F41C4E" w:rsidRPr="00007A97" w14:paraId="611B3958" w14:textId="77777777" w:rsidTr="00F41C4E">
        <w:trPr>
          <w:trHeight w:val="285"/>
        </w:trPr>
        <w:tc>
          <w:tcPr>
            <w:tcW w:w="352" w:type="pct"/>
            <w:tcBorders>
              <w:top w:val="nil"/>
              <w:left w:val="single" w:sz="4" w:space="0" w:color="auto"/>
              <w:bottom w:val="nil"/>
              <w:right w:val="nil"/>
            </w:tcBorders>
            <w:noWrap/>
            <w:vAlign w:val="center"/>
            <w:hideMark/>
          </w:tcPr>
          <w:p w14:paraId="3E3E803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EC8A3D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Equipment (Public Safety) Act 1994</w:t>
            </w:r>
          </w:p>
        </w:tc>
        <w:tc>
          <w:tcPr>
            <w:tcW w:w="617" w:type="pct"/>
            <w:tcBorders>
              <w:top w:val="nil"/>
              <w:left w:val="single" w:sz="4" w:space="0" w:color="auto"/>
              <w:bottom w:val="nil"/>
              <w:right w:val="nil"/>
            </w:tcBorders>
            <w:vAlign w:val="center"/>
            <w:hideMark/>
          </w:tcPr>
          <w:p w14:paraId="7242CA0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74DFEE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638EE4F" w14:textId="77777777" w:rsidR="00007A97" w:rsidRPr="00007A97" w:rsidRDefault="00007A97" w:rsidP="00007A97">
            <w:pPr>
              <w:jc w:val="center"/>
              <w:rPr>
                <w:rFonts w:ascii="Times New Roman" w:hAnsi="Times New Roman"/>
                <w:lang w:eastAsia="ko-KR"/>
              </w:rPr>
            </w:pPr>
          </w:p>
        </w:tc>
      </w:tr>
      <w:tr w:rsidR="00F41C4E" w:rsidRPr="00007A97" w14:paraId="61D4527D" w14:textId="77777777" w:rsidTr="00F41C4E">
        <w:trPr>
          <w:trHeight w:val="285"/>
        </w:trPr>
        <w:tc>
          <w:tcPr>
            <w:tcW w:w="352" w:type="pct"/>
            <w:tcBorders>
              <w:top w:val="nil"/>
              <w:left w:val="single" w:sz="4" w:space="0" w:color="auto"/>
              <w:bottom w:val="nil"/>
              <w:right w:val="nil"/>
            </w:tcBorders>
            <w:noWrap/>
            <w:vAlign w:val="center"/>
            <w:hideMark/>
          </w:tcPr>
          <w:p w14:paraId="6C73CD5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19983C8"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Essential Services Commission Act 2001</w:t>
            </w:r>
          </w:p>
        </w:tc>
        <w:tc>
          <w:tcPr>
            <w:tcW w:w="617" w:type="pct"/>
            <w:tcBorders>
              <w:top w:val="nil"/>
              <w:left w:val="single" w:sz="4" w:space="0" w:color="auto"/>
              <w:bottom w:val="nil"/>
              <w:right w:val="nil"/>
            </w:tcBorders>
            <w:vAlign w:val="center"/>
            <w:hideMark/>
          </w:tcPr>
          <w:p w14:paraId="69616F3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9F374F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BDB9447" w14:textId="77777777" w:rsidR="00007A97" w:rsidRPr="00007A97" w:rsidRDefault="00007A97" w:rsidP="00007A97">
            <w:pPr>
              <w:jc w:val="center"/>
              <w:rPr>
                <w:rFonts w:ascii="Times New Roman" w:hAnsi="Times New Roman"/>
                <w:lang w:eastAsia="ko-KR"/>
              </w:rPr>
            </w:pPr>
          </w:p>
        </w:tc>
      </w:tr>
      <w:tr w:rsidR="00F41C4E" w:rsidRPr="00007A97" w14:paraId="0D47F3E6" w14:textId="77777777" w:rsidTr="00F41C4E">
        <w:trPr>
          <w:trHeight w:val="285"/>
        </w:trPr>
        <w:tc>
          <w:tcPr>
            <w:tcW w:w="352" w:type="pct"/>
            <w:tcBorders>
              <w:top w:val="nil"/>
              <w:left w:val="single" w:sz="4" w:space="0" w:color="auto"/>
              <w:bottom w:val="nil"/>
              <w:right w:val="nil"/>
            </w:tcBorders>
            <w:noWrap/>
            <w:vAlign w:val="center"/>
            <w:hideMark/>
          </w:tcPr>
          <w:p w14:paraId="296D786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7B1C077"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Estate Agents Act 1980</w:t>
            </w:r>
            <w:r w:rsidRPr="00007A97">
              <w:rPr>
                <w:rFonts w:ascii="Arial" w:hAnsi="Arial" w:cs="Arial"/>
                <w:color w:val="000000"/>
                <w:sz w:val="18"/>
                <w:szCs w:val="18"/>
                <w:lang w:eastAsia="ko-KR"/>
              </w:rPr>
              <w:t>, except sections 56A(4) and 56B(1)</w:t>
            </w:r>
          </w:p>
        </w:tc>
        <w:tc>
          <w:tcPr>
            <w:tcW w:w="617" w:type="pct"/>
            <w:tcBorders>
              <w:top w:val="nil"/>
              <w:left w:val="single" w:sz="4" w:space="0" w:color="auto"/>
              <w:bottom w:val="nil"/>
              <w:right w:val="nil"/>
            </w:tcBorders>
            <w:vAlign w:val="center"/>
            <w:hideMark/>
          </w:tcPr>
          <w:p w14:paraId="29319163"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DA35BF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F0C7DEF" w14:textId="77777777" w:rsidR="00007A97" w:rsidRPr="00007A97" w:rsidRDefault="00007A97" w:rsidP="00007A97">
            <w:pPr>
              <w:jc w:val="center"/>
              <w:rPr>
                <w:rFonts w:ascii="Times New Roman" w:hAnsi="Times New Roman"/>
                <w:lang w:eastAsia="ko-KR"/>
              </w:rPr>
            </w:pPr>
          </w:p>
        </w:tc>
      </w:tr>
      <w:tr w:rsidR="00F41C4E" w:rsidRPr="00007A97" w14:paraId="5CCAD25B" w14:textId="77777777" w:rsidTr="00F41C4E">
        <w:trPr>
          <w:trHeight w:val="285"/>
        </w:trPr>
        <w:tc>
          <w:tcPr>
            <w:tcW w:w="352" w:type="pct"/>
            <w:tcBorders>
              <w:top w:val="nil"/>
              <w:left w:val="single" w:sz="4" w:space="0" w:color="auto"/>
              <w:bottom w:val="nil"/>
              <w:right w:val="nil"/>
            </w:tcBorders>
            <w:noWrap/>
            <w:vAlign w:val="center"/>
            <w:hideMark/>
          </w:tcPr>
          <w:p w14:paraId="1C64694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3271DB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Fire Rescue Victoria Act 1958</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1EAB97F3"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7F10E0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5B4310F" w14:textId="77777777" w:rsidR="00007A97" w:rsidRPr="00007A97" w:rsidRDefault="00007A97" w:rsidP="00007A97">
            <w:pPr>
              <w:jc w:val="center"/>
              <w:rPr>
                <w:rFonts w:ascii="Times New Roman" w:hAnsi="Times New Roman"/>
                <w:lang w:eastAsia="ko-KR"/>
              </w:rPr>
            </w:pPr>
          </w:p>
        </w:tc>
      </w:tr>
      <w:tr w:rsidR="00F41C4E" w:rsidRPr="00007A97" w14:paraId="52EE4CAA" w14:textId="77777777" w:rsidTr="00F41C4E">
        <w:trPr>
          <w:trHeight w:val="285"/>
        </w:trPr>
        <w:tc>
          <w:tcPr>
            <w:tcW w:w="352" w:type="pct"/>
            <w:tcBorders>
              <w:top w:val="nil"/>
              <w:left w:val="single" w:sz="4" w:space="0" w:color="auto"/>
              <w:bottom w:val="nil"/>
              <w:right w:val="nil"/>
            </w:tcBorders>
            <w:noWrap/>
            <w:vAlign w:val="center"/>
            <w:hideMark/>
          </w:tcPr>
          <w:p w14:paraId="6BF4D8F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B33F810"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Firearms Act 1996</w:t>
            </w:r>
            <w:r w:rsidRPr="00007A97">
              <w:rPr>
                <w:rFonts w:ascii="Arial" w:hAnsi="Arial" w:cs="Arial"/>
                <w:color w:val="000000"/>
                <w:sz w:val="18"/>
                <w:szCs w:val="18"/>
                <w:lang w:eastAsia="ko-KR"/>
              </w:rPr>
              <w:t>, section 182</w:t>
            </w:r>
          </w:p>
        </w:tc>
        <w:tc>
          <w:tcPr>
            <w:tcW w:w="617" w:type="pct"/>
            <w:tcBorders>
              <w:top w:val="nil"/>
              <w:left w:val="single" w:sz="4" w:space="0" w:color="auto"/>
              <w:bottom w:val="nil"/>
              <w:right w:val="nil"/>
            </w:tcBorders>
            <w:vAlign w:val="center"/>
            <w:hideMark/>
          </w:tcPr>
          <w:p w14:paraId="03C0353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FC52ED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AA2644A" w14:textId="77777777" w:rsidR="00007A97" w:rsidRPr="00007A97" w:rsidRDefault="00007A97" w:rsidP="00007A97">
            <w:pPr>
              <w:jc w:val="center"/>
              <w:rPr>
                <w:rFonts w:ascii="Times New Roman" w:hAnsi="Times New Roman"/>
                <w:lang w:eastAsia="ko-KR"/>
              </w:rPr>
            </w:pPr>
          </w:p>
        </w:tc>
      </w:tr>
      <w:tr w:rsidR="00F41C4E" w:rsidRPr="00007A97" w14:paraId="73A29EAE" w14:textId="77777777" w:rsidTr="00F41C4E">
        <w:trPr>
          <w:trHeight w:val="285"/>
        </w:trPr>
        <w:tc>
          <w:tcPr>
            <w:tcW w:w="352" w:type="pct"/>
            <w:tcBorders>
              <w:top w:val="nil"/>
              <w:left w:val="single" w:sz="4" w:space="0" w:color="auto"/>
              <w:bottom w:val="nil"/>
              <w:right w:val="nil"/>
            </w:tcBorders>
            <w:noWrap/>
            <w:vAlign w:val="center"/>
            <w:hideMark/>
          </w:tcPr>
          <w:p w14:paraId="1AFFF12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7D3EF8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Fisheries Act 1995</w:t>
            </w:r>
          </w:p>
        </w:tc>
        <w:tc>
          <w:tcPr>
            <w:tcW w:w="617" w:type="pct"/>
            <w:tcBorders>
              <w:top w:val="nil"/>
              <w:left w:val="single" w:sz="4" w:space="0" w:color="auto"/>
              <w:bottom w:val="nil"/>
              <w:right w:val="nil"/>
            </w:tcBorders>
            <w:vAlign w:val="center"/>
            <w:hideMark/>
          </w:tcPr>
          <w:p w14:paraId="489950B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CBA05D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77F245B" w14:textId="77777777" w:rsidR="00007A97" w:rsidRPr="00007A97" w:rsidRDefault="00007A97" w:rsidP="00007A97">
            <w:pPr>
              <w:jc w:val="center"/>
              <w:rPr>
                <w:rFonts w:ascii="Times New Roman" w:hAnsi="Times New Roman"/>
                <w:lang w:eastAsia="ko-KR"/>
              </w:rPr>
            </w:pPr>
          </w:p>
        </w:tc>
      </w:tr>
      <w:tr w:rsidR="00F41C4E" w:rsidRPr="00007A97" w14:paraId="21D11604" w14:textId="77777777" w:rsidTr="00F41C4E">
        <w:trPr>
          <w:trHeight w:val="285"/>
        </w:trPr>
        <w:tc>
          <w:tcPr>
            <w:tcW w:w="352" w:type="pct"/>
            <w:tcBorders>
              <w:top w:val="nil"/>
              <w:left w:val="single" w:sz="4" w:space="0" w:color="auto"/>
              <w:bottom w:val="nil"/>
              <w:right w:val="nil"/>
            </w:tcBorders>
            <w:noWrap/>
            <w:vAlign w:val="center"/>
            <w:hideMark/>
          </w:tcPr>
          <w:p w14:paraId="40AE816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1A83B7F"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Freedom of Information Act 1982</w:t>
            </w:r>
            <w:r w:rsidRPr="00007A97">
              <w:rPr>
                <w:rFonts w:ascii="Arial" w:hAnsi="Arial" w:cs="Arial"/>
                <w:color w:val="000000"/>
                <w:sz w:val="18"/>
                <w:szCs w:val="18"/>
                <w:lang w:eastAsia="ko-KR"/>
              </w:rPr>
              <w:t>,</w:t>
            </w:r>
            <w:r w:rsidRPr="00007A97">
              <w:rPr>
                <w:rFonts w:ascii="Arial" w:hAnsi="Arial" w:cs="Arial"/>
                <w:b/>
                <w:bCs/>
                <w:color w:val="000000"/>
                <w:sz w:val="18"/>
                <w:szCs w:val="18"/>
                <w:lang w:eastAsia="ko-KR"/>
              </w:rPr>
              <w:t xml:space="preserve"> </w:t>
            </w:r>
            <w:r w:rsidRPr="00007A97">
              <w:rPr>
                <w:rFonts w:ascii="Arial" w:hAnsi="Arial" w:cs="Arial"/>
                <w:color w:val="000000"/>
                <w:sz w:val="18"/>
                <w:szCs w:val="18"/>
                <w:lang w:eastAsia="ko-KR"/>
              </w:rPr>
              <w:t>except applications under section 50 if—</w:t>
            </w:r>
          </w:p>
        </w:tc>
        <w:tc>
          <w:tcPr>
            <w:tcW w:w="617" w:type="pct"/>
            <w:tcBorders>
              <w:top w:val="nil"/>
              <w:left w:val="single" w:sz="4" w:space="0" w:color="auto"/>
              <w:bottom w:val="nil"/>
              <w:right w:val="nil"/>
            </w:tcBorders>
            <w:vAlign w:val="center"/>
            <w:hideMark/>
          </w:tcPr>
          <w:p w14:paraId="2DFF252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040C426"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FB1C4A0" w14:textId="77777777" w:rsidR="00007A97" w:rsidRPr="00007A97" w:rsidRDefault="00007A97" w:rsidP="00007A97">
            <w:pPr>
              <w:jc w:val="center"/>
              <w:rPr>
                <w:rFonts w:ascii="Times New Roman" w:hAnsi="Times New Roman"/>
                <w:lang w:eastAsia="ko-KR"/>
              </w:rPr>
            </w:pPr>
          </w:p>
        </w:tc>
      </w:tr>
      <w:tr w:rsidR="00F41C4E" w:rsidRPr="00007A97" w14:paraId="143AADFD" w14:textId="77777777" w:rsidTr="00F41C4E">
        <w:trPr>
          <w:trHeight w:val="510"/>
        </w:trPr>
        <w:tc>
          <w:tcPr>
            <w:tcW w:w="352" w:type="pct"/>
            <w:tcBorders>
              <w:top w:val="nil"/>
              <w:left w:val="single" w:sz="4" w:space="0" w:color="auto"/>
              <w:bottom w:val="nil"/>
              <w:right w:val="nil"/>
            </w:tcBorders>
            <w:noWrap/>
            <w:vAlign w:val="center"/>
            <w:hideMark/>
          </w:tcPr>
          <w:p w14:paraId="6D46583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EB2273E" w14:textId="77777777" w:rsidR="00007A97" w:rsidRPr="00007A97" w:rsidRDefault="00007A97" w:rsidP="00D41DC2">
            <w:pPr>
              <w:ind w:left="294"/>
              <w:rPr>
                <w:rFonts w:ascii="Arial" w:hAnsi="Arial" w:cs="Arial"/>
                <w:color w:val="000000"/>
                <w:sz w:val="18"/>
                <w:szCs w:val="18"/>
                <w:lang w:eastAsia="ko-KR"/>
              </w:rPr>
            </w:pPr>
            <w:r w:rsidRPr="00007A97">
              <w:rPr>
                <w:rFonts w:ascii="Arial" w:hAnsi="Arial" w:cs="Arial"/>
                <w:color w:val="000000"/>
                <w:sz w:val="18"/>
                <w:szCs w:val="18"/>
                <w:lang w:eastAsia="ko-KR"/>
              </w:rPr>
              <w:t>(a) the application is for the review of a deemed decision under section 49J or 53 refusing to grant access to a document; or</w:t>
            </w:r>
          </w:p>
        </w:tc>
        <w:tc>
          <w:tcPr>
            <w:tcW w:w="617" w:type="pct"/>
            <w:tcBorders>
              <w:top w:val="nil"/>
              <w:left w:val="single" w:sz="4" w:space="0" w:color="auto"/>
              <w:bottom w:val="nil"/>
              <w:right w:val="nil"/>
            </w:tcBorders>
            <w:vAlign w:val="center"/>
            <w:hideMark/>
          </w:tcPr>
          <w:p w14:paraId="53984E76"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1506F60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7188F35" w14:textId="77777777" w:rsidR="00007A97" w:rsidRPr="00007A97" w:rsidRDefault="00007A97" w:rsidP="00007A97">
            <w:pPr>
              <w:jc w:val="center"/>
              <w:rPr>
                <w:rFonts w:ascii="Times New Roman" w:hAnsi="Times New Roman"/>
                <w:lang w:eastAsia="ko-KR"/>
              </w:rPr>
            </w:pPr>
          </w:p>
        </w:tc>
      </w:tr>
      <w:tr w:rsidR="00F41C4E" w:rsidRPr="00007A97" w14:paraId="640DB761" w14:textId="77777777" w:rsidTr="00F41C4E">
        <w:trPr>
          <w:trHeight w:val="510"/>
        </w:trPr>
        <w:tc>
          <w:tcPr>
            <w:tcW w:w="352" w:type="pct"/>
            <w:tcBorders>
              <w:top w:val="nil"/>
              <w:left w:val="single" w:sz="4" w:space="0" w:color="auto"/>
              <w:bottom w:val="nil"/>
              <w:right w:val="nil"/>
            </w:tcBorders>
            <w:noWrap/>
            <w:vAlign w:val="center"/>
            <w:hideMark/>
          </w:tcPr>
          <w:p w14:paraId="2A316C3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510973A" w14:textId="77777777" w:rsidR="00007A97" w:rsidRPr="00007A97" w:rsidRDefault="00007A97" w:rsidP="00D41DC2">
            <w:pPr>
              <w:ind w:left="294"/>
              <w:rPr>
                <w:rFonts w:ascii="Arial" w:hAnsi="Arial" w:cs="Arial"/>
                <w:color w:val="000000"/>
                <w:sz w:val="18"/>
                <w:szCs w:val="18"/>
                <w:lang w:eastAsia="ko-KR"/>
              </w:rPr>
            </w:pPr>
            <w:r w:rsidRPr="00007A97">
              <w:rPr>
                <w:rFonts w:ascii="Arial" w:hAnsi="Arial" w:cs="Arial"/>
                <w:color w:val="000000"/>
                <w:sz w:val="18"/>
                <w:szCs w:val="18"/>
                <w:lang w:eastAsia="ko-KR"/>
              </w:rPr>
              <w:t>(b) the applicant is a natural person and the document to which access is sought contains information relating to the applicant's personal affairs</w:t>
            </w:r>
          </w:p>
        </w:tc>
        <w:tc>
          <w:tcPr>
            <w:tcW w:w="617" w:type="pct"/>
            <w:tcBorders>
              <w:top w:val="nil"/>
              <w:left w:val="single" w:sz="4" w:space="0" w:color="auto"/>
              <w:bottom w:val="nil"/>
              <w:right w:val="nil"/>
            </w:tcBorders>
            <w:vAlign w:val="center"/>
            <w:hideMark/>
          </w:tcPr>
          <w:p w14:paraId="2886567A"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44B047F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9C56057" w14:textId="77777777" w:rsidR="00007A97" w:rsidRPr="00007A97" w:rsidRDefault="00007A97" w:rsidP="00007A97">
            <w:pPr>
              <w:jc w:val="center"/>
              <w:rPr>
                <w:rFonts w:ascii="Times New Roman" w:hAnsi="Times New Roman"/>
                <w:lang w:eastAsia="ko-KR"/>
              </w:rPr>
            </w:pPr>
          </w:p>
        </w:tc>
      </w:tr>
      <w:tr w:rsidR="00F41C4E" w:rsidRPr="00007A97" w14:paraId="1A24E583" w14:textId="77777777" w:rsidTr="00F41C4E">
        <w:trPr>
          <w:trHeight w:val="285"/>
        </w:trPr>
        <w:tc>
          <w:tcPr>
            <w:tcW w:w="352" w:type="pct"/>
            <w:tcBorders>
              <w:top w:val="nil"/>
              <w:left w:val="single" w:sz="4" w:space="0" w:color="auto"/>
              <w:bottom w:val="nil"/>
              <w:right w:val="nil"/>
            </w:tcBorders>
            <w:noWrap/>
            <w:vAlign w:val="center"/>
            <w:hideMark/>
          </w:tcPr>
          <w:p w14:paraId="7D40F2E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FB392FC"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Fundraising Act 1998</w:t>
            </w:r>
          </w:p>
        </w:tc>
        <w:tc>
          <w:tcPr>
            <w:tcW w:w="617" w:type="pct"/>
            <w:tcBorders>
              <w:top w:val="nil"/>
              <w:left w:val="single" w:sz="4" w:space="0" w:color="auto"/>
              <w:bottom w:val="nil"/>
              <w:right w:val="nil"/>
            </w:tcBorders>
            <w:vAlign w:val="center"/>
            <w:hideMark/>
          </w:tcPr>
          <w:p w14:paraId="671AAC2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54C4A5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ACD899B" w14:textId="77777777" w:rsidR="00007A97" w:rsidRPr="00007A97" w:rsidRDefault="00007A97" w:rsidP="00007A97">
            <w:pPr>
              <w:jc w:val="center"/>
              <w:rPr>
                <w:rFonts w:ascii="Times New Roman" w:hAnsi="Times New Roman"/>
                <w:lang w:eastAsia="ko-KR"/>
              </w:rPr>
            </w:pPr>
          </w:p>
        </w:tc>
      </w:tr>
      <w:tr w:rsidR="00F41C4E" w:rsidRPr="00007A97" w14:paraId="16F8F672" w14:textId="77777777" w:rsidTr="00F41C4E">
        <w:trPr>
          <w:trHeight w:val="285"/>
        </w:trPr>
        <w:tc>
          <w:tcPr>
            <w:tcW w:w="352" w:type="pct"/>
            <w:tcBorders>
              <w:top w:val="nil"/>
              <w:left w:val="single" w:sz="4" w:space="0" w:color="auto"/>
              <w:bottom w:val="nil"/>
              <w:right w:val="nil"/>
            </w:tcBorders>
            <w:noWrap/>
            <w:vAlign w:val="center"/>
            <w:hideMark/>
          </w:tcPr>
          <w:p w14:paraId="1485A32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5D059A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Gas Safety Act 1997</w:t>
            </w:r>
          </w:p>
        </w:tc>
        <w:tc>
          <w:tcPr>
            <w:tcW w:w="617" w:type="pct"/>
            <w:tcBorders>
              <w:top w:val="nil"/>
              <w:left w:val="single" w:sz="4" w:space="0" w:color="auto"/>
              <w:bottom w:val="nil"/>
              <w:right w:val="nil"/>
            </w:tcBorders>
            <w:vAlign w:val="center"/>
            <w:hideMark/>
          </w:tcPr>
          <w:p w14:paraId="050CDACD"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932B09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8AE04C0" w14:textId="77777777" w:rsidR="00007A97" w:rsidRPr="00007A97" w:rsidRDefault="00007A97" w:rsidP="00007A97">
            <w:pPr>
              <w:jc w:val="center"/>
              <w:rPr>
                <w:rFonts w:ascii="Times New Roman" w:hAnsi="Times New Roman"/>
                <w:lang w:eastAsia="ko-KR"/>
              </w:rPr>
            </w:pPr>
          </w:p>
        </w:tc>
      </w:tr>
      <w:tr w:rsidR="00F41C4E" w:rsidRPr="00007A97" w14:paraId="44FBA5FC" w14:textId="77777777" w:rsidTr="00F41C4E">
        <w:trPr>
          <w:trHeight w:val="285"/>
        </w:trPr>
        <w:tc>
          <w:tcPr>
            <w:tcW w:w="352" w:type="pct"/>
            <w:tcBorders>
              <w:top w:val="nil"/>
              <w:left w:val="single" w:sz="4" w:space="0" w:color="auto"/>
              <w:bottom w:val="nil"/>
              <w:right w:val="nil"/>
            </w:tcBorders>
            <w:noWrap/>
            <w:vAlign w:val="center"/>
            <w:hideMark/>
          </w:tcPr>
          <w:p w14:paraId="68132BD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28581F7"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Health Practitioner Regulation National Law (Victoria) Act 2009</w:t>
            </w:r>
          </w:p>
        </w:tc>
        <w:tc>
          <w:tcPr>
            <w:tcW w:w="617" w:type="pct"/>
            <w:tcBorders>
              <w:top w:val="nil"/>
              <w:left w:val="single" w:sz="4" w:space="0" w:color="auto"/>
              <w:bottom w:val="nil"/>
              <w:right w:val="nil"/>
            </w:tcBorders>
            <w:vAlign w:val="center"/>
            <w:hideMark/>
          </w:tcPr>
          <w:p w14:paraId="16D7B6AD"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C87CB6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0945132" w14:textId="77777777" w:rsidR="00007A97" w:rsidRPr="00007A97" w:rsidRDefault="00007A97" w:rsidP="00007A97">
            <w:pPr>
              <w:jc w:val="center"/>
              <w:rPr>
                <w:rFonts w:ascii="Times New Roman" w:hAnsi="Times New Roman"/>
                <w:lang w:eastAsia="ko-KR"/>
              </w:rPr>
            </w:pPr>
          </w:p>
        </w:tc>
      </w:tr>
      <w:tr w:rsidR="00F41C4E" w:rsidRPr="00007A97" w14:paraId="12733546" w14:textId="77777777" w:rsidTr="00F41C4E">
        <w:trPr>
          <w:trHeight w:val="285"/>
        </w:trPr>
        <w:tc>
          <w:tcPr>
            <w:tcW w:w="352" w:type="pct"/>
            <w:tcBorders>
              <w:top w:val="nil"/>
              <w:left w:val="single" w:sz="4" w:space="0" w:color="auto"/>
              <w:bottom w:val="nil"/>
              <w:right w:val="nil"/>
            </w:tcBorders>
            <w:noWrap/>
            <w:vAlign w:val="center"/>
            <w:hideMark/>
          </w:tcPr>
          <w:p w14:paraId="051B7E9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AD3B8EE"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Health Practitioner Regulation National Law (Victoria)</w:t>
            </w:r>
          </w:p>
        </w:tc>
        <w:tc>
          <w:tcPr>
            <w:tcW w:w="617" w:type="pct"/>
            <w:tcBorders>
              <w:top w:val="nil"/>
              <w:left w:val="single" w:sz="4" w:space="0" w:color="auto"/>
              <w:bottom w:val="nil"/>
              <w:right w:val="nil"/>
            </w:tcBorders>
            <w:vAlign w:val="center"/>
            <w:hideMark/>
          </w:tcPr>
          <w:p w14:paraId="776A28AC"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3EA740C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16BDFBD" w14:textId="77777777" w:rsidR="00007A97" w:rsidRPr="00007A97" w:rsidRDefault="00007A97" w:rsidP="00007A97">
            <w:pPr>
              <w:jc w:val="center"/>
              <w:rPr>
                <w:rFonts w:ascii="Times New Roman" w:hAnsi="Times New Roman"/>
                <w:lang w:eastAsia="ko-KR"/>
              </w:rPr>
            </w:pPr>
          </w:p>
        </w:tc>
      </w:tr>
      <w:tr w:rsidR="00F41C4E" w:rsidRPr="00007A97" w14:paraId="30AEE188" w14:textId="77777777" w:rsidTr="00F41C4E">
        <w:trPr>
          <w:trHeight w:val="285"/>
        </w:trPr>
        <w:tc>
          <w:tcPr>
            <w:tcW w:w="352" w:type="pct"/>
            <w:tcBorders>
              <w:top w:val="nil"/>
              <w:left w:val="single" w:sz="4" w:space="0" w:color="auto"/>
              <w:bottom w:val="nil"/>
              <w:right w:val="nil"/>
            </w:tcBorders>
            <w:noWrap/>
            <w:vAlign w:val="center"/>
            <w:hideMark/>
          </w:tcPr>
          <w:p w14:paraId="68CF693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80431F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Health Services Act 1988</w:t>
            </w:r>
            <w:r w:rsidRPr="00007A97">
              <w:rPr>
                <w:rFonts w:ascii="Arial" w:hAnsi="Arial" w:cs="Arial"/>
                <w:color w:val="000000"/>
                <w:sz w:val="18"/>
                <w:szCs w:val="18"/>
                <w:lang w:eastAsia="ko-KR"/>
              </w:rPr>
              <w:t>, sections 57C and 110</w:t>
            </w:r>
          </w:p>
        </w:tc>
        <w:tc>
          <w:tcPr>
            <w:tcW w:w="617" w:type="pct"/>
            <w:tcBorders>
              <w:top w:val="nil"/>
              <w:left w:val="single" w:sz="4" w:space="0" w:color="auto"/>
              <w:bottom w:val="nil"/>
              <w:right w:val="nil"/>
            </w:tcBorders>
            <w:vAlign w:val="center"/>
            <w:hideMark/>
          </w:tcPr>
          <w:p w14:paraId="53FD48B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6DB5DB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8A5EE2D" w14:textId="77777777" w:rsidR="00007A97" w:rsidRPr="00007A97" w:rsidRDefault="00007A97" w:rsidP="00007A97">
            <w:pPr>
              <w:jc w:val="center"/>
              <w:rPr>
                <w:rFonts w:ascii="Times New Roman" w:hAnsi="Times New Roman"/>
                <w:lang w:eastAsia="ko-KR"/>
              </w:rPr>
            </w:pPr>
          </w:p>
        </w:tc>
      </w:tr>
      <w:tr w:rsidR="00F41C4E" w:rsidRPr="00007A97" w14:paraId="3B130EE1" w14:textId="77777777" w:rsidTr="00F41C4E">
        <w:trPr>
          <w:trHeight w:val="285"/>
        </w:trPr>
        <w:tc>
          <w:tcPr>
            <w:tcW w:w="352" w:type="pct"/>
            <w:tcBorders>
              <w:top w:val="nil"/>
              <w:left w:val="single" w:sz="4" w:space="0" w:color="auto"/>
              <w:bottom w:val="nil"/>
              <w:right w:val="nil"/>
            </w:tcBorders>
            <w:noWrap/>
            <w:vAlign w:val="center"/>
            <w:hideMark/>
          </w:tcPr>
          <w:p w14:paraId="400EE63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6A199B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Labour Hire Licensing Act 2018</w:t>
            </w:r>
          </w:p>
        </w:tc>
        <w:tc>
          <w:tcPr>
            <w:tcW w:w="617" w:type="pct"/>
            <w:tcBorders>
              <w:top w:val="nil"/>
              <w:left w:val="single" w:sz="4" w:space="0" w:color="auto"/>
              <w:bottom w:val="nil"/>
              <w:right w:val="nil"/>
            </w:tcBorders>
            <w:vAlign w:val="center"/>
            <w:hideMark/>
          </w:tcPr>
          <w:p w14:paraId="509349B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D7ECBF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4639334" w14:textId="77777777" w:rsidR="00007A97" w:rsidRPr="00007A97" w:rsidRDefault="00007A97" w:rsidP="00007A97">
            <w:pPr>
              <w:jc w:val="center"/>
              <w:rPr>
                <w:rFonts w:ascii="Times New Roman" w:hAnsi="Times New Roman"/>
                <w:lang w:eastAsia="ko-KR"/>
              </w:rPr>
            </w:pPr>
          </w:p>
        </w:tc>
      </w:tr>
      <w:tr w:rsidR="00F41C4E" w:rsidRPr="00007A97" w14:paraId="37C5A3FF" w14:textId="77777777" w:rsidTr="00F41C4E">
        <w:trPr>
          <w:trHeight w:val="285"/>
        </w:trPr>
        <w:tc>
          <w:tcPr>
            <w:tcW w:w="352" w:type="pct"/>
            <w:tcBorders>
              <w:top w:val="nil"/>
              <w:left w:val="single" w:sz="4" w:space="0" w:color="auto"/>
              <w:bottom w:val="nil"/>
              <w:right w:val="nil"/>
            </w:tcBorders>
            <w:noWrap/>
            <w:vAlign w:val="center"/>
            <w:hideMark/>
          </w:tcPr>
          <w:p w14:paraId="652E912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684311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Liquor Control Reform Act 1998</w:t>
            </w:r>
          </w:p>
        </w:tc>
        <w:tc>
          <w:tcPr>
            <w:tcW w:w="617" w:type="pct"/>
            <w:tcBorders>
              <w:top w:val="nil"/>
              <w:left w:val="single" w:sz="4" w:space="0" w:color="auto"/>
              <w:bottom w:val="nil"/>
              <w:right w:val="nil"/>
            </w:tcBorders>
            <w:vAlign w:val="center"/>
            <w:hideMark/>
          </w:tcPr>
          <w:p w14:paraId="585CB6C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7DC74DC"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F7C1F32" w14:textId="77777777" w:rsidR="00007A97" w:rsidRPr="00007A97" w:rsidRDefault="00007A97" w:rsidP="00007A97">
            <w:pPr>
              <w:jc w:val="center"/>
              <w:rPr>
                <w:rFonts w:ascii="Times New Roman" w:hAnsi="Times New Roman"/>
                <w:lang w:eastAsia="ko-KR"/>
              </w:rPr>
            </w:pPr>
          </w:p>
        </w:tc>
      </w:tr>
      <w:tr w:rsidR="00F41C4E" w:rsidRPr="00007A97" w14:paraId="314F0DE1" w14:textId="77777777" w:rsidTr="00F41C4E">
        <w:trPr>
          <w:trHeight w:val="285"/>
        </w:trPr>
        <w:tc>
          <w:tcPr>
            <w:tcW w:w="352" w:type="pct"/>
            <w:tcBorders>
              <w:top w:val="nil"/>
              <w:left w:val="single" w:sz="4" w:space="0" w:color="auto"/>
              <w:bottom w:val="nil"/>
              <w:right w:val="nil"/>
            </w:tcBorders>
            <w:noWrap/>
            <w:vAlign w:val="center"/>
            <w:hideMark/>
          </w:tcPr>
          <w:p w14:paraId="3431378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F2BA08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Livestock Disease Control Act 1994</w:t>
            </w:r>
          </w:p>
        </w:tc>
        <w:tc>
          <w:tcPr>
            <w:tcW w:w="617" w:type="pct"/>
            <w:tcBorders>
              <w:top w:val="nil"/>
              <w:left w:val="single" w:sz="4" w:space="0" w:color="auto"/>
              <w:bottom w:val="nil"/>
              <w:right w:val="nil"/>
            </w:tcBorders>
            <w:vAlign w:val="center"/>
            <w:hideMark/>
          </w:tcPr>
          <w:p w14:paraId="27BAA2F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E0A35C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8BE8DB4" w14:textId="77777777" w:rsidR="00007A97" w:rsidRPr="00007A97" w:rsidRDefault="00007A97" w:rsidP="00007A97">
            <w:pPr>
              <w:jc w:val="center"/>
              <w:rPr>
                <w:rFonts w:ascii="Times New Roman" w:hAnsi="Times New Roman"/>
                <w:lang w:eastAsia="ko-KR"/>
              </w:rPr>
            </w:pPr>
          </w:p>
        </w:tc>
      </w:tr>
      <w:tr w:rsidR="00F41C4E" w:rsidRPr="00007A97" w14:paraId="28EAAD68" w14:textId="77777777" w:rsidTr="00F41C4E">
        <w:trPr>
          <w:trHeight w:val="285"/>
        </w:trPr>
        <w:tc>
          <w:tcPr>
            <w:tcW w:w="352" w:type="pct"/>
            <w:tcBorders>
              <w:top w:val="nil"/>
              <w:left w:val="single" w:sz="4" w:space="0" w:color="auto"/>
              <w:bottom w:val="nil"/>
              <w:right w:val="nil"/>
            </w:tcBorders>
            <w:noWrap/>
            <w:vAlign w:val="center"/>
            <w:hideMark/>
          </w:tcPr>
          <w:p w14:paraId="40D4424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9FECFC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Local Government Act 1989</w:t>
            </w:r>
            <w:r w:rsidRPr="00007A97">
              <w:rPr>
                <w:rFonts w:ascii="Arial" w:hAnsi="Arial" w:cs="Arial"/>
                <w:color w:val="000000"/>
                <w:sz w:val="18"/>
                <w:szCs w:val="18"/>
                <w:lang w:eastAsia="ko-KR"/>
              </w:rPr>
              <w:t>, except sections 183, 185 and 185AA</w:t>
            </w:r>
          </w:p>
        </w:tc>
        <w:tc>
          <w:tcPr>
            <w:tcW w:w="617" w:type="pct"/>
            <w:tcBorders>
              <w:top w:val="nil"/>
              <w:left w:val="single" w:sz="4" w:space="0" w:color="auto"/>
              <w:bottom w:val="nil"/>
              <w:right w:val="nil"/>
            </w:tcBorders>
            <w:vAlign w:val="center"/>
            <w:hideMark/>
          </w:tcPr>
          <w:p w14:paraId="2F767537"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E7B89F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4695B92" w14:textId="77777777" w:rsidR="00007A97" w:rsidRPr="00007A97" w:rsidRDefault="00007A97" w:rsidP="00007A97">
            <w:pPr>
              <w:jc w:val="center"/>
              <w:rPr>
                <w:rFonts w:ascii="Times New Roman" w:hAnsi="Times New Roman"/>
                <w:lang w:eastAsia="ko-KR"/>
              </w:rPr>
            </w:pPr>
          </w:p>
        </w:tc>
      </w:tr>
      <w:tr w:rsidR="00F41C4E" w:rsidRPr="00007A97" w14:paraId="69DF54AC" w14:textId="77777777" w:rsidTr="00F41C4E">
        <w:trPr>
          <w:trHeight w:val="285"/>
        </w:trPr>
        <w:tc>
          <w:tcPr>
            <w:tcW w:w="352" w:type="pct"/>
            <w:tcBorders>
              <w:top w:val="nil"/>
              <w:left w:val="single" w:sz="4" w:space="0" w:color="auto"/>
              <w:bottom w:val="nil"/>
              <w:right w:val="nil"/>
            </w:tcBorders>
            <w:noWrap/>
            <w:vAlign w:val="center"/>
            <w:hideMark/>
          </w:tcPr>
          <w:p w14:paraId="4E0B3F8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091FD1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Long Service Benefits Portability Act 2018</w:t>
            </w:r>
          </w:p>
        </w:tc>
        <w:tc>
          <w:tcPr>
            <w:tcW w:w="617" w:type="pct"/>
            <w:tcBorders>
              <w:top w:val="nil"/>
              <w:left w:val="single" w:sz="4" w:space="0" w:color="auto"/>
              <w:bottom w:val="nil"/>
              <w:right w:val="nil"/>
            </w:tcBorders>
            <w:vAlign w:val="center"/>
            <w:hideMark/>
          </w:tcPr>
          <w:p w14:paraId="1BA6E7F2"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D1CF62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B1CC5DD" w14:textId="77777777" w:rsidR="00007A97" w:rsidRPr="00007A97" w:rsidRDefault="00007A97" w:rsidP="00007A97">
            <w:pPr>
              <w:jc w:val="center"/>
              <w:rPr>
                <w:rFonts w:ascii="Times New Roman" w:hAnsi="Times New Roman"/>
                <w:lang w:eastAsia="ko-KR"/>
              </w:rPr>
            </w:pPr>
          </w:p>
        </w:tc>
      </w:tr>
      <w:tr w:rsidR="00F41C4E" w:rsidRPr="00007A97" w14:paraId="52F40040" w14:textId="77777777" w:rsidTr="00F41C4E">
        <w:trPr>
          <w:trHeight w:val="285"/>
        </w:trPr>
        <w:tc>
          <w:tcPr>
            <w:tcW w:w="352" w:type="pct"/>
            <w:tcBorders>
              <w:top w:val="nil"/>
              <w:left w:val="single" w:sz="4" w:space="0" w:color="auto"/>
              <w:bottom w:val="nil"/>
              <w:right w:val="nil"/>
            </w:tcBorders>
            <w:noWrap/>
            <w:vAlign w:val="center"/>
            <w:hideMark/>
          </w:tcPr>
          <w:p w14:paraId="37C03CD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4EA4B88"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Major Events Act 2009</w:t>
            </w:r>
          </w:p>
        </w:tc>
        <w:tc>
          <w:tcPr>
            <w:tcW w:w="617" w:type="pct"/>
            <w:tcBorders>
              <w:top w:val="nil"/>
              <w:left w:val="single" w:sz="4" w:space="0" w:color="auto"/>
              <w:bottom w:val="nil"/>
              <w:right w:val="nil"/>
            </w:tcBorders>
            <w:vAlign w:val="center"/>
            <w:hideMark/>
          </w:tcPr>
          <w:p w14:paraId="0B609B4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4323B8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622751E" w14:textId="77777777" w:rsidR="00007A97" w:rsidRPr="00007A97" w:rsidRDefault="00007A97" w:rsidP="00007A97">
            <w:pPr>
              <w:jc w:val="center"/>
              <w:rPr>
                <w:rFonts w:ascii="Times New Roman" w:hAnsi="Times New Roman"/>
                <w:lang w:eastAsia="ko-KR"/>
              </w:rPr>
            </w:pPr>
          </w:p>
        </w:tc>
      </w:tr>
      <w:tr w:rsidR="00F41C4E" w:rsidRPr="00007A97" w14:paraId="44B3FB4C" w14:textId="77777777" w:rsidTr="00F41C4E">
        <w:trPr>
          <w:trHeight w:val="285"/>
        </w:trPr>
        <w:tc>
          <w:tcPr>
            <w:tcW w:w="352" w:type="pct"/>
            <w:tcBorders>
              <w:top w:val="nil"/>
              <w:left w:val="single" w:sz="4" w:space="0" w:color="auto"/>
              <w:bottom w:val="nil"/>
              <w:right w:val="nil"/>
            </w:tcBorders>
            <w:noWrap/>
            <w:vAlign w:val="center"/>
            <w:hideMark/>
          </w:tcPr>
          <w:p w14:paraId="75BA76D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D6EA71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Meat Industry Act 1993</w:t>
            </w:r>
            <w:r w:rsidRPr="00007A97">
              <w:rPr>
                <w:rFonts w:ascii="Arial" w:hAnsi="Arial" w:cs="Arial"/>
                <w:color w:val="000000"/>
                <w:sz w:val="18"/>
                <w:szCs w:val="18"/>
                <w:lang w:eastAsia="ko-KR"/>
              </w:rPr>
              <w:t>, section 24</w:t>
            </w:r>
          </w:p>
        </w:tc>
        <w:tc>
          <w:tcPr>
            <w:tcW w:w="617" w:type="pct"/>
            <w:tcBorders>
              <w:top w:val="nil"/>
              <w:left w:val="single" w:sz="4" w:space="0" w:color="auto"/>
              <w:bottom w:val="nil"/>
              <w:right w:val="nil"/>
            </w:tcBorders>
            <w:vAlign w:val="center"/>
            <w:hideMark/>
          </w:tcPr>
          <w:p w14:paraId="690C2C9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317688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41214C8" w14:textId="77777777" w:rsidR="00007A97" w:rsidRPr="00007A97" w:rsidRDefault="00007A97" w:rsidP="00007A97">
            <w:pPr>
              <w:jc w:val="center"/>
              <w:rPr>
                <w:rFonts w:ascii="Times New Roman" w:hAnsi="Times New Roman"/>
                <w:lang w:eastAsia="ko-KR"/>
              </w:rPr>
            </w:pPr>
          </w:p>
        </w:tc>
      </w:tr>
      <w:tr w:rsidR="00F41C4E" w:rsidRPr="00007A97" w14:paraId="113EF295" w14:textId="77777777" w:rsidTr="00F41C4E">
        <w:trPr>
          <w:trHeight w:val="285"/>
        </w:trPr>
        <w:tc>
          <w:tcPr>
            <w:tcW w:w="352" w:type="pct"/>
            <w:tcBorders>
              <w:top w:val="nil"/>
              <w:left w:val="single" w:sz="4" w:space="0" w:color="auto"/>
              <w:bottom w:val="nil"/>
              <w:right w:val="nil"/>
            </w:tcBorders>
            <w:noWrap/>
            <w:vAlign w:val="center"/>
            <w:hideMark/>
          </w:tcPr>
          <w:p w14:paraId="47BC66C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1BED348"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Melbourne Strategic Assessment (Environment Mitigation Levy) Act 2020</w:t>
            </w:r>
          </w:p>
        </w:tc>
        <w:tc>
          <w:tcPr>
            <w:tcW w:w="617" w:type="pct"/>
            <w:tcBorders>
              <w:top w:val="nil"/>
              <w:left w:val="single" w:sz="4" w:space="0" w:color="auto"/>
              <w:bottom w:val="nil"/>
              <w:right w:val="nil"/>
            </w:tcBorders>
            <w:vAlign w:val="center"/>
            <w:hideMark/>
          </w:tcPr>
          <w:p w14:paraId="30BC2A7A"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DB6627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8EB2D8B" w14:textId="77777777" w:rsidR="00007A97" w:rsidRPr="00007A97" w:rsidRDefault="00007A97" w:rsidP="00007A97">
            <w:pPr>
              <w:jc w:val="center"/>
              <w:rPr>
                <w:rFonts w:ascii="Times New Roman" w:hAnsi="Times New Roman"/>
                <w:lang w:eastAsia="ko-KR"/>
              </w:rPr>
            </w:pPr>
          </w:p>
        </w:tc>
      </w:tr>
      <w:tr w:rsidR="00F41C4E" w:rsidRPr="00007A97" w14:paraId="3B30749A" w14:textId="77777777" w:rsidTr="00F41C4E">
        <w:trPr>
          <w:trHeight w:val="285"/>
        </w:trPr>
        <w:tc>
          <w:tcPr>
            <w:tcW w:w="352" w:type="pct"/>
            <w:tcBorders>
              <w:top w:val="nil"/>
              <w:left w:val="single" w:sz="4" w:space="0" w:color="auto"/>
              <w:bottom w:val="nil"/>
              <w:right w:val="nil"/>
            </w:tcBorders>
            <w:noWrap/>
            <w:vAlign w:val="center"/>
            <w:hideMark/>
          </w:tcPr>
          <w:p w14:paraId="36ED03B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DB539AF"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Motor Car Traders Act 1986</w:t>
            </w:r>
            <w:r w:rsidRPr="00007A97">
              <w:rPr>
                <w:rFonts w:ascii="Arial" w:hAnsi="Arial" w:cs="Arial"/>
                <w:color w:val="000000"/>
                <w:sz w:val="18"/>
                <w:szCs w:val="18"/>
                <w:lang w:eastAsia="ko-KR"/>
              </w:rPr>
              <w:t>, except section 45</w:t>
            </w:r>
          </w:p>
        </w:tc>
        <w:tc>
          <w:tcPr>
            <w:tcW w:w="617" w:type="pct"/>
            <w:tcBorders>
              <w:top w:val="nil"/>
              <w:left w:val="single" w:sz="4" w:space="0" w:color="auto"/>
              <w:bottom w:val="nil"/>
              <w:right w:val="nil"/>
            </w:tcBorders>
            <w:vAlign w:val="center"/>
            <w:hideMark/>
          </w:tcPr>
          <w:p w14:paraId="6C72C81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A73DCB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9E682B1" w14:textId="77777777" w:rsidR="00007A97" w:rsidRPr="00007A97" w:rsidRDefault="00007A97" w:rsidP="00007A97">
            <w:pPr>
              <w:jc w:val="center"/>
              <w:rPr>
                <w:rFonts w:ascii="Times New Roman" w:hAnsi="Times New Roman"/>
                <w:lang w:eastAsia="ko-KR"/>
              </w:rPr>
            </w:pPr>
          </w:p>
        </w:tc>
      </w:tr>
      <w:tr w:rsidR="00F41C4E" w:rsidRPr="00007A97" w14:paraId="55E74861" w14:textId="77777777" w:rsidTr="00F41C4E">
        <w:trPr>
          <w:trHeight w:val="285"/>
        </w:trPr>
        <w:tc>
          <w:tcPr>
            <w:tcW w:w="352" w:type="pct"/>
            <w:tcBorders>
              <w:top w:val="nil"/>
              <w:left w:val="single" w:sz="4" w:space="0" w:color="auto"/>
              <w:bottom w:val="nil"/>
              <w:right w:val="nil"/>
            </w:tcBorders>
            <w:noWrap/>
            <w:vAlign w:val="center"/>
            <w:hideMark/>
          </w:tcPr>
          <w:p w14:paraId="4CF6098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5D8EBEC"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Occupational Health and Safety Act 2004</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3DDF68B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EC1263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2E42836" w14:textId="77777777" w:rsidR="00007A97" w:rsidRPr="00007A97" w:rsidRDefault="00007A97" w:rsidP="00007A97">
            <w:pPr>
              <w:jc w:val="center"/>
              <w:rPr>
                <w:rFonts w:ascii="Times New Roman" w:hAnsi="Times New Roman"/>
                <w:lang w:eastAsia="ko-KR"/>
              </w:rPr>
            </w:pPr>
          </w:p>
        </w:tc>
      </w:tr>
      <w:tr w:rsidR="00F41C4E" w:rsidRPr="00007A97" w14:paraId="7C14D064" w14:textId="77777777" w:rsidTr="00F41C4E">
        <w:trPr>
          <w:trHeight w:val="285"/>
        </w:trPr>
        <w:tc>
          <w:tcPr>
            <w:tcW w:w="352" w:type="pct"/>
            <w:tcBorders>
              <w:top w:val="nil"/>
              <w:left w:val="single" w:sz="4" w:space="0" w:color="auto"/>
              <w:bottom w:val="nil"/>
              <w:right w:val="nil"/>
            </w:tcBorders>
            <w:noWrap/>
            <w:vAlign w:val="center"/>
            <w:hideMark/>
          </w:tcPr>
          <w:p w14:paraId="24D083E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E605C5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Owners Corporations Act 2006</w:t>
            </w:r>
            <w:r w:rsidRPr="00007A97">
              <w:rPr>
                <w:rFonts w:ascii="Arial" w:hAnsi="Arial" w:cs="Arial"/>
                <w:color w:val="000000"/>
                <w:sz w:val="18"/>
                <w:szCs w:val="18"/>
                <w:lang w:eastAsia="ko-KR"/>
              </w:rPr>
              <w:t>, section 191</w:t>
            </w:r>
          </w:p>
        </w:tc>
        <w:tc>
          <w:tcPr>
            <w:tcW w:w="617" w:type="pct"/>
            <w:tcBorders>
              <w:top w:val="nil"/>
              <w:left w:val="single" w:sz="4" w:space="0" w:color="auto"/>
              <w:bottom w:val="nil"/>
              <w:right w:val="nil"/>
            </w:tcBorders>
            <w:vAlign w:val="center"/>
            <w:hideMark/>
          </w:tcPr>
          <w:p w14:paraId="01C3CE1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FC57F9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6BD0279" w14:textId="77777777" w:rsidR="00007A97" w:rsidRPr="00007A97" w:rsidRDefault="00007A97" w:rsidP="00007A97">
            <w:pPr>
              <w:jc w:val="center"/>
              <w:rPr>
                <w:rFonts w:ascii="Times New Roman" w:hAnsi="Times New Roman"/>
                <w:lang w:eastAsia="ko-KR"/>
              </w:rPr>
            </w:pPr>
          </w:p>
        </w:tc>
      </w:tr>
      <w:tr w:rsidR="00F41C4E" w:rsidRPr="00007A97" w14:paraId="54F1D75E" w14:textId="77777777" w:rsidTr="00F41C4E">
        <w:trPr>
          <w:trHeight w:val="285"/>
        </w:trPr>
        <w:tc>
          <w:tcPr>
            <w:tcW w:w="352" w:type="pct"/>
            <w:tcBorders>
              <w:top w:val="nil"/>
              <w:left w:val="single" w:sz="4" w:space="0" w:color="auto"/>
              <w:bottom w:val="nil"/>
              <w:right w:val="nil"/>
            </w:tcBorders>
            <w:noWrap/>
            <w:vAlign w:val="center"/>
            <w:hideMark/>
          </w:tcPr>
          <w:p w14:paraId="458B96D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727BD4F"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Parliamentary Salaries and Superannuation Act 1968</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6A96406F"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132E02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7CD2ADB" w14:textId="77777777" w:rsidR="00007A97" w:rsidRPr="00007A97" w:rsidRDefault="00007A97" w:rsidP="00007A97">
            <w:pPr>
              <w:jc w:val="center"/>
              <w:rPr>
                <w:rFonts w:ascii="Times New Roman" w:hAnsi="Times New Roman"/>
                <w:lang w:eastAsia="ko-KR"/>
              </w:rPr>
            </w:pPr>
          </w:p>
        </w:tc>
      </w:tr>
      <w:tr w:rsidR="00F41C4E" w:rsidRPr="00007A97" w14:paraId="4C7F69CC" w14:textId="77777777" w:rsidTr="00F41C4E">
        <w:trPr>
          <w:trHeight w:val="285"/>
        </w:trPr>
        <w:tc>
          <w:tcPr>
            <w:tcW w:w="352" w:type="pct"/>
            <w:tcBorders>
              <w:top w:val="nil"/>
              <w:left w:val="single" w:sz="4" w:space="0" w:color="auto"/>
              <w:bottom w:val="nil"/>
              <w:right w:val="nil"/>
            </w:tcBorders>
            <w:noWrap/>
            <w:vAlign w:val="center"/>
            <w:hideMark/>
          </w:tcPr>
          <w:p w14:paraId="5CE019B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lastRenderedPageBreak/>
              <w:t xml:space="preserve"> </w:t>
            </w:r>
          </w:p>
        </w:tc>
        <w:tc>
          <w:tcPr>
            <w:tcW w:w="2800" w:type="pct"/>
            <w:tcBorders>
              <w:top w:val="nil"/>
              <w:left w:val="single" w:sz="4" w:space="0" w:color="auto"/>
              <w:bottom w:val="nil"/>
              <w:right w:val="nil"/>
            </w:tcBorders>
            <w:vAlign w:val="center"/>
            <w:hideMark/>
          </w:tcPr>
          <w:p w14:paraId="1C48A41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Pharmacy Regulation Act 2010</w:t>
            </w:r>
            <w:r w:rsidRPr="00007A97">
              <w:rPr>
                <w:rFonts w:ascii="Arial" w:hAnsi="Arial" w:cs="Arial"/>
                <w:color w:val="000000"/>
                <w:sz w:val="18"/>
                <w:szCs w:val="18"/>
                <w:lang w:eastAsia="ko-KR"/>
              </w:rPr>
              <w:t>,</w:t>
            </w:r>
            <w:r w:rsidRPr="00007A97">
              <w:rPr>
                <w:rFonts w:ascii="Arial" w:hAnsi="Arial" w:cs="Arial"/>
                <w:b/>
                <w:bCs/>
                <w:color w:val="000000"/>
                <w:sz w:val="18"/>
                <w:szCs w:val="18"/>
                <w:lang w:eastAsia="ko-KR"/>
              </w:rPr>
              <w:t xml:space="preserve"> </w:t>
            </w:r>
            <w:r w:rsidRPr="00007A97">
              <w:rPr>
                <w:rFonts w:ascii="Arial" w:hAnsi="Arial" w:cs="Arial"/>
                <w:color w:val="000000"/>
                <w:sz w:val="18"/>
                <w:szCs w:val="18"/>
                <w:lang w:eastAsia="ko-KR"/>
              </w:rPr>
              <w:t xml:space="preserve">section 62 </w:t>
            </w:r>
          </w:p>
        </w:tc>
        <w:tc>
          <w:tcPr>
            <w:tcW w:w="617" w:type="pct"/>
            <w:tcBorders>
              <w:top w:val="nil"/>
              <w:left w:val="single" w:sz="4" w:space="0" w:color="auto"/>
              <w:bottom w:val="nil"/>
              <w:right w:val="nil"/>
            </w:tcBorders>
            <w:vAlign w:val="center"/>
            <w:hideMark/>
          </w:tcPr>
          <w:p w14:paraId="29CC72F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363D27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78ECDF1" w14:textId="77777777" w:rsidR="00007A97" w:rsidRPr="00007A97" w:rsidRDefault="00007A97" w:rsidP="00007A97">
            <w:pPr>
              <w:jc w:val="center"/>
              <w:rPr>
                <w:rFonts w:ascii="Times New Roman" w:hAnsi="Times New Roman"/>
                <w:lang w:eastAsia="ko-KR"/>
              </w:rPr>
            </w:pPr>
          </w:p>
        </w:tc>
      </w:tr>
      <w:tr w:rsidR="00F41C4E" w:rsidRPr="00007A97" w14:paraId="7468346B" w14:textId="77777777" w:rsidTr="00F41C4E">
        <w:trPr>
          <w:trHeight w:val="285"/>
        </w:trPr>
        <w:tc>
          <w:tcPr>
            <w:tcW w:w="352" w:type="pct"/>
            <w:tcBorders>
              <w:top w:val="nil"/>
              <w:left w:val="single" w:sz="4" w:space="0" w:color="auto"/>
              <w:bottom w:val="nil"/>
              <w:right w:val="nil"/>
            </w:tcBorders>
            <w:noWrap/>
            <w:vAlign w:val="center"/>
            <w:hideMark/>
          </w:tcPr>
          <w:p w14:paraId="4F0A896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2453902"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Pipelines Act 2005</w:t>
            </w:r>
            <w:r w:rsidRPr="00007A97">
              <w:rPr>
                <w:rFonts w:ascii="Arial" w:hAnsi="Arial" w:cs="Arial"/>
                <w:color w:val="000000"/>
                <w:sz w:val="18"/>
                <w:szCs w:val="18"/>
                <w:lang w:eastAsia="ko-KR"/>
              </w:rPr>
              <w:t xml:space="preserve">, sections 64, 83 and 182 </w:t>
            </w:r>
          </w:p>
        </w:tc>
        <w:tc>
          <w:tcPr>
            <w:tcW w:w="617" w:type="pct"/>
            <w:tcBorders>
              <w:top w:val="nil"/>
              <w:left w:val="single" w:sz="4" w:space="0" w:color="auto"/>
              <w:bottom w:val="nil"/>
              <w:right w:val="nil"/>
            </w:tcBorders>
            <w:vAlign w:val="center"/>
            <w:hideMark/>
          </w:tcPr>
          <w:p w14:paraId="14A8FBB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1CD43D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AB171D1" w14:textId="77777777" w:rsidR="00007A97" w:rsidRPr="00007A97" w:rsidRDefault="00007A97" w:rsidP="00007A97">
            <w:pPr>
              <w:jc w:val="center"/>
              <w:rPr>
                <w:rFonts w:ascii="Times New Roman" w:hAnsi="Times New Roman"/>
                <w:lang w:eastAsia="ko-KR"/>
              </w:rPr>
            </w:pPr>
          </w:p>
        </w:tc>
      </w:tr>
      <w:tr w:rsidR="00F41C4E" w:rsidRPr="00007A97" w14:paraId="03404A6F" w14:textId="77777777" w:rsidTr="00F41C4E">
        <w:trPr>
          <w:trHeight w:val="285"/>
        </w:trPr>
        <w:tc>
          <w:tcPr>
            <w:tcW w:w="352" w:type="pct"/>
            <w:tcBorders>
              <w:top w:val="nil"/>
              <w:left w:val="single" w:sz="4" w:space="0" w:color="auto"/>
              <w:bottom w:val="nil"/>
              <w:right w:val="nil"/>
            </w:tcBorders>
            <w:noWrap/>
            <w:vAlign w:val="center"/>
            <w:hideMark/>
          </w:tcPr>
          <w:p w14:paraId="5CAFD06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FD9D51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Prevention of Cruelty to Animals Act 1986</w:t>
            </w:r>
            <w:r w:rsidRPr="00007A97">
              <w:rPr>
                <w:rFonts w:ascii="Arial" w:hAnsi="Arial" w:cs="Arial"/>
                <w:color w:val="000000"/>
                <w:sz w:val="18"/>
                <w:szCs w:val="18"/>
                <w:lang w:eastAsia="ko-KR"/>
              </w:rPr>
              <w:t xml:space="preserve">, section 33 </w:t>
            </w:r>
          </w:p>
        </w:tc>
        <w:tc>
          <w:tcPr>
            <w:tcW w:w="617" w:type="pct"/>
            <w:tcBorders>
              <w:top w:val="nil"/>
              <w:left w:val="single" w:sz="4" w:space="0" w:color="auto"/>
              <w:bottom w:val="nil"/>
              <w:right w:val="nil"/>
            </w:tcBorders>
            <w:vAlign w:val="center"/>
            <w:hideMark/>
          </w:tcPr>
          <w:p w14:paraId="42D14BA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250B74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D9549E3" w14:textId="77777777" w:rsidR="00007A97" w:rsidRPr="00007A97" w:rsidRDefault="00007A97" w:rsidP="00007A97">
            <w:pPr>
              <w:jc w:val="center"/>
              <w:rPr>
                <w:rFonts w:ascii="Times New Roman" w:hAnsi="Times New Roman"/>
                <w:lang w:eastAsia="ko-KR"/>
              </w:rPr>
            </w:pPr>
          </w:p>
        </w:tc>
      </w:tr>
      <w:tr w:rsidR="00F41C4E" w:rsidRPr="00007A97" w14:paraId="62F2D5A6" w14:textId="77777777" w:rsidTr="00F41C4E">
        <w:trPr>
          <w:trHeight w:val="285"/>
        </w:trPr>
        <w:tc>
          <w:tcPr>
            <w:tcW w:w="352" w:type="pct"/>
            <w:tcBorders>
              <w:top w:val="nil"/>
              <w:left w:val="single" w:sz="4" w:space="0" w:color="auto"/>
              <w:bottom w:val="nil"/>
              <w:right w:val="nil"/>
            </w:tcBorders>
            <w:noWrap/>
            <w:vAlign w:val="center"/>
            <w:hideMark/>
          </w:tcPr>
          <w:p w14:paraId="547423F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693C76C"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Private Security Act 2004</w:t>
            </w:r>
            <w:r w:rsidRPr="00007A97">
              <w:rPr>
                <w:rFonts w:ascii="Arial" w:hAnsi="Arial" w:cs="Arial"/>
                <w:color w:val="000000"/>
                <w:sz w:val="18"/>
                <w:szCs w:val="18"/>
                <w:lang w:eastAsia="ko-KR"/>
              </w:rPr>
              <w:t>, Part 7</w:t>
            </w:r>
          </w:p>
        </w:tc>
        <w:tc>
          <w:tcPr>
            <w:tcW w:w="617" w:type="pct"/>
            <w:tcBorders>
              <w:top w:val="nil"/>
              <w:left w:val="single" w:sz="4" w:space="0" w:color="auto"/>
              <w:bottom w:val="nil"/>
              <w:right w:val="nil"/>
            </w:tcBorders>
            <w:vAlign w:val="center"/>
            <w:hideMark/>
          </w:tcPr>
          <w:p w14:paraId="6E562FC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B74ED2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FBB63DC" w14:textId="77777777" w:rsidR="00007A97" w:rsidRPr="00007A97" w:rsidRDefault="00007A97" w:rsidP="00007A97">
            <w:pPr>
              <w:jc w:val="center"/>
              <w:rPr>
                <w:rFonts w:ascii="Times New Roman" w:hAnsi="Times New Roman"/>
                <w:lang w:eastAsia="ko-KR"/>
              </w:rPr>
            </w:pPr>
          </w:p>
        </w:tc>
      </w:tr>
      <w:tr w:rsidR="00F41C4E" w:rsidRPr="00007A97" w14:paraId="7BE72DDA" w14:textId="77777777" w:rsidTr="00F41C4E">
        <w:trPr>
          <w:trHeight w:val="285"/>
        </w:trPr>
        <w:tc>
          <w:tcPr>
            <w:tcW w:w="352" w:type="pct"/>
            <w:tcBorders>
              <w:top w:val="nil"/>
              <w:left w:val="single" w:sz="4" w:space="0" w:color="auto"/>
              <w:bottom w:val="nil"/>
              <w:right w:val="nil"/>
            </w:tcBorders>
            <w:noWrap/>
            <w:vAlign w:val="center"/>
            <w:hideMark/>
          </w:tcPr>
          <w:p w14:paraId="18FB1C4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4784A2C"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Professional Boxing and Combat Sports Act 1985</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45C2624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D415E5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FCDF970" w14:textId="77777777" w:rsidR="00007A97" w:rsidRPr="00007A97" w:rsidRDefault="00007A97" w:rsidP="00007A97">
            <w:pPr>
              <w:jc w:val="center"/>
              <w:rPr>
                <w:rFonts w:ascii="Times New Roman" w:hAnsi="Times New Roman"/>
                <w:lang w:eastAsia="ko-KR"/>
              </w:rPr>
            </w:pPr>
          </w:p>
        </w:tc>
      </w:tr>
      <w:tr w:rsidR="00F41C4E" w:rsidRPr="00007A97" w14:paraId="1F1902AA" w14:textId="77777777" w:rsidTr="00F41C4E">
        <w:trPr>
          <w:trHeight w:val="285"/>
        </w:trPr>
        <w:tc>
          <w:tcPr>
            <w:tcW w:w="352" w:type="pct"/>
            <w:tcBorders>
              <w:top w:val="nil"/>
              <w:left w:val="single" w:sz="4" w:space="0" w:color="auto"/>
              <w:bottom w:val="nil"/>
              <w:right w:val="nil"/>
            </w:tcBorders>
            <w:noWrap/>
            <w:vAlign w:val="center"/>
            <w:hideMark/>
          </w:tcPr>
          <w:p w14:paraId="6ED7012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954F44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Professional Engineers Registration Act 2019</w:t>
            </w:r>
          </w:p>
        </w:tc>
        <w:tc>
          <w:tcPr>
            <w:tcW w:w="617" w:type="pct"/>
            <w:tcBorders>
              <w:top w:val="nil"/>
              <w:left w:val="single" w:sz="4" w:space="0" w:color="auto"/>
              <w:bottom w:val="nil"/>
              <w:right w:val="nil"/>
            </w:tcBorders>
            <w:vAlign w:val="center"/>
            <w:hideMark/>
          </w:tcPr>
          <w:p w14:paraId="5B2C85B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61368B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1A62CFF" w14:textId="77777777" w:rsidR="00007A97" w:rsidRPr="00007A97" w:rsidRDefault="00007A97" w:rsidP="00007A97">
            <w:pPr>
              <w:jc w:val="center"/>
              <w:rPr>
                <w:rFonts w:ascii="Times New Roman" w:hAnsi="Times New Roman"/>
                <w:lang w:eastAsia="ko-KR"/>
              </w:rPr>
            </w:pPr>
          </w:p>
        </w:tc>
      </w:tr>
      <w:tr w:rsidR="00F41C4E" w:rsidRPr="00007A97" w14:paraId="4A9E845F" w14:textId="77777777" w:rsidTr="00F41C4E">
        <w:trPr>
          <w:trHeight w:val="285"/>
        </w:trPr>
        <w:tc>
          <w:tcPr>
            <w:tcW w:w="352" w:type="pct"/>
            <w:tcBorders>
              <w:top w:val="nil"/>
              <w:left w:val="single" w:sz="4" w:space="0" w:color="auto"/>
              <w:bottom w:val="nil"/>
              <w:right w:val="nil"/>
            </w:tcBorders>
            <w:noWrap/>
            <w:vAlign w:val="center"/>
            <w:hideMark/>
          </w:tcPr>
          <w:p w14:paraId="1D87E6F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1B33AFD"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Property Law Act 1958</w:t>
            </w:r>
            <w:r w:rsidRPr="00007A97">
              <w:rPr>
                <w:rFonts w:ascii="Arial" w:hAnsi="Arial" w:cs="Arial"/>
                <w:color w:val="000000"/>
                <w:sz w:val="18"/>
                <w:szCs w:val="18"/>
                <w:lang w:eastAsia="ko-KR"/>
              </w:rPr>
              <w:t>, Part IV</w:t>
            </w:r>
          </w:p>
        </w:tc>
        <w:tc>
          <w:tcPr>
            <w:tcW w:w="617" w:type="pct"/>
            <w:tcBorders>
              <w:top w:val="nil"/>
              <w:left w:val="single" w:sz="4" w:space="0" w:color="auto"/>
              <w:bottom w:val="nil"/>
              <w:right w:val="nil"/>
            </w:tcBorders>
            <w:vAlign w:val="center"/>
            <w:hideMark/>
          </w:tcPr>
          <w:p w14:paraId="53EABF6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FBE5EF6"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54DF435" w14:textId="77777777" w:rsidR="00007A97" w:rsidRPr="00007A97" w:rsidRDefault="00007A97" w:rsidP="00007A97">
            <w:pPr>
              <w:jc w:val="center"/>
              <w:rPr>
                <w:rFonts w:ascii="Times New Roman" w:hAnsi="Times New Roman"/>
                <w:lang w:eastAsia="ko-KR"/>
              </w:rPr>
            </w:pPr>
          </w:p>
        </w:tc>
      </w:tr>
      <w:tr w:rsidR="00F41C4E" w:rsidRPr="00007A97" w14:paraId="5A72D05C" w14:textId="77777777" w:rsidTr="00F41C4E">
        <w:trPr>
          <w:trHeight w:val="285"/>
        </w:trPr>
        <w:tc>
          <w:tcPr>
            <w:tcW w:w="352" w:type="pct"/>
            <w:tcBorders>
              <w:top w:val="nil"/>
              <w:left w:val="single" w:sz="4" w:space="0" w:color="auto"/>
              <w:bottom w:val="nil"/>
              <w:right w:val="nil"/>
            </w:tcBorders>
            <w:noWrap/>
            <w:vAlign w:val="center"/>
            <w:hideMark/>
          </w:tcPr>
          <w:p w14:paraId="3E4918B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546D78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Public Health and Wellbeing Act 2008</w:t>
            </w:r>
            <w:r w:rsidRPr="00007A97">
              <w:rPr>
                <w:rFonts w:ascii="Arial" w:hAnsi="Arial" w:cs="Arial"/>
                <w:color w:val="000000"/>
                <w:sz w:val="18"/>
                <w:szCs w:val="18"/>
                <w:lang w:eastAsia="ko-KR"/>
              </w:rPr>
              <w:t>, section 207</w:t>
            </w:r>
          </w:p>
        </w:tc>
        <w:tc>
          <w:tcPr>
            <w:tcW w:w="617" w:type="pct"/>
            <w:tcBorders>
              <w:top w:val="nil"/>
              <w:left w:val="single" w:sz="4" w:space="0" w:color="auto"/>
              <w:bottom w:val="nil"/>
              <w:right w:val="nil"/>
            </w:tcBorders>
            <w:vAlign w:val="center"/>
            <w:hideMark/>
          </w:tcPr>
          <w:p w14:paraId="59C78A8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71AE64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E017F06" w14:textId="77777777" w:rsidR="00007A97" w:rsidRPr="00007A97" w:rsidRDefault="00007A97" w:rsidP="00007A97">
            <w:pPr>
              <w:jc w:val="center"/>
              <w:rPr>
                <w:rFonts w:ascii="Times New Roman" w:hAnsi="Times New Roman"/>
                <w:lang w:eastAsia="ko-KR"/>
              </w:rPr>
            </w:pPr>
          </w:p>
        </w:tc>
      </w:tr>
      <w:tr w:rsidR="00F41C4E" w:rsidRPr="00007A97" w14:paraId="4E5D3994" w14:textId="77777777" w:rsidTr="00F41C4E">
        <w:trPr>
          <w:trHeight w:val="285"/>
        </w:trPr>
        <w:tc>
          <w:tcPr>
            <w:tcW w:w="352" w:type="pct"/>
            <w:tcBorders>
              <w:top w:val="nil"/>
              <w:left w:val="single" w:sz="4" w:space="0" w:color="auto"/>
              <w:bottom w:val="nil"/>
              <w:right w:val="nil"/>
            </w:tcBorders>
            <w:noWrap/>
            <w:vAlign w:val="center"/>
            <w:hideMark/>
          </w:tcPr>
          <w:p w14:paraId="01B048B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2E17E0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Racing Act 1958</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7FAC903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A2544E8"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2D1314E" w14:textId="77777777" w:rsidR="00007A97" w:rsidRPr="00007A97" w:rsidRDefault="00007A97" w:rsidP="00007A97">
            <w:pPr>
              <w:jc w:val="center"/>
              <w:rPr>
                <w:rFonts w:ascii="Times New Roman" w:hAnsi="Times New Roman"/>
                <w:lang w:eastAsia="ko-KR"/>
              </w:rPr>
            </w:pPr>
          </w:p>
        </w:tc>
      </w:tr>
      <w:tr w:rsidR="00F41C4E" w:rsidRPr="00007A97" w14:paraId="67219EA1" w14:textId="77777777" w:rsidTr="00F41C4E">
        <w:trPr>
          <w:trHeight w:val="285"/>
        </w:trPr>
        <w:tc>
          <w:tcPr>
            <w:tcW w:w="352" w:type="pct"/>
            <w:tcBorders>
              <w:top w:val="nil"/>
              <w:left w:val="single" w:sz="4" w:space="0" w:color="auto"/>
              <w:bottom w:val="nil"/>
              <w:right w:val="nil"/>
            </w:tcBorders>
            <w:noWrap/>
            <w:vAlign w:val="center"/>
            <w:hideMark/>
          </w:tcPr>
          <w:p w14:paraId="6976BE1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B67D566"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Rail Safety National Law (Victoria)</w:t>
            </w:r>
          </w:p>
        </w:tc>
        <w:tc>
          <w:tcPr>
            <w:tcW w:w="617" w:type="pct"/>
            <w:tcBorders>
              <w:top w:val="nil"/>
              <w:left w:val="single" w:sz="4" w:space="0" w:color="auto"/>
              <w:bottom w:val="nil"/>
              <w:right w:val="nil"/>
            </w:tcBorders>
            <w:vAlign w:val="center"/>
            <w:hideMark/>
          </w:tcPr>
          <w:p w14:paraId="29725763"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228F46A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D97799E" w14:textId="77777777" w:rsidR="00007A97" w:rsidRPr="00007A97" w:rsidRDefault="00007A97" w:rsidP="00007A97">
            <w:pPr>
              <w:jc w:val="center"/>
              <w:rPr>
                <w:rFonts w:ascii="Times New Roman" w:hAnsi="Times New Roman"/>
                <w:lang w:eastAsia="ko-KR"/>
              </w:rPr>
            </w:pPr>
          </w:p>
        </w:tc>
      </w:tr>
      <w:tr w:rsidR="00F41C4E" w:rsidRPr="00007A97" w14:paraId="59BBC6E9" w14:textId="77777777" w:rsidTr="00F41C4E">
        <w:trPr>
          <w:trHeight w:val="285"/>
        </w:trPr>
        <w:tc>
          <w:tcPr>
            <w:tcW w:w="352" w:type="pct"/>
            <w:tcBorders>
              <w:top w:val="nil"/>
              <w:left w:val="single" w:sz="4" w:space="0" w:color="auto"/>
              <w:bottom w:val="nil"/>
              <w:right w:val="nil"/>
            </w:tcBorders>
            <w:noWrap/>
            <w:vAlign w:val="center"/>
            <w:hideMark/>
          </w:tcPr>
          <w:p w14:paraId="0FCF66A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2A0BD5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Relationships Act 2008</w:t>
            </w:r>
            <w:r w:rsidRPr="00007A97">
              <w:rPr>
                <w:rFonts w:ascii="Arial" w:hAnsi="Arial" w:cs="Arial"/>
                <w:color w:val="000000"/>
                <w:sz w:val="18"/>
                <w:szCs w:val="18"/>
                <w:lang w:eastAsia="ko-KR"/>
              </w:rPr>
              <w:t>, Part 2.4</w:t>
            </w:r>
          </w:p>
        </w:tc>
        <w:tc>
          <w:tcPr>
            <w:tcW w:w="617" w:type="pct"/>
            <w:tcBorders>
              <w:top w:val="nil"/>
              <w:left w:val="single" w:sz="4" w:space="0" w:color="auto"/>
              <w:bottom w:val="nil"/>
              <w:right w:val="nil"/>
            </w:tcBorders>
            <w:vAlign w:val="center"/>
            <w:hideMark/>
          </w:tcPr>
          <w:p w14:paraId="0B8BF1A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2C20E4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9AA6A46" w14:textId="77777777" w:rsidR="00007A97" w:rsidRPr="00007A97" w:rsidRDefault="00007A97" w:rsidP="00007A97">
            <w:pPr>
              <w:jc w:val="center"/>
              <w:rPr>
                <w:rFonts w:ascii="Times New Roman" w:hAnsi="Times New Roman"/>
                <w:lang w:eastAsia="ko-KR"/>
              </w:rPr>
            </w:pPr>
          </w:p>
        </w:tc>
      </w:tr>
      <w:tr w:rsidR="00F41C4E" w:rsidRPr="00007A97" w14:paraId="21B0759C" w14:textId="77777777" w:rsidTr="00F41C4E">
        <w:trPr>
          <w:trHeight w:val="285"/>
        </w:trPr>
        <w:tc>
          <w:tcPr>
            <w:tcW w:w="352" w:type="pct"/>
            <w:tcBorders>
              <w:top w:val="nil"/>
              <w:left w:val="single" w:sz="4" w:space="0" w:color="auto"/>
              <w:bottom w:val="nil"/>
              <w:right w:val="nil"/>
            </w:tcBorders>
            <w:noWrap/>
            <w:vAlign w:val="center"/>
            <w:hideMark/>
          </w:tcPr>
          <w:p w14:paraId="13CABD6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3D1BDD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Road Management Act 2004</w:t>
            </w:r>
          </w:p>
        </w:tc>
        <w:tc>
          <w:tcPr>
            <w:tcW w:w="617" w:type="pct"/>
            <w:tcBorders>
              <w:top w:val="nil"/>
              <w:left w:val="single" w:sz="4" w:space="0" w:color="auto"/>
              <w:bottom w:val="nil"/>
              <w:right w:val="nil"/>
            </w:tcBorders>
            <w:vAlign w:val="center"/>
            <w:hideMark/>
          </w:tcPr>
          <w:p w14:paraId="006CA04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24D55A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BDABDCE" w14:textId="77777777" w:rsidR="00007A97" w:rsidRPr="00007A97" w:rsidRDefault="00007A97" w:rsidP="00007A97">
            <w:pPr>
              <w:jc w:val="center"/>
              <w:rPr>
                <w:rFonts w:ascii="Times New Roman" w:hAnsi="Times New Roman"/>
                <w:lang w:eastAsia="ko-KR"/>
              </w:rPr>
            </w:pPr>
          </w:p>
        </w:tc>
      </w:tr>
      <w:tr w:rsidR="00F41C4E" w:rsidRPr="00007A97" w14:paraId="43D9CB3A" w14:textId="77777777" w:rsidTr="00F41C4E">
        <w:trPr>
          <w:trHeight w:val="285"/>
        </w:trPr>
        <w:tc>
          <w:tcPr>
            <w:tcW w:w="352" w:type="pct"/>
            <w:tcBorders>
              <w:top w:val="nil"/>
              <w:left w:val="single" w:sz="4" w:space="0" w:color="auto"/>
              <w:bottom w:val="nil"/>
              <w:right w:val="nil"/>
            </w:tcBorders>
            <w:noWrap/>
            <w:vAlign w:val="center"/>
            <w:hideMark/>
          </w:tcPr>
          <w:p w14:paraId="099C991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7AAFD9F"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Road Management (General) Regulations 2016</w:t>
            </w:r>
          </w:p>
        </w:tc>
        <w:tc>
          <w:tcPr>
            <w:tcW w:w="617" w:type="pct"/>
            <w:tcBorders>
              <w:top w:val="nil"/>
              <w:left w:val="single" w:sz="4" w:space="0" w:color="auto"/>
              <w:bottom w:val="nil"/>
              <w:right w:val="nil"/>
            </w:tcBorders>
            <w:vAlign w:val="center"/>
            <w:hideMark/>
          </w:tcPr>
          <w:p w14:paraId="55D0A1EA"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3FE0701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038F348" w14:textId="77777777" w:rsidR="00007A97" w:rsidRPr="00007A97" w:rsidRDefault="00007A97" w:rsidP="00007A97">
            <w:pPr>
              <w:jc w:val="center"/>
              <w:rPr>
                <w:rFonts w:ascii="Times New Roman" w:hAnsi="Times New Roman"/>
                <w:lang w:eastAsia="ko-KR"/>
              </w:rPr>
            </w:pPr>
          </w:p>
        </w:tc>
      </w:tr>
      <w:tr w:rsidR="00F41C4E" w:rsidRPr="00007A97" w14:paraId="4B26E9CF" w14:textId="77777777" w:rsidTr="00F41C4E">
        <w:trPr>
          <w:trHeight w:val="285"/>
        </w:trPr>
        <w:tc>
          <w:tcPr>
            <w:tcW w:w="352" w:type="pct"/>
            <w:tcBorders>
              <w:top w:val="nil"/>
              <w:left w:val="single" w:sz="4" w:space="0" w:color="auto"/>
              <w:bottom w:val="nil"/>
              <w:right w:val="nil"/>
            </w:tcBorders>
            <w:noWrap/>
            <w:vAlign w:val="center"/>
            <w:hideMark/>
          </w:tcPr>
          <w:p w14:paraId="1556412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90DF07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Road Safety Act 1986</w:t>
            </w:r>
          </w:p>
        </w:tc>
        <w:tc>
          <w:tcPr>
            <w:tcW w:w="617" w:type="pct"/>
            <w:tcBorders>
              <w:top w:val="nil"/>
              <w:left w:val="single" w:sz="4" w:space="0" w:color="auto"/>
              <w:bottom w:val="nil"/>
              <w:right w:val="nil"/>
            </w:tcBorders>
            <w:vAlign w:val="center"/>
            <w:hideMark/>
          </w:tcPr>
          <w:p w14:paraId="16CE349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FC50D6C"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5A0F6BF" w14:textId="77777777" w:rsidR="00007A97" w:rsidRPr="00007A97" w:rsidRDefault="00007A97" w:rsidP="00007A97">
            <w:pPr>
              <w:jc w:val="center"/>
              <w:rPr>
                <w:rFonts w:ascii="Times New Roman" w:hAnsi="Times New Roman"/>
                <w:lang w:eastAsia="ko-KR"/>
              </w:rPr>
            </w:pPr>
          </w:p>
        </w:tc>
      </w:tr>
      <w:tr w:rsidR="00F41C4E" w:rsidRPr="00007A97" w14:paraId="56BC3329" w14:textId="77777777" w:rsidTr="00F41C4E">
        <w:trPr>
          <w:trHeight w:val="285"/>
        </w:trPr>
        <w:tc>
          <w:tcPr>
            <w:tcW w:w="352" w:type="pct"/>
            <w:tcBorders>
              <w:top w:val="nil"/>
              <w:left w:val="single" w:sz="4" w:space="0" w:color="auto"/>
              <w:bottom w:val="nil"/>
              <w:right w:val="nil"/>
            </w:tcBorders>
            <w:noWrap/>
            <w:vAlign w:val="center"/>
            <w:hideMark/>
          </w:tcPr>
          <w:p w14:paraId="2EE47DA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EB5F04D"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Seafood Safety Act 2003</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74D0720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BB2FE8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CDC9E93" w14:textId="77777777" w:rsidR="00007A97" w:rsidRPr="00007A97" w:rsidRDefault="00007A97" w:rsidP="00007A97">
            <w:pPr>
              <w:jc w:val="center"/>
              <w:rPr>
                <w:rFonts w:ascii="Times New Roman" w:hAnsi="Times New Roman"/>
                <w:lang w:eastAsia="ko-KR"/>
              </w:rPr>
            </w:pPr>
          </w:p>
        </w:tc>
      </w:tr>
      <w:tr w:rsidR="00F41C4E" w:rsidRPr="00007A97" w14:paraId="2F9533E8" w14:textId="77777777" w:rsidTr="00F41C4E">
        <w:trPr>
          <w:trHeight w:val="285"/>
        </w:trPr>
        <w:tc>
          <w:tcPr>
            <w:tcW w:w="352" w:type="pct"/>
            <w:tcBorders>
              <w:top w:val="nil"/>
              <w:left w:val="single" w:sz="4" w:space="0" w:color="auto"/>
              <w:bottom w:val="nil"/>
              <w:right w:val="nil"/>
            </w:tcBorders>
            <w:noWrap/>
            <w:vAlign w:val="center"/>
            <w:hideMark/>
          </w:tcPr>
          <w:p w14:paraId="0D0389D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BCC67D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Second-Hand Dealers and Pawnbrokers Act 1989</w:t>
            </w:r>
            <w:r w:rsidRPr="00007A97">
              <w:rPr>
                <w:rFonts w:ascii="Arial" w:hAnsi="Arial" w:cs="Arial"/>
                <w:color w:val="000000"/>
                <w:sz w:val="18"/>
                <w:szCs w:val="18"/>
                <w:lang w:eastAsia="ko-KR"/>
              </w:rPr>
              <w:t>, sections 9B, 14 and 18A</w:t>
            </w:r>
          </w:p>
        </w:tc>
        <w:tc>
          <w:tcPr>
            <w:tcW w:w="617" w:type="pct"/>
            <w:tcBorders>
              <w:top w:val="nil"/>
              <w:left w:val="single" w:sz="4" w:space="0" w:color="auto"/>
              <w:bottom w:val="nil"/>
              <w:right w:val="nil"/>
            </w:tcBorders>
            <w:vAlign w:val="center"/>
            <w:hideMark/>
          </w:tcPr>
          <w:p w14:paraId="4BB9197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712F36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D11667A" w14:textId="77777777" w:rsidR="00007A97" w:rsidRPr="00007A97" w:rsidRDefault="00007A97" w:rsidP="00007A97">
            <w:pPr>
              <w:jc w:val="center"/>
              <w:rPr>
                <w:rFonts w:ascii="Times New Roman" w:hAnsi="Times New Roman"/>
                <w:lang w:eastAsia="ko-KR"/>
              </w:rPr>
            </w:pPr>
          </w:p>
        </w:tc>
      </w:tr>
      <w:tr w:rsidR="00F41C4E" w:rsidRPr="00007A97" w14:paraId="43E093F9" w14:textId="77777777" w:rsidTr="00F41C4E">
        <w:trPr>
          <w:trHeight w:val="285"/>
        </w:trPr>
        <w:tc>
          <w:tcPr>
            <w:tcW w:w="352" w:type="pct"/>
            <w:tcBorders>
              <w:top w:val="nil"/>
              <w:left w:val="single" w:sz="4" w:space="0" w:color="auto"/>
              <w:bottom w:val="nil"/>
              <w:right w:val="nil"/>
            </w:tcBorders>
            <w:noWrap/>
            <w:vAlign w:val="center"/>
            <w:hideMark/>
          </w:tcPr>
          <w:p w14:paraId="09F5201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BDD509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Sentencing Act 1991</w:t>
            </w:r>
            <w:r w:rsidRPr="00007A97">
              <w:rPr>
                <w:rFonts w:ascii="Arial" w:hAnsi="Arial" w:cs="Arial"/>
                <w:color w:val="000000"/>
                <w:sz w:val="18"/>
                <w:szCs w:val="18"/>
                <w:lang w:eastAsia="ko-KR"/>
              </w:rPr>
              <w:t>, section 105L</w:t>
            </w:r>
          </w:p>
        </w:tc>
        <w:tc>
          <w:tcPr>
            <w:tcW w:w="617" w:type="pct"/>
            <w:tcBorders>
              <w:top w:val="nil"/>
              <w:left w:val="single" w:sz="4" w:space="0" w:color="auto"/>
              <w:bottom w:val="nil"/>
              <w:right w:val="nil"/>
            </w:tcBorders>
            <w:vAlign w:val="center"/>
            <w:hideMark/>
          </w:tcPr>
          <w:p w14:paraId="1469DE8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C8B2F9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2AEB849" w14:textId="77777777" w:rsidR="00007A97" w:rsidRPr="00007A97" w:rsidRDefault="00007A97" w:rsidP="00007A97">
            <w:pPr>
              <w:jc w:val="center"/>
              <w:rPr>
                <w:rFonts w:ascii="Times New Roman" w:hAnsi="Times New Roman"/>
                <w:lang w:eastAsia="ko-KR"/>
              </w:rPr>
            </w:pPr>
          </w:p>
        </w:tc>
      </w:tr>
      <w:tr w:rsidR="00F41C4E" w:rsidRPr="00007A97" w14:paraId="2AE98593" w14:textId="77777777" w:rsidTr="00F41C4E">
        <w:trPr>
          <w:trHeight w:val="285"/>
        </w:trPr>
        <w:tc>
          <w:tcPr>
            <w:tcW w:w="352" w:type="pct"/>
            <w:tcBorders>
              <w:top w:val="nil"/>
              <w:left w:val="single" w:sz="4" w:space="0" w:color="auto"/>
              <w:bottom w:val="nil"/>
              <w:right w:val="nil"/>
            </w:tcBorders>
            <w:noWrap/>
            <w:vAlign w:val="center"/>
            <w:hideMark/>
          </w:tcPr>
          <w:p w14:paraId="19998DE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2E6881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Small Business Commission Act 2017</w:t>
            </w:r>
            <w:r w:rsidRPr="00007A97">
              <w:rPr>
                <w:rFonts w:ascii="Arial" w:hAnsi="Arial" w:cs="Arial"/>
                <w:color w:val="000000"/>
                <w:sz w:val="18"/>
                <w:szCs w:val="18"/>
                <w:lang w:eastAsia="ko-KR"/>
              </w:rPr>
              <w:t>,</w:t>
            </w:r>
            <w:r w:rsidRPr="00007A97">
              <w:rPr>
                <w:rFonts w:ascii="Arial" w:hAnsi="Arial" w:cs="Arial"/>
                <w:b/>
                <w:bCs/>
                <w:color w:val="000000"/>
                <w:sz w:val="18"/>
                <w:szCs w:val="18"/>
                <w:lang w:eastAsia="ko-KR"/>
              </w:rPr>
              <w:t xml:space="preserve"> </w:t>
            </w:r>
            <w:r w:rsidRPr="00007A97">
              <w:rPr>
                <w:rFonts w:ascii="Arial" w:hAnsi="Arial" w:cs="Arial"/>
                <w:color w:val="000000"/>
                <w:sz w:val="18"/>
                <w:szCs w:val="18"/>
                <w:lang w:eastAsia="ko-KR"/>
              </w:rPr>
              <w:t>section 13</w:t>
            </w:r>
          </w:p>
        </w:tc>
        <w:tc>
          <w:tcPr>
            <w:tcW w:w="617" w:type="pct"/>
            <w:tcBorders>
              <w:top w:val="nil"/>
              <w:left w:val="single" w:sz="4" w:space="0" w:color="auto"/>
              <w:bottom w:val="nil"/>
              <w:right w:val="nil"/>
            </w:tcBorders>
            <w:vAlign w:val="center"/>
            <w:hideMark/>
          </w:tcPr>
          <w:p w14:paraId="51002077"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CEA58F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563A625" w14:textId="77777777" w:rsidR="00007A97" w:rsidRPr="00007A97" w:rsidRDefault="00007A97" w:rsidP="00007A97">
            <w:pPr>
              <w:jc w:val="center"/>
              <w:rPr>
                <w:rFonts w:ascii="Times New Roman" w:hAnsi="Times New Roman"/>
                <w:lang w:eastAsia="ko-KR"/>
              </w:rPr>
            </w:pPr>
          </w:p>
        </w:tc>
      </w:tr>
      <w:tr w:rsidR="00F41C4E" w:rsidRPr="00007A97" w14:paraId="57D2FFD7" w14:textId="77777777" w:rsidTr="00F41C4E">
        <w:trPr>
          <w:trHeight w:val="285"/>
        </w:trPr>
        <w:tc>
          <w:tcPr>
            <w:tcW w:w="352" w:type="pct"/>
            <w:tcBorders>
              <w:top w:val="nil"/>
              <w:left w:val="single" w:sz="4" w:space="0" w:color="auto"/>
              <w:bottom w:val="nil"/>
              <w:right w:val="nil"/>
            </w:tcBorders>
            <w:noWrap/>
            <w:vAlign w:val="center"/>
            <w:hideMark/>
          </w:tcPr>
          <w:p w14:paraId="5BB631B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79E271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State Employees Retirement Benefits Act 1979</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094EE053"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200758B"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6AA2179" w14:textId="77777777" w:rsidR="00007A97" w:rsidRPr="00007A97" w:rsidRDefault="00007A97" w:rsidP="00007A97">
            <w:pPr>
              <w:jc w:val="center"/>
              <w:rPr>
                <w:rFonts w:ascii="Times New Roman" w:hAnsi="Times New Roman"/>
                <w:lang w:eastAsia="ko-KR"/>
              </w:rPr>
            </w:pPr>
          </w:p>
        </w:tc>
      </w:tr>
      <w:tr w:rsidR="00F41C4E" w:rsidRPr="00007A97" w14:paraId="2D2DA2B0" w14:textId="77777777" w:rsidTr="00F41C4E">
        <w:trPr>
          <w:trHeight w:val="285"/>
        </w:trPr>
        <w:tc>
          <w:tcPr>
            <w:tcW w:w="352" w:type="pct"/>
            <w:tcBorders>
              <w:top w:val="nil"/>
              <w:left w:val="single" w:sz="4" w:space="0" w:color="auto"/>
              <w:bottom w:val="nil"/>
              <w:right w:val="nil"/>
            </w:tcBorders>
            <w:noWrap/>
            <w:vAlign w:val="center"/>
            <w:hideMark/>
          </w:tcPr>
          <w:p w14:paraId="54ADAFA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63762C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State Superannuation Act 1988</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35D4EAA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43A95E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696AB13" w14:textId="77777777" w:rsidR="00007A97" w:rsidRPr="00007A97" w:rsidRDefault="00007A97" w:rsidP="00007A97">
            <w:pPr>
              <w:jc w:val="center"/>
              <w:rPr>
                <w:rFonts w:ascii="Times New Roman" w:hAnsi="Times New Roman"/>
                <w:lang w:eastAsia="ko-KR"/>
              </w:rPr>
            </w:pPr>
          </w:p>
        </w:tc>
      </w:tr>
      <w:tr w:rsidR="00F41C4E" w:rsidRPr="00007A97" w14:paraId="408582CD" w14:textId="77777777" w:rsidTr="00F41C4E">
        <w:trPr>
          <w:trHeight w:val="285"/>
        </w:trPr>
        <w:tc>
          <w:tcPr>
            <w:tcW w:w="352" w:type="pct"/>
            <w:tcBorders>
              <w:top w:val="nil"/>
              <w:left w:val="single" w:sz="4" w:space="0" w:color="auto"/>
              <w:bottom w:val="nil"/>
              <w:right w:val="nil"/>
            </w:tcBorders>
            <w:noWrap/>
            <w:vAlign w:val="center"/>
            <w:hideMark/>
          </w:tcPr>
          <w:p w14:paraId="4AC708E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0ADBDB7"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Superannuation (Portability) Act 1989</w:t>
            </w:r>
          </w:p>
        </w:tc>
        <w:tc>
          <w:tcPr>
            <w:tcW w:w="617" w:type="pct"/>
            <w:tcBorders>
              <w:top w:val="nil"/>
              <w:left w:val="single" w:sz="4" w:space="0" w:color="auto"/>
              <w:bottom w:val="nil"/>
              <w:right w:val="nil"/>
            </w:tcBorders>
            <w:vAlign w:val="center"/>
            <w:hideMark/>
          </w:tcPr>
          <w:p w14:paraId="345404FA"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64FA91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91688A9" w14:textId="77777777" w:rsidR="00007A97" w:rsidRPr="00007A97" w:rsidRDefault="00007A97" w:rsidP="00007A97">
            <w:pPr>
              <w:jc w:val="center"/>
              <w:rPr>
                <w:rFonts w:ascii="Times New Roman" w:hAnsi="Times New Roman"/>
                <w:lang w:eastAsia="ko-KR"/>
              </w:rPr>
            </w:pPr>
          </w:p>
        </w:tc>
      </w:tr>
      <w:tr w:rsidR="00F41C4E" w:rsidRPr="00007A97" w14:paraId="145AB51D" w14:textId="77777777" w:rsidTr="00F41C4E">
        <w:trPr>
          <w:trHeight w:val="285"/>
        </w:trPr>
        <w:tc>
          <w:tcPr>
            <w:tcW w:w="352" w:type="pct"/>
            <w:tcBorders>
              <w:top w:val="nil"/>
              <w:left w:val="single" w:sz="4" w:space="0" w:color="auto"/>
              <w:bottom w:val="nil"/>
              <w:right w:val="nil"/>
            </w:tcBorders>
            <w:noWrap/>
            <w:vAlign w:val="center"/>
            <w:hideMark/>
          </w:tcPr>
          <w:p w14:paraId="5CF7D04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nil"/>
              <w:bottom w:val="nil"/>
              <w:right w:val="nil"/>
            </w:tcBorders>
            <w:vAlign w:val="center"/>
            <w:hideMark/>
          </w:tcPr>
          <w:p w14:paraId="29FE43E2"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Social Services Regulation Act 2021</w:t>
            </w:r>
            <w:r w:rsidRPr="00007A97">
              <w:rPr>
                <w:rFonts w:ascii="Arial" w:hAnsi="Arial" w:cs="Arial"/>
                <w:color w:val="000000"/>
                <w:sz w:val="18"/>
                <w:szCs w:val="18"/>
                <w:lang w:eastAsia="ko-KR"/>
              </w:rPr>
              <w:t xml:space="preserve">, section 291 </w:t>
            </w:r>
          </w:p>
        </w:tc>
        <w:tc>
          <w:tcPr>
            <w:tcW w:w="617" w:type="pct"/>
            <w:tcBorders>
              <w:top w:val="nil"/>
              <w:left w:val="single" w:sz="4" w:space="0" w:color="auto"/>
              <w:bottom w:val="nil"/>
              <w:right w:val="nil"/>
            </w:tcBorders>
            <w:vAlign w:val="center"/>
            <w:hideMark/>
          </w:tcPr>
          <w:p w14:paraId="1A7EF3E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35F53E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B22E291" w14:textId="77777777" w:rsidR="00007A97" w:rsidRPr="00007A97" w:rsidRDefault="00007A97" w:rsidP="00007A97">
            <w:pPr>
              <w:jc w:val="center"/>
              <w:rPr>
                <w:rFonts w:ascii="Times New Roman" w:hAnsi="Times New Roman"/>
                <w:lang w:eastAsia="ko-KR"/>
              </w:rPr>
            </w:pPr>
          </w:p>
        </w:tc>
      </w:tr>
      <w:tr w:rsidR="00F41C4E" w:rsidRPr="00007A97" w14:paraId="71C21AD2" w14:textId="77777777" w:rsidTr="00F41C4E">
        <w:trPr>
          <w:trHeight w:val="285"/>
        </w:trPr>
        <w:tc>
          <w:tcPr>
            <w:tcW w:w="352" w:type="pct"/>
            <w:tcBorders>
              <w:top w:val="nil"/>
              <w:left w:val="single" w:sz="4" w:space="0" w:color="auto"/>
              <w:bottom w:val="nil"/>
              <w:right w:val="nil"/>
            </w:tcBorders>
            <w:noWrap/>
            <w:vAlign w:val="center"/>
            <w:hideMark/>
          </w:tcPr>
          <w:p w14:paraId="76E2C43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48F6CE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Surveying Act 2004</w:t>
            </w:r>
            <w:r w:rsidRPr="00007A97">
              <w:rPr>
                <w:rFonts w:ascii="Arial" w:hAnsi="Arial" w:cs="Arial"/>
                <w:color w:val="000000"/>
                <w:sz w:val="18"/>
                <w:szCs w:val="18"/>
                <w:lang w:eastAsia="ko-KR"/>
              </w:rPr>
              <w:t>, section 33</w:t>
            </w:r>
          </w:p>
        </w:tc>
        <w:tc>
          <w:tcPr>
            <w:tcW w:w="617" w:type="pct"/>
            <w:tcBorders>
              <w:top w:val="nil"/>
              <w:left w:val="single" w:sz="4" w:space="0" w:color="auto"/>
              <w:bottom w:val="nil"/>
              <w:right w:val="nil"/>
            </w:tcBorders>
            <w:vAlign w:val="center"/>
            <w:hideMark/>
          </w:tcPr>
          <w:p w14:paraId="3D515619"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460CCE1"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0A0BEBC" w14:textId="77777777" w:rsidR="00007A97" w:rsidRPr="00007A97" w:rsidRDefault="00007A97" w:rsidP="00007A97">
            <w:pPr>
              <w:jc w:val="center"/>
              <w:rPr>
                <w:rFonts w:ascii="Times New Roman" w:hAnsi="Times New Roman"/>
                <w:lang w:eastAsia="ko-KR"/>
              </w:rPr>
            </w:pPr>
          </w:p>
        </w:tc>
      </w:tr>
      <w:tr w:rsidR="00F41C4E" w:rsidRPr="00007A97" w14:paraId="6CF674AC" w14:textId="77777777" w:rsidTr="00F41C4E">
        <w:trPr>
          <w:trHeight w:val="285"/>
        </w:trPr>
        <w:tc>
          <w:tcPr>
            <w:tcW w:w="352" w:type="pct"/>
            <w:tcBorders>
              <w:top w:val="nil"/>
              <w:left w:val="single" w:sz="4" w:space="0" w:color="auto"/>
              <w:bottom w:val="nil"/>
              <w:right w:val="nil"/>
            </w:tcBorders>
            <w:noWrap/>
            <w:vAlign w:val="center"/>
            <w:hideMark/>
          </w:tcPr>
          <w:p w14:paraId="3E8BD30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52BFE14"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taxing Act</w:t>
            </w:r>
          </w:p>
        </w:tc>
        <w:tc>
          <w:tcPr>
            <w:tcW w:w="617" w:type="pct"/>
            <w:tcBorders>
              <w:top w:val="nil"/>
              <w:left w:val="single" w:sz="4" w:space="0" w:color="auto"/>
              <w:bottom w:val="nil"/>
              <w:right w:val="nil"/>
            </w:tcBorders>
            <w:vAlign w:val="center"/>
            <w:hideMark/>
          </w:tcPr>
          <w:p w14:paraId="53BEF7C4"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6034046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698BF7A" w14:textId="77777777" w:rsidR="00007A97" w:rsidRPr="00007A97" w:rsidRDefault="00007A97" w:rsidP="00007A97">
            <w:pPr>
              <w:jc w:val="center"/>
              <w:rPr>
                <w:rFonts w:ascii="Times New Roman" w:hAnsi="Times New Roman"/>
                <w:lang w:eastAsia="ko-KR"/>
              </w:rPr>
            </w:pPr>
          </w:p>
        </w:tc>
      </w:tr>
      <w:tr w:rsidR="00F41C4E" w:rsidRPr="00007A97" w14:paraId="3DD0E602" w14:textId="77777777" w:rsidTr="00F41C4E">
        <w:trPr>
          <w:trHeight w:val="285"/>
        </w:trPr>
        <w:tc>
          <w:tcPr>
            <w:tcW w:w="352" w:type="pct"/>
            <w:tcBorders>
              <w:top w:val="nil"/>
              <w:left w:val="single" w:sz="4" w:space="0" w:color="auto"/>
              <w:bottom w:val="nil"/>
              <w:right w:val="nil"/>
            </w:tcBorders>
            <w:noWrap/>
            <w:vAlign w:val="center"/>
            <w:hideMark/>
          </w:tcPr>
          <w:p w14:paraId="45E6E40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5C65F4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Therapeutic Goods (Victoria) Act 2010</w:t>
            </w:r>
            <w:r w:rsidRPr="00007A97">
              <w:rPr>
                <w:rFonts w:ascii="Arial" w:hAnsi="Arial" w:cs="Arial"/>
                <w:color w:val="000000"/>
                <w:sz w:val="18"/>
                <w:szCs w:val="18"/>
                <w:lang w:eastAsia="ko-KR"/>
              </w:rPr>
              <w:t>, section 30</w:t>
            </w:r>
          </w:p>
        </w:tc>
        <w:tc>
          <w:tcPr>
            <w:tcW w:w="617" w:type="pct"/>
            <w:tcBorders>
              <w:top w:val="nil"/>
              <w:left w:val="single" w:sz="4" w:space="0" w:color="auto"/>
              <w:bottom w:val="nil"/>
              <w:right w:val="nil"/>
            </w:tcBorders>
            <w:vAlign w:val="center"/>
            <w:hideMark/>
          </w:tcPr>
          <w:p w14:paraId="6641B08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11E42C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0F478F4" w14:textId="77777777" w:rsidR="00007A97" w:rsidRPr="00007A97" w:rsidRDefault="00007A97" w:rsidP="00007A97">
            <w:pPr>
              <w:jc w:val="center"/>
              <w:rPr>
                <w:rFonts w:ascii="Times New Roman" w:hAnsi="Times New Roman"/>
                <w:lang w:eastAsia="ko-KR"/>
              </w:rPr>
            </w:pPr>
          </w:p>
        </w:tc>
      </w:tr>
      <w:tr w:rsidR="00F41C4E" w:rsidRPr="00007A97" w14:paraId="1C193F1C" w14:textId="77777777" w:rsidTr="00F41C4E">
        <w:trPr>
          <w:trHeight w:val="285"/>
        </w:trPr>
        <w:tc>
          <w:tcPr>
            <w:tcW w:w="352" w:type="pct"/>
            <w:tcBorders>
              <w:top w:val="nil"/>
              <w:left w:val="single" w:sz="4" w:space="0" w:color="auto"/>
              <w:bottom w:val="nil"/>
              <w:right w:val="nil"/>
            </w:tcBorders>
            <w:noWrap/>
            <w:vAlign w:val="center"/>
            <w:hideMark/>
          </w:tcPr>
          <w:p w14:paraId="1214B70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FBD452E"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Transport Accident Act 1986</w:t>
            </w:r>
          </w:p>
        </w:tc>
        <w:tc>
          <w:tcPr>
            <w:tcW w:w="617" w:type="pct"/>
            <w:tcBorders>
              <w:top w:val="nil"/>
              <w:left w:val="single" w:sz="4" w:space="0" w:color="auto"/>
              <w:bottom w:val="nil"/>
              <w:right w:val="nil"/>
            </w:tcBorders>
            <w:vAlign w:val="center"/>
            <w:hideMark/>
          </w:tcPr>
          <w:p w14:paraId="5B13C8C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10B718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F0F616C" w14:textId="77777777" w:rsidR="00007A97" w:rsidRPr="00007A97" w:rsidRDefault="00007A97" w:rsidP="00007A97">
            <w:pPr>
              <w:jc w:val="center"/>
              <w:rPr>
                <w:rFonts w:ascii="Times New Roman" w:hAnsi="Times New Roman"/>
                <w:lang w:eastAsia="ko-KR"/>
              </w:rPr>
            </w:pPr>
          </w:p>
        </w:tc>
      </w:tr>
      <w:tr w:rsidR="00F41C4E" w:rsidRPr="00007A97" w14:paraId="488F81BC" w14:textId="77777777" w:rsidTr="00F41C4E">
        <w:trPr>
          <w:trHeight w:val="285"/>
        </w:trPr>
        <w:tc>
          <w:tcPr>
            <w:tcW w:w="352" w:type="pct"/>
            <w:tcBorders>
              <w:top w:val="nil"/>
              <w:left w:val="single" w:sz="4" w:space="0" w:color="auto"/>
              <w:bottom w:val="nil"/>
              <w:right w:val="nil"/>
            </w:tcBorders>
            <w:noWrap/>
            <w:vAlign w:val="center"/>
            <w:hideMark/>
          </w:tcPr>
          <w:p w14:paraId="0F96C49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60120F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Transport (Compliance and Miscellaneous) Act 1983</w:t>
            </w:r>
          </w:p>
        </w:tc>
        <w:tc>
          <w:tcPr>
            <w:tcW w:w="617" w:type="pct"/>
            <w:tcBorders>
              <w:top w:val="nil"/>
              <w:left w:val="single" w:sz="4" w:space="0" w:color="auto"/>
              <w:bottom w:val="nil"/>
              <w:right w:val="nil"/>
            </w:tcBorders>
            <w:vAlign w:val="center"/>
            <w:hideMark/>
          </w:tcPr>
          <w:p w14:paraId="145A4F1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799EBE4"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6FB7A4C" w14:textId="77777777" w:rsidR="00007A97" w:rsidRPr="00007A97" w:rsidRDefault="00007A97" w:rsidP="00007A97">
            <w:pPr>
              <w:jc w:val="center"/>
              <w:rPr>
                <w:rFonts w:ascii="Times New Roman" w:hAnsi="Times New Roman"/>
                <w:lang w:eastAsia="ko-KR"/>
              </w:rPr>
            </w:pPr>
          </w:p>
        </w:tc>
      </w:tr>
      <w:tr w:rsidR="00F41C4E" w:rsidRPr="00007A97" w14:paraId="154F1E37" w14:textId="77777777" w:rsidTr="00F41C4E">
        <w:trPr>
          <w:trHeight w:val="285"/>
        </w:trPr>
        <w:tc>
          <w:tcPr>
            <w:tcW w:w="352" w:type="pct"/>
            <w:tcBorders>
              <w:top w:val="nil"/>
              <w:left w:val="single" w:sz="4" w:space="0" w:color="auto"/>
              <w:bottom w:val="nil"/>
              <w:right w:val="nil"/>
            </w:tcBorders>
            <w:noWrap/>
            <w:vAlign w:val="center"/>
            <w:hideMark/>
          </w:tcPr>
          <w:p w14:paraId="4470F81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CEB632D"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Transport Superannuation Act 1988</w:t>
            </w:r>
          </w:p>
        </w:tc>
        <w:tc>
          <w:tcPr>
            <w:tcW w:w="617" w:type="pct"/>
            <w:tcBorders>
              <w:top w:val="nil"/>
              <w:left w:val="single" w:sz="4" w:space="0" w:color="auto"/>
              <w:bottom w:val="nil"/>
              <w:right w:val="nil"/>
            </w:tcBorders>
            <w:vAlign w:val="center"/>
            <w:hideMark/>
          </w:tcPr>
          <w:p w14:paraId="2D488BB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325BC0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9AC6297" w14:textId="77777777" w:rsidR="00007A97" w:rsidRPr="00007A97" w:rsidRDefault="00007A97" w:rsidP="00007A97">
            <w:pPr>
              <w:jc w:val="center"/>
              <w:rPr>
                <w:rFonts w:ascii="Times New Roman" w:hAnsi="Times New Roman"/>
                <w:lang w:eastAsia="ko-KR"/>
              </w:rPr>
            </w:pPr>
          </w:p>
        </w:tc>
      </w:tr>
      <w:tr w:rsidR="00F41C4E" w:rsidRPr="00007A97" w14:paraId="2922013F" w14:textId="77777777" w:rsidTr="00F41C4E">
        <w:trPr>
          <w:trHeight w:val="285"/>
        </w:trPr>
        <w:tc>
          <w:tcPr>
            <w:tcW w:w="352" w:type="pct"/>
            <w:tcBorders>
              <w:top w:val="nil"/>
              <w:left w:val="single" w:sz="4" w:space="0" w:color="auto"/>
              <w:bottom w:val="nil"/>
              <w:right w:val="nil"/>
            </w:tcBorders>
            <w:noWrap/>
            <w:vAlign w:val="center"/>
            <w:hideMark/>
          </w:tcPr>
          <w:p w14:paraId="1746D1E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2EFBEC0"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Veterinary Practice Act 1997</w:t>
            </w:r>
            <w:r w:rsidRPr="00007A97">
              <w:rPr>
                <w:rFonts w:ascii="Arial" w:hAnsi="Arial" w:cs="Arial"/>
                <w:color w:val="000000"/>
                <w:sz w:val="18"/>
                <w:szCs w:val="18"/>
                <w:lang w:eastAsia="ko-KR"/>
              </w:rPr>
              <w:t>, section 55</w:t>
            </w:r>
          </w:p>
        </w:tc>
        <w:tc>
          <w:tcPr>
            <w:tcW w:w="617" w:type="pct"/>
            <w:tcBorders>
              <w:top w:val="nil"/>
              <w:left w:val="single" w:sz="4" w:space="0" w:color="auto"/>
              <w:bottom w:val="nil"/>
              <w:right w:val="nil"/>
            </w:tcBorders>
            <w:vAlign w:val="center"/>
            <w:hideMark/>
          </w:tcPr>
          <w:p w14:paraId="12757CD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042A9E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87C06E9" w14:textId="77777777" w:rsidR="00007A97" w:rsidRPr="00007A97" w:rsidRDefault="00007A97" w:rsidP="00007A97">
            <w:pPr>
              <w:jc w:val="center"/>
              <w:rPr>
                <w:rFonts w:ascii="Times New Roman" w:hAnsi="Times New Roman"/>
                <w:lang w:eastAsia="ko-KR"/>
              </w:rPr>
            </w:pPr>
          </w:p>
        </w:tc>
      </w:tr>
      <w:tr w:rsidR="00F41C4E" w:rsidRPr="00007A97" w14:paraId="468C54C8" w14:textId="77777777" w:rsidTr="00F41C4E">
        <w:trPr>
          <w:trHeight w:val="285"/>
        </w:trPr>
        <w:tc>
          <w:tcPr>
            <w:tcW w:w="352" w:type="pct"/>
            <w:tcBorders>
              <w:top w:val="nil"/>
              <w:left w:val="single" w:sz="4" w:space="0" w:color="auto"/>
              <w:bottom w:val="nil"/>
              <w:right w:val="nil"/>
            </w:tcBorders>
            <w:noWrap/>
            <w:vAlign w:val="center"/>
            <w:hideMark/>
          </w:tcPr>
          <w:p w14:paraId="1896973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434F8B1"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Vexatious Proceedings Act 2014</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5F358FF7"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4E0E5A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2D5FE5E" w14:textId="77777777" w:rsidR="00007A97" w:rsidRPr="00007A97" w:rsidRDefault="00007A97" w:rsidP="00007A97">
            <w:pPr>
              <w:jc w:val="center"/>
              <w:rPr>
                <w:rFonts w:ascii="Times New Roman" w:hAnsi="Times New Roman"/>
                <w:lang w:eastAsia="ko-KR"/>
              </w:rPr>
            </w:pPr>
          </w:p>
        </w:tc>
      </w:tr>
      <w:tr w:rsidR="00F41C4E" w:rsidRPr="00007A97" w14:paraId="3FDB29A6" w14:textId="77777777" w:rsidTr="00F41C4E">
        <w:trPr>
          <w:trHeight w:val="285"/>
        </w:trPr>
        <w:tc>
          <w:tcPr>
            <w:tcW w:w="352" w:type="pct"/>
            <w:tcBorders>
              <w:top w:val="nil"/>
              <w:left w:val="single" w:sz="4" w:space="0" w:color="auto"/>
              <w:bottom w:val="nil"/>
              <w:right w:val="nil"/>
            </w:tcBorders>
            <w:noWrap/>
            <w:vAlign w:val="center"/>
            <w:hideMark/>
          </w:tcPr>
          <w:p w14:paraId="109D676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195BA96"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Victims of Crime Assistance Act 1996</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6823B4E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CDEF1E8"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FF3323D" w14:textId="77777777" w:rsidR="00007A97" w:rsidRPr="00007A97" w:rsidRDefault="00007A97" w:rsidP="00007A97">
            <w:pPr>
              <w:jc w:val="center"/>
              <w:rPr>
                <w:rFonts w:ascii="Times New Roman" w:hAnsi="Times New Roman"/>
                <w:lang w:eastAsia="ko-KR"/>
              </w:rPr>
            </w:pPr>
          </w:p>
        </w:tc>
      </w:tr>
      <w:tr w:rsidR="00F41C4E" w:rsidRPr="00007A97" w14:paraId="548273A5" w14:textId="77777777" w:rsidTr="00F41C4E">
        <w:trPr>
          <w:trHeight w:val="285"/>
        </w:trPr>
        <w:tc>
          <w:tcPr>
            <w:tcW w:w="352" w:type="pct"/>
            <w:tcBorders>
              <w:top w:val="nil"/>
              <w:left w:val="single" w:sz="4" w:space="0" w:color="auto"/>
              <w:bottom w:val="nil"/>
              <w:right w:val="nil"/>
            </w:tcBorders>
            <w:noWrap/>
            <w:vAlign w:val="center"/>
            <w:hideMark/>
          </w:tcPr>
          <w:p w14:paraId="55D996D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77C0E7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Victoria State Emergency Service Act 2005</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0D43E81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12A78D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569BCF2" w14:textId="77777777" w:rsidR="00007A97" w:rsidRPr="00007A97" w:rsidRDefault="00007A97" w:rsidP="00007A97">
            <w:pPr>
              <w:jc w:val="center"/>
              <w:rPr>
                <w:rFonts w:ascii="Times New Roman" w:hAnsi="Times New Roman"/>
                <w:lang w:eastAsia="ko-KR"/>
              </w:rPr>
            </w:pPr>
          </w:p>
        </w:tc>
      </w:tr>
      <w:tr w:rsidR="00F41C4E" w:rsidRPr="00007A97" w14:paraId="5F04B576" w14:textId="77777777" w:rsidTr="00F41C4E">
        <w:trPr>
          <w:trHeight w:val="285"/>
        </w:trPr>
        <w:tc>
          <w:tcPr>
            <w:tcW w:w="352" w:type="pct"/>
            <w:tcBorders>
              <w:top w:val="nil"/>
              <w:left w:val="single" w:sz="4" w:space="0" w:color="auto"/>
              <w:bottom w:val="nil"/>
              <w:right w:val="nil"/>
            </w:tcBorders>
            <w:noWrap/>
            <w:vAlign w:val="center"/>
            <w:hideMark/>
          </w:tcPr>
          <w:p w14:paraId="2B9B5D2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nil"/>
              <w:bottom w:val="nil"/>
              <w:right w:val="nil"/>
            </w:tcBorders>
            <w:vAlign w:val="center"/>
            <w:hideMark/>
          </w:tcPr>
          <w:p w14:paraId="02527832"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Victoria State Emergency Service Regulations 2017 </w:t>
            </w:r>
          </w:p>
        </w:tc>
        <w:tc>
          <w:tcPr>
            <w:tcW w:w="617" w:type="pct"/>
            <w:tcBorders>
              <w:top w:val="nil"/>
              <w:left w:val="single" w:sz="4" w:space="0" w:color="auto"/>
              <w:bottom w:val="nil"/>
              <w:right w:val="nil"/>
            </w:tcBorders>
            <w:vAlign w:val="center"/>
            <w:hideMark/>
          </w:tcPr>
          <w:p w14:paraId="30D9B868"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2B84480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CCAE6CB" w14:textId="77777777" w:rsidR="00007A97" w:rsidRPr="00007A97" w:rsidRDefault="00007A97" w:rsidP="00007A97">
            <w:pPr>
              <w:jc w:val="center"/>
              <w:rPr>
                <w:rFonts w:ascii="Times New Roman" w:hAnsi="Times New Roman"/>
                <w:lang w:eastAsia="ko-KR"/>
              </w:rPr>
            </w:pPr>
          </w:p>
        </w:tc>
      </w:tr>
      <w:tr w:rsidR="00F41C4E" w:rsidRPr="00007A97" w14:paraId="0D8DD3CE" w14:textId="77777777" w:rsidTr="00F41C4E">
        <w:trPr>
          <w:trHeight w:val="285"/>
        </w:trPr>
        <w:tc>
          <w:tcPr>
            <w:tcW w:w="352" w:type="pct"/>
            <w:tcBorders>
              <w:top w:val="nil"/>
              <w:left w:val="single" w:sz="4" w:space="0" w:color="auto"/>
              <w:bottom w:val="nil"/>
              <w:right w:val="nil"/>
            </w:tcBorders>
            <w:noWrap/>
            <w:vAlign w:val="center"/>
            <w:hideMark/>
          </w:tcPr>
          <w:p w14:paraId="52B2672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12C239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Victorian Plantations Corporation Act 1993</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355E9C0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99433D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594EE7C" w14:textId="77777777" w:rsidR="00007A97" w:rsidRPr="00007A97" w:rsidRDefault="00007A97" w:rsidP="00007A97">
            <w:pPr>
              <w:jc w:val="center"/>
              <w:rPr>
                <w:rFonts w:ascii="Times New Roman" w:hAnsi="Times New Roman"/>
                <w:lang w:eastAsia="ko-KR"/>
              </w:rPr>
            </w:pPr>
          </w:p>
        </w:tc>
      </w:tr>
      <w:tr w:rsidR="00F41C4E" w:rsidRPr="00007A97" w14:paraId="781AAF32" w14:textId="77777777" w:rsidTr="00F41C4E">
        <w:trPr>
          <w:trHeight w:val="285"/>
        </w:trPr>
        <w:tc>
          <w:tcPr>
            <w:tcW w:w="352" w:type="pct"/>
            <w:tcBorders>
              <w:top w:val="nil"/>
              <w:left w:val="single" w:sz="4" w:space="0" w:color="auto"/>
              <w:bottom w:val="nil"/>
              <w:right w:val="nil"/>
            </w:tcBorders>
            <w:noWrap/>
            <w:vAlign w:val="center"/>
            <w:hideMark/>
          </w:tcPr>
          <w:p w14:paraId="150347A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9DF8B0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Wildlife Act 1975</w:t>
            </w:r>
          </w:p>
        </w:tc>
        <w:tc>
          <w:tcPr>
            <w:tcW w:w="617" w:type="pct"/>
            <w:tcBorders>
              <w:top w:val="nil"/>
              <w:left w:val="single" w:sz="4" w:space="0" w:color="auto"/>
              <w:bottom w:val="nil"/>
              <w:right w:val="nil"/>
            </w:tcBorders>
            <w:vAlign w:val="center"/>
            <w:hideMark/>
          </w:tcPr>
          <w:p w14:paraId="4FE59DCD"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6E3B0E4"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805F87D" w14:textId="77777777" w:rsidR="00007A97" w:rsidRPr="00007A97" w:rsidRDefault="00007A97" w:rsidP="00007A97">
            <w:pPr>
              <w:jc w:val="center"/>
              <w:rPr>
                <w:rFonts w:ascii="Times New Roman" w:hAnsi="Times New Roman"/>
                <w:lang w:eastAsia="ko-KR"/>
              </w:rPr>
            </w:pPr>
          </w:p>
        </w:tc>
      </w:tr>
      <w:tr w:rsidR="00F41C4E" w:rsidRPr="00007A97" w14:paraId="158D7784" w14:textId="77777777" w:rsidTr="00F41C4E">
        <w:trPr>
          <w:trHeight w:val="285"/>
        </w:trPr>
        <w:tc>
          <w:tcPr>
            <w:tcW w:w="352" w:type="pct"/>
            <w:tcBorders>
              <w:top w:val="nil"/>
              <w:left w:val="single" w:sz="4" w:space="0" w:color="auto"/>
              <w:bottom w:val="nil"/>
              <w:right w:val="nil"/>
            </w:tcBorders>
            <w:noWrap/>
            <w:vAlign w:val="center"/>
            <w:hideMark/>
          </w:tcPr>
          <w:p w14:paraId="32BFFE8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A95954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Worker Screening Act 2020</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278CC320"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E265F8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12C24D4" w14:textId="77777777" w:rsidR="00007A97" w:rsidRPr="00007A97" w:rsidRDefault="00007A97" w:rsidP="00007A97">
            <w:pPr>
              <w:jc w:val="center"/>
              <w:rPr>
                <w:rFonts w:ascii="Times New Roman" w:hAnsi="Times New Roman"/>
                <w:lang w:eastAsia="ko-KR"/>
              </w:rPr>
            </w:pPr>
          </w:p>
        </w:tc>
      </w:tr>
      <w:tr w:rsidR="00F41C4E" w:rsidRPr="00007A97" w14:paraId="3C3CDA82" w14:textId="77777777" w:rsidTr="00F41C4E">
        <w:trPr>
          <w:trHeight w:val="285"/>
        </w:trPr>
        <w:tc>
          <w:tcPr>
            <w:tcW w:w="352" w:type="pct"/>
            <w:tcBorders>
              <w:top w:val="nil"/>
              <w:left w:val="single" w:sz="4" w:space="0" w:color="auto"/>
              <w:bottom w:val="single" w:sz="4" w:space="0" w:color="auto"/>
              <w:right w:val="nil"/>
            </w:tcBorders>
            <w:noWrap/>
            <w:vAlign w:val="center"/>
            <w:hideMark/>
          </w:tcPr>
          <w:p w14:paraId="6F2EB3A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DAF1BE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Workplace Injury Rehabilitation and Compensation Act 2013</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71CEED8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1,996.0</w:t>
            </w:r>
          </w:p>
        </w:tc>
        <w:tc>
          <w:tcPr>
            <w:tcW w:w="616" w:type="pct"/>
            <w:tcBorders>
              <w:top w:val="nil"/>
              <w:left w:val="nil"/>
              <w:bottom w:val="nil"/>
              <w:right w:val="nil"/>
            </w:tcBorders>
            <w:vAlign w:val="center"/>
            <w:hideMark/>
          </w:tcPr>
          <w:p w14:paraId="2A7BF25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658.7</w:t>
            </w:r>
          </w:p>
        </w:tc>
        <w:tc>
          <w:tcPr>
            <w:tcW w:w="615" w:type="pct"/>
            <w:tcBorders>
              <w:top w:val="nil"/>
              <w:left w:val="nil"/>
              <w:bottom w:val="nil"/>
              <w:right w:val="single" w:sz="4" w:space="0" w:color="auto"/>
            </w:tcBorders>
            <w:vAlign w:val="center"/>
            <w:hideMark/>
          </w:tcPr>
          <w:p w14:paraId="700CF5C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219.6</w:t>
            </w:r>
          </w:p>
        </w:tc>
      </w:tr>
      <w:tr w:rsidR="00F41C4E" w:rsidRPr="00007A97" w14:paraId="38549E63"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05978E9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w:t>
            </w:r>
          </w:p>
        </w:tc>
        <w:tc>
          <w:tcPr>
            <w:tcW w:w="2800" w:type="pct"/>
            <w:tcBorders>
              <w:top w:val="single" w:sz="4" w:space="0" w:color="auto"/>
              <w:left w:val="single" w:sz="4" w:space="0" w:color="auto"/>
              <w:bottom w:val="nil"/>
              <w:right w:val="nil"/>
            </w:tcBorders>
            <w:vAlign w:val="center"/>
            <w:hideMark/>
          </w:tcPr>
          <w:p w14:paraId="2244DBEB"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commencement of a proceeding under the following enabling enactments or provisions of enabling enactments—</w:t>
            </w:r>
          </w:p>
        </w:tc>
        <w:tc>
          <w:tcPr>
            <w:tcW w:w="617" w:type="pct"/>
            <w:tcBorders>
              <w:top w:val="single" w:sz="4" w:space="0" w:color="auto"/>
              <w:left w:val="single" w:sz="4" w:space="0" w:color="auto"/>
              <w:bottom w:val="nil"/>
              <w:right w:val="nil"/>
            </w:tcBorders>
            <w:vAlign w:val="center"/>
            <w:hideMark/>
          </w:tcPr>
          <w:p w14:paraId="46B5834A"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3C7A7B36"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41D58B7A" w14:textId="77777777" w:rsidR="00007A97" w:rsidRPr="00007A97" w:rsidRDefault="00007A97" w:rsidP="00007A97">
            <w:pPr>
              <w:jc w:val="center"/>
              <w:rPr>
                <w:rFonts w:ascii="Times New Roman" w:hAnsi="Times New Roman"/>
                <w:lang w:eastAsia="ko-KR"/>
              </w:rPr>
            </w:pPr>
          </w:p>
        </w:tc>
      </w:tr>
      <w:tr w:rsidR="00F41C4E" w:rsidRPr="00007A97" w14:paraId="0B554F8A" w14:textId="77777777" w:rsidTr="00F41C4E">
        <w:trPr>
          <w:trHeight w:val="285"/>
        </w:trPr>
        <w:tc>
          <w:tcPr>
            <w:tcW w:w="352" w:type="pct"/>
            <w:tcBorders>
              <w:top w:val="nil"/>
              <w:left w:val="single" w:sz="4" w:space="0" w:color="auto"/>
              <w:bottom w:val="nil"/>
              <w:right w:val="nil"/>
            </w:tcBorders>
            <w:noWrap/>
            <w:vAlign w:val="center"/>
            <w:hideMark/>
          </w:tcPr>
          <w:p w14:paraId="214D185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lastRenderedPageBreak/>
              <w:t xml:space="preserve"> </w:t>
            </w:r>
          </w:p>
        </w:tc>
        <w:tc>
          <w:tcPr>
            <w:tcW w:w="2800" w:type="pct"/>
            <w:tcBorders>
              <w:top w:val="nil"/>
              <w:left w:val="single" w:sz="4" w:space="0" w:color="auto"/>
              <w:bottom w:val="nil"/>
              <w:right w:val="nil"/>
            </w:tcBorders>
            <w:vAlign w:val="center"/>
            <w:hideMark/>
          </w:tcPr>
          <w:p w14:paraId="25AC0D1D"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Aboriginal Heritage Act 2006</w:t>
            </w:r>
          </w:p>
        </w:tc>
        <w:tc>
          <w:tcPr>
            <w:tcW w:w="617" w:type="pct"/>
            <w:tcBorders>
              <w:top w:val="nil"/>
              <w:left w:val="single" w:sz="4" w:space="0" w:color="auto"/>
              <w:bottom w:val="nil"/>
              <w:right w:val="nil"/>
            </w:tcBorders>
            <w:vAlign w:val="center"/>
            <w:hideMark/>
          </w:tcPr>
          <w:p w14:paraId="547FD1E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6A43F84"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625986D" w14:textId="77777777" w:rsidR="00007A97" w:rsidRPr="00007A97" w:rsidRDefault="00007A97" w:rsidP="00007A97">
            <w:pPr>
              <w:jc w:val="center"/>
              <w:rPr>
                <w:rFonts w:ascii="Times New Roman" w:hAnsi="Times New Roman"/>
                <w:lang w:eastAsia="ko-KR"/>
              </w:rPr>
            </w:pPr>
          </w:p>
        </w:tc>
      </w:tr>
      <w:tr w:rsidR="00F41C4E" w:rsidRPr="00007A97" w14:paraId="4989B0E9" w14:textId="77777777" w:rsidTr="00F41C4E">
        <w:trPr>
          <w:trHeight w:val="285"/>
        </w:trPr>
        <w:tc>
          <w:tcPr>
            <w:tcW w:w="352" w:type="pct"/>
            <w:tcBorders>
              <w:top w:val="nil"/>
              <w:left w:val="single" w:sz="4" w:space="0" w:color="auto"/>
              <w:bottom w:val="nil"/>
              <w:right w:val="nil"/>
            </w:tcBorders>
            <w:noWrap/>
            <w:vAlign w:val="center"/>
            <w:hideMark/>
          </w:tcPr>
          <w:p w14:paraId="62D90E9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C1280B1"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Catchment and Land Protection Act 1994</w:t>
            </w:r>
            <w:r w:rsidRPr="00007A97">
              <w:rPr>
                <w:rFonts w:ascii="Arial" w:hAnsi="Arial" w:cs="Arial"/>
                <w:color w:val="000000"/>
                <w:sz w:val="18"/>
                <w:szCs w:val="18"/>
                <w:lang w:eastAsia="ko-KR"/>
              </w:rPr>
              <w:t>, section 48</w:t>
            </w:r>
          </w:p>
        </w:tc>
        <w:tc>
          <w:tcPr>
            <w:tcW w:w="617" w:type="pct"/>
            <w:tcBorders>
              <w:top w:val="nil"/>
              <w:left w:val="single" w:sz="4" w:space="0" w:color="auto"/>
              <w:bottom w:val="nil"/>
              <w:right w:val="nil"/>
            </w:tcBorders>
            <w:vAlign w:val="center"/>
            <w:hideMark/>
          </w:tcPr>
          <w:p w14:paraId="2CDFD01B"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13F726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A15988A" w14:textId="77777777" w:rsidR="00007A97" w:rsidRPr="00007A97" w:rsidRDefault="00007A97" w:rsidP="00007A97">
            <w:pPr>
              <w:jc w:val="center"/>
              <w:rPr>
                <w:rFonts w:ascii="Times New Roman" w:hAnsi="Times New Roman"/>
                <w:lang w:eastAsia="ko-KR"/>
              </w:rPr>
            </w:pPr>
          </w:p>
        </w:tc>
      </w:tr>
      <w:tr w:rsidR="00F41C4E" w:rsidRPr="00007A97" w14:paraId="4B533884" w14:textId="77777777" w:rsidTr="00F41C4E">
        <w:trPr>
          <w:trHeight w:val="285"/>
        </w:trPr>
        <w:tc>
          <w:tcPr>
            <w:tcW w:w="352" w:type="pct"/>
            <w:tcBorders>
              <w:top w:val="nil"/>
              <w:left w:val="single" w:sz="4" w:space="0" w:color="auto"/>
              <w:bottom w:val="nil"/>
              <w:right w:val="nil"/>
            </w:tcBorders>
            <w:noWrap/>
            <w:vAlign w:val="center"/>
            <w:hideMark/>
          </w:tcPr>
          <w:p w14:paraId="4254BF2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834F85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Climate Change Act 2017</w:t>
            </w:r>
          </w:p>
        </w:tc>
        <w:tc>
          <w:tcPr>
            <w:tcW w:w="617" w:type="pct"/>
            <w:tcBorders>
              <w:top w:val="nil"/>
              <w:left w:val="single" w:sz="4" w:space="0" w:color="auto"/>
              <w:bottom w:val="nil"/>
              <w:right w:val="nil"/>
            </w:tcBorders>
            <w:vAlign w:val="center"/>
            <w:hideMark/>
          </w:tcPr>
          <w:p w14:paraId="33288AB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55E1ED1"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6D10254" w14:textId="77777777" w:rsidR="00007A97" w:rsidRPr="00007A97" w:rsidRDefault="00007A97" w:rsidP="00007A97">
            <w:pPr>
              <w:jc w:val="center"/>
              <w:rPr>
                <w:rFonts w:ascii="Times New Roman" w:hAnsi="Times New Roman"/>
                <w:lang w:eastAsia="ko-KR"/>
              </w:rPr>
            </w:pPr>
          </w:p>
        </w:tc>
      </w:tr>
      <w:tr w:rsidR="00F41C4E" w:rsidRPr="00007A97" w14:paraId="7CF4F865" w14:textId="77777777" w:rsidTr="00F41C4E">
        <w:trPr>
          <w:trHeight w:val="285"/>
        </w:trPr>
        <w:tc>
          <w:tcPr>
            <w:tcW w:w="352" w:type="pct"/>
            <w:tcBorders>
              <w:top w:val="nil"/>
              <w:left w:val="single" w:sz="4" w:space="0" w:color="auto"/>
              <w:bottom w:val="nil"/>
              <w:right w:val="nil"/>
            </w:tcBorders>
            <w:noWrap/>
            <w:vAlign w:val="center"/>
            <w:hideMark/>
          </w:tcPr>
          <w:p w14:paraId="52ABFE4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B472AA9"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Conservation, Forests and Lands Act 1987</w:t>
            </w:r>
            <w:r w:rsidRPr="00007A97">
              <w:rPr>
                <w:rFonts w:ascii="Arial" w:hAnsi="Arial" w:cs="Arial"/>
                <w:color w:val="000000"/>
                <w:sz w:val="18"/>
                <w:szCs w:val="18"/>
                <w:lang w:eastAsia="ko-KR"/>
              </w:rPr>
              <w:t>, section 76</w:t>
            </w:r>
          </w:p>
        </w:tc>
        <w:tc>
          <w:tcPr>
            <w:tcW w:w="617" w:type="pct"/>
            <w:tcBorders>
              <w:top w:val="nil"/>
              <w:left w:val="single" w:sz="4" w:space="0" w:color="auto"/>
              <w:bottom w:val="nil"/>
              <w:right w:val="nil"/>
            </w:tcBorders>
            <w:vAlign w:val="center"/>
            <w:hideMark/>
          </w:tcPr>
          <w:p w14:paraId="643C5DB3"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AE380B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4CE6492" w14:textId="77777777" w:rsidR="00007A97" w:rsidRPr="00007A97" w:rsidRDefault="00007A97" w:rsidP="00007A97">
            <w:pPr>
              <w:jc w:val="center"/>
              <w:rPr>
                <w:rFonts w:ascii="Times New Roman" w:hAnsi="Times New Roman"/>
                <w:lang w:eastAsia="ko-KR"/>
              </w:rPr>
            </w:pPr>
          </w:p>
        </w:tc>
      </w:tr>
      <w:tr w:rsidR="00F41C4E" w:rsidRPr="00007A97" w14:paraId="53ADCC9E" w14:textId="77777777" w:rsidTr="00F41C4E">
        <w:trPr>
          <w:trHeight w:val="285"/>
        </w:trPr>
        <w:tc>
          <w:tcPr>
            <w:tcW w:w="352" w:type="pct"/>
            <w:tcBorders>
              <w:top w:val="nil"/>
              <w:left w:val="single" w:sz="4" w:space="0" w:color="auto"/>
              <w:bottom w:val="nil"/>
              <w:right w:val="nil"/>
            </w:tcBorders>
            <w:noWrap/>
            <w:vAlign w:val="center"/>
            <w:hideMark/>
          </w:tcPr>
          <w:p w14:paraId="5CEA463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294417D"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Education and Training Reform Act 2006</w:t>
            </w:r>
            <w:r w:rsidRPr="00007A97">
              <w:rPr>
                <w:rFonts w:ascii="Arial" w:hAnsi="Arial" w:cs="Arial"/>
                <w:color w:val="000000"/>
                <w:sz w:val="18"/>
                <w:szCs w:val="18"/>
                <w:lang w:eastAsia="ko-KR"/>
              </w:rPr>
              <w:t>, except Division 14 of Part 2.6 and Part 4.8</w:t>
            </w:r>
          </w:p>
        </w:tc>
        <w:tc>
          <w:tcPr>
            <w:tcW w:w="617" w:type="pct"/>
            <w:tcBorders>
              <w:top w:val="nil"/>
              <w:left w:val="single" w:sz="4" w:space="0" w:color="auto"/>
              <w:bottom w:val="nil"/>
              <w:right w:val="nil"/>
            </w:tcBorders>
            <w:vAlign w:val="center"/>
            <w:hideMark/>
          </w:tcPr>
          <w:p w14:paraId="2CA110E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3A126C7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FD82FC7" w14:textId="77777777" w:rsidR="00007A97" w:rsidRPr="00007A97" w:rsidRDefault="00007A97" w:rsidP="00007A97">
            <w:pPr>
              <w:jc w:val="center"/>
              <w:rPr>
                <w:rFonts w:ascii="Times New Roman" w:hAnsi="Times New Roman"/>
                <w:lang w:eastAsia="ko-KR"/>
              </w:rPr>
            </w:pPr>
          </w:p>
        </w:tc>
      </w:tr>
      <w:tr w:rsidR="00F41C4E" w:rsidRPr="00007A97" w14:paraId="3ABDB146" w14:textId="77777777" w:rsidTr="00F41C4E">
        <w:trPr>
          <w:trHeight w:val="285"/>
        </w:trPr>
        <w:tc>
          <w:tcPr>
            <w:tcW w:w="352" w:type="pct"/>
            <w:tcBorders>
              <w:top w:val="nil"/>
              <w:left w:val="single" w:sz="4" w:space="0" w:color="auto"/>
              <w:bottom w:val="nil"/>
              <w:right w:val="nil"/>
            </w:tcBorders>
            <w:noWrap/>
            <w:vAlign w:val="center"/>
            <w:hideMark/>
          </w:tcPr>
          <w:p w14:paraId="4D8FB5D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D3F0CC3"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Flora and Fauna Guarantee Act 1988</w:t>
            </w:r>
          </w:p>
        </w:tc>
        <w:tc>
          <w:tcPr>
            <w:tcW w:w="617" w:type="pct"/>
            <w:tcBorders>
              <w:top w:val="nil"/>
              <w:left w:val="single" w:sz="4" w:space="0" w:color="auto"/>
              <w:bottom w:val="nil"/>
              <w:right w:val="nil"/>
            </w:tcBorders>
            <w:vAlign w:val="center"/>
            <w:hideMark/>
          </w:tcPr>
          <w:p w14:paraId="16D955A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AB7C614"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736C202" w14:textId="77777777" w:rsidR="00007A97" w:rsidRPr="00007A97" w:rsidRDefault="00007A97" w:rsidP="00007A97">
            <w:pPr>
              <w:jc w:val="center"/>
              <w:rPr>
                <w:rFonts w:ascii="Times New Roman" w:hAnsi="Times New Roman"/>
                <w:lang w:eastAsia="ko-KR"/>
              </w:rPr>
            </w:pPr>
          </w:p>
        </w:tc>
      </w:tr>
      <w:tr w:rsidR="00F41C4E" w:rsidRPr="00007A97" w14:paraId="2935E8DA" w14:textId="77777777" w:rsidTr="00F41C4E">
        <w:trPr>
          <w:trHeight w:val="285"/>
        </w:trPr>
        <w:tc>
          <w:tcPr>
            <w:tcW w:w="352" w:type="pct"/>
            <w:tcBorders>
              <w:top w:val="nil"/>
              <w:left w:val="single" w:sz="4" w:space="0" w:color="auto"/>
              <w:bottom w:val="nil"/>
              <w:right w:val="nil"/>
            </w:tcBorders>
            <w:noWrap/>
            <w:vAlign w:val="center"/>
            <w:hideMark/>
          </w:tcPr>
          <w:p w14:paraId="1A46AF8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4C7E957"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Gambling Regulation Act 2003</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244F83A7"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97A575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5765F62" w14:textId="77777777" w:rsidR="00007A97" w:rsidRPr="00007A97" w:rsidRDefault="00007A97" w:rsidP="00007A97">
            <w:pPr>
              <w:jc w:val="center"/>
              <w:rPr>
                <w:rFonts w:ascii="Times New Roman" w:hAnsi="Times New Roman"/>
                <w:lang w:eastAsia="ko-KR"/>
              </w:rPr>
            </w:pPr>
          </w:p>
        </w:tc>
      </w:tr>
      <w:tr w:rsidR="00F41C4E" w:rsidRPr="00007A97" w14:paraId="2DB0EFCE" w14:textId="77777777" w:rsidTr="00F41C4E">
        <w:trPr>
          <w:trHeight w:val="285"/>
        </w:trPr>
        <w:tc>
          <w:tcPr>
            <w:tcW w:w="352" w:type="pct"/>
            <w:tcBorders>
              <w:top w:val="nil"/>
              <w:left w:val="single" w:sz="4" w:space="0" w:color="auto"/>
              <w:bottom w:val="nil"/>
              <w:right w:val="nil"/>
            </w:tcBorders>
            <w:noWrap/>
            <w:vAlign w:val="center"/>
            <w:hideMark/>
          </w:tcPr>
          <w:p w14:paraId="1432BA2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91C4487"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Heritage Act 2017</w:t>
            </w:r>
          </w:p>
        </w:tc>
        <w:tc>
          <w:tcPr>
            <w:tcW w:w="617" w:type="pct"/>
            <w:tcBorders>
              <w:top w:val="nil"/>
              <w:left w:val="single" w:sz="4" w:space="0" w:color="auto"/>
              <w:bottom w:val="nil"/>
              <w:right w:val="nil"/>
            </w:tcBorders>
            <w:vAlign w:val="center"/>
            <w:hideMark/>
          </w:tcPr>
          <w:p w14:paraId="4C7DF17E"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16A651C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59B30EF" w14:textId="77777777" w:rsidR="00007A97" w:rsidRPr="00007A97" w:rsidRDefault="00007A97" w:rsidP="00007A97">
            <w:pPr>
              <w:jc w:val="center"/>
              <w:rPr>
                <w:rFonts w:ascii="Times New Roman" w:hAnsi="Times New Roman"/>
                <w:lang w:eastAsia="ko-KR"/>
              </w:rPr>
            </w:pPr>
          </w:p>
        </w:tc>
      </w:tr>
      <w:tr w:rsidR="00F41C4E" w:rsidRPr="00007A97" w14:paraId="5B09BAC6" w14:textId="77777777" w:rsidTr="00F41C4E">
        <w:trPr>
          <w:trHeight w:val="285"/>
        </w:trPr>
        <w:tc>
          <w:tcPr>
            <w:tcW w:w="352" w:type="pct"/>
            <w:tcBorders>
              <w:top w:val="nil"/>
              <w:left w:val="single" w:sz="4" w:space="0" w:color="auto"/>
              <w:bottom w:val="nil"/>
              <w:right w:val="nil"/>
            </w:tcBorders>
            <w:noWrap/>
            <w:vAlign w:val="center"/>
            <w:hideMark/>
          </w:tcPr>
          <w:p w14:paraId="77EC876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81364E4"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Land Acquisition and Compensation Act 1986</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2B125D0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A87224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D3B67CC" w14:textId="77777777" w:rsidR="00007A97" w:rsidRPr="00007A97" w:rsidRDefault="00007A97" w:rsidP="00007A97">
            <w:pPr>
              <w:jc w:val="center"/>
              <w:rPr>
                <w:rFonts w:ascii="Times New Roman" w:hAnsi="Times New Roman"/>
                <w:lang w:eastAsia="ko-KR"/>
              </w:rPr>
            </w:pPr>
          </w:p>
        </w:tc>
      </w:tr>
      <w:tr w:rsidR="00F41C4E" w:rsidRPr="00007A97" w14:paraId="18333BE7" w14:textId="77777777" w:rsidTr="00F41C4E">
        <w:trPr>
          <w:trHeight w:val="285"/>
        </w:trPr>
        <w:tc>
          <w:tcPr>
            <w:tcW w:w="352" w:type="pct"/>
            <w:tcBorders>
              <w:top w:val="nil"/>
              <w:left w:val="single" w:sz="4" w:space="0" w:color="auto"/>
              <w:bottom w:val="nil"/>
              <w:right w:val="nil"/>
            </w:tcBorders>
            <w:noWrap/>
            <w:vAlign w:val="center"/>
            <w:hideMark/>
          </w:tcPr>
          <w:p w14:paraId="1F4F2A9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B2131C7"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Legal Profession Uniform Law Application Act 2014</w:t>
            </w:r>
            <w:r w:rsidRPr="00007A97">
              <w:rPr>
                <w:rFonts w:ascii="Arial" w:hAnsi="Arial" w:cs="Arial"/>
                <w:color w:val="000000"/>
                <w:sz w:val="18"/>
                <w:szCs w:val="18"/>
                <w:lang w:eastAsia="ko-KR"/>
              </w:rPr>
              <w:t>, section 91</w:t>
            </w:r>
          </w:p>
        </w:tc>
        <w:tc>
          <w:tcPr>
            <w:tcW w:w="617" w:type="pct"/>
            <w:tcBorders>
              <w:top w:val="nil"/>
              <w:left w:val="single" w:sz="4" w:space="0" w:color="auto"/>
              <w:bottom w:val="nil"/>
              <w:right w:val="nil"/>
            </w:tcBorders>
            <w:vAlign w:val="center"/>
            <w:hideMark/>
          </w:tcPr>
          <w:p w14:paraId="037F7A1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C7C3D57"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54A2326" w14:textId="77777777" w:rsidR="00007A97" w:rsidRPr="00007A97" w:rsidRDefault="00007A97" w:rsidP="00007A97">
            <w:pPr>
              <w:jc w:val="center"/>
              <w:rPr>
                <w:rFonts w:ascii="Times New Roman" w:hAnsi="Times New Roman"/>
                <w:lang w:eastAsia="ko-KR"/>
              </w:rPr>
            </w:pPr>
          </w:p>
        </w:tc>
      </w:tr>
      <w:tr w:rsidR="00F41C4E" w:rsidRPr="00007A97" w14:paraId="6D7D55BA" w14:textId="77777777" w:rsidTr="00F41C4E">
        <w:trPr>
          <w:trHeight w:val="285"/>
        </w:trPr>
        <w:tc>
          <w:tcPr>
            <w:tcW w:w="352" w:type="pct"/>
            <w:tcBorders>
              <w:top w:val="nil"/>
              <w:left w:val="single" w:sz="4" w:space="0" w:color="auto"/>
              <w:bottom w:val="nil"/>
              <w:right w:val="nil"/>
            </w:tcBorders>
            <w:noWrap/>
            <w:vAlign w:val="center"/>
            <w:hideMark/>
          </w:tcPr>
          <w:p w14:paraId="008DD14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BA17743"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Legal Profession Uniform Law (Victoria)</w:t>
            </w:r>
          </w:p>
        </w:tc>
        <w:tc>
          <w:tcPr>
            <w:tcW w:w="617" w:type="pct"/>
            <w:tcBorders>
              <w:top w:val="nil"/>
              <w:left w:val="single" w:sz="4" w:space="0" w:color="auto"/>
              <w:bottom w:val="nil"/>
              <w:right w:val="nil"/>
            </w:tcBorders>
            <w:vAlign w:val="center"/>
            <w:hideMark/>
          </w:tcPr>
          <w:p w14:paraId="5C693E93" w14:textId="77777777" w:rsidR="00007A97" w:rsidRPr="00007A97" w:rsidRDefault="00007A97" w:rsidP="00007A97">
            <w:pPr>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4C926EA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8AC1A65" w14:textId="77777777" w:rsidR="00007A97" w:rsidRPr="00007A97" w:rsidRDefault="00007A97" w:rsidP="00007A97">
            <w:pPr>
              <w:jc w:val="center"/>
              <w:rPr>
                <w:rFonts w:ascii="Times New Roman" w:hAnsi="Times New Roman"/>
                <w:lang w:eastAsia="ko-KR"/>
              </w:rPr>
            </w:pPr>
          </w:p>
        </w:tc>
      </w:tr>
      <w:tr w:rsidR="00F41C4E" w:rsidRPr="00007A97" w14:paraId="67E871DD" w14:textId="77777777" w:rsidTr="00F41C4E">
        <w:trPr>
          <w:trHeight w:val="285"/>
        </w:trPr>
        <w:tc>
          <w:tcPr>
            <w:tcW w:w="352" w:type="pct"/>
            <w:tcBorders>
              <w:top w:val="nil"/>
              <w:left w:val="single" w:sz="4" w:space="0" w:color="auto"/>
              <w:bottom w:val="nil"/>
              <w:right w:val="nil"/>
            </w:tcBorders>
            <w:noWrap/>
            <w:vAlign w:val="center"/>
            <w:hideMark/>
          </w:tcPr>
          <w:p w14:paraId="7C4EB3E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257D3EB"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Local Government Act 1989</w:t>
            </w:r>
            <w:r w:rsidRPr="00007A97">
              <w:rPr>
                <w:rFonts w:ascii="Arial" w:hAnsi="Arial" w:cs="Arial"/>
                <w:color w:val="000000"/>
                <w:sz w:val="18"/>
                <w:szCs w:val="18"/>
                <w:lang w:eastAsia="ko-KR"/>
              </w:rPr>
              <w:t>, sections 183, 185 and 185AA</w:t>
            </w:r>
          </w:p>
        </w:tc>
        <w:tc>
          <w:tcPr>
            <w:tcW w:w="617" w:type="pct"/>
            <w:tcBorders>
              <w:top w:val="nil"/>
              <w:left w:val="single" w:sz="4" w:space="0" w:color="auto"/>
              <w:bottom w:val="nil"/>
              <w:right w:val="nil"/>
            </w:tcBorders>
            <w:vAlign w:val="center"/>
            <w:hideMark/>
          </w:tcPr>
          <w:p w14:paraId="2E69D116"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2C87166E"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57440D8" w14:textId="77777777" w:rsidR="00007A97" w:rsidRPr="00007A97" w:rsidRDefault="00007A97" w:rsidP="00007A97">
            <w:pPr>
              <w:jc w:val="center"/>
              <w:rPr>
                <w:rFonts w:ascii="Times New Roman" w:hAnsi="Times New Roman"/>
                <w:lang w:eastAsia="ko-KR"/>
              </w:rPr>
            </w:pPr>
          </w:p>
        </w:tc>
      </w:tr>
      <w:tr w:rsidR="00F41C4E" w:rsidRPr="00007A97" w14:paraId="4F596AAD" w14:textId="77777777" w:rsidTr="00F41C4E">
        <w:trPr>
          <w:trHeight w:val="285"/>
        </w:trPr>
        <w:tc>
          <w:tcPr>
            <w:tcW w:w="352" w:type="pct"/>
            <w:tcBorders>
              <w:top w:val="nil"/>
              <w:left w:val="single" w:sz="4" w:space="0" w:color="auto"/>
              <w:bottom w:val="nil"/>
              <w:right w:val="nil"/>
            </w:tcBorders>
            <w:noWrap/>
            <w:vAlign w:val="center"/>
            <w:hideMark/>
          </w:tcPr>
          <w:p w14:paraId="5B650B7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E76C34E"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Petroleum Act 1998</w:t>
            </w:r>
          </w:p>
        </w:tc>
        <w:tc>
          <w:tcPr>
            <w:tcW w:w="617" w:type="pct"/>
            <w:tcBorders>
              <w:top w:val="nil"/>
              <w:left w:val="single" w:sz="4" w:space="0" w:color="auto"/>
              <w:bottom w:val="nil"/>
              <w:right w:val="nil"/>
            </w:tcBorders>
            <w:vAlign w:val="center"/>
            <w:hideMark/>
          </w:tcPr>
          <w:p w14:paraId="3D2F5BB5"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CDDF67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A44E030" w14:textId="77777777" w:rsidR="00007A97" w:rsidRPr="00007A97" w:rsidRDefault="00007A97" w:rsidP="00007A97">
            <w:pPr>
              <w:jc w:val="center"/>
              <w:rPr>
                <w:rFonts w:ascii="Times New Roman" w:hAnsi="Times New Roman"/>
                <w:lang w:eastAsia="ko-KR"/>
              </w:rPr>
            </w:pPr>
          </w:p>
        </w:tc>
      </w:tr>
      <w:tr w:rsidR="00F41C4E" w:rsidRPr="00007A97" w14:paraId="09F530F2" w14:textId="77777777" w:rsidTr="00F41C4E">
        <w:trPr>
          <w:trHeight w:val="285"/>
        </w:trPr>
        <w:tc>
          <w:tcPr>
            <w:tcW w:w="352" w:type="pct"/>
            <w:tcBorders>
              <w:top w:val="nil"/>
              <w:left w:val="single" w:sz="4" w:space="0" w:color="auto"/>
              <w:bottom w:val="nil"/>
              <w:right w:val="nil"/>
            </w:tcBorders>
            <w:noWrap/>
            <w:vAlign w:val="center"/>
            <w:hideMark/>
          </w:tcPr>
          <w:p w14:paraId="345E558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202E37F"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Pipelines Act 2005</w:t>
            </w:r>
            <w:r w:rsidRPr="00007A97">
              <w:rPr>
                <w:rFonts w:ascii="Arial" w:hAnsi="Arial" w:cs="Arial"/>
                <w:color w:val="000000"/>
                <w:sz w:val="18"/>
                <w:szCs w:val="18"/>
                <w:lang w:eastAsia="ko-KR"/>
              </w:rPr>
              <w:t>, section 154</w:t>
            </w:r>
          </w:p>
        </w:tc>
        <w:tc>
          <w:tcPr>
            <w:tcW w:w="617" w:type="pct"/>
            <w:tcBorders>
              <w:top w:val="nil"/>
              <w:left w:val="single" w:sz="4" w:space="0" w:color="auto"/>
              <w:bottom w:val="nil"/>
              <w:right w:val="nil"/>
            </w:tcBorders>
            <w:vAlign w:val="center"/>
            <w:hideMark/>
          </w:tcPr>
          <w:p w14:paraId="63DE4A5D"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61D7B9B5"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2BFC527C" w14:textId="77777777" w:rsidR="00007A97" w:rsidRPr="00007A97" w:rsidRDefault="00007A97" w:rsidP="00007A97">
            <w:pPr>
              <w:jc w:val="center"/>
              <w:rPr>
                <w:rFonts w:ascii="Times New Roman" w:hAnsi="Times New Roman"/>
                <w:lang w:eastAsia="ko-KR"/>
              </w:rPr>
            </w:pPr>
          </w:p>
        </w:tc>
      </w:tr>
      <w:tr w:rsidR="00F41C4E" w:rsidRPr="00007A97" w14:paraId="5E55760B" w14:textId="77777777" w:rsidTr="00F41C4E">
        <w:trPr>
          <w:trHeight w:val="285"/>
        </w:trPr>
        <w:tc>
          <w:tcPr>
            <w:tcW w:w="352" w:type="pct"/>
            <w:tcBorders>
              <w:top w:val="nil"/>
              <w:left w:val="single" w:sz="4" w:space="0" w:color="auto"/>
              <w:bottom w:val="nil"/>
              <w:right w:val="nil"/>
            </w:tcBorders>
            <w:noWrap/>
            <w:vAlign w:val="center"/>
            <w:hideMark/>
          </w:tcPr>
          <w:p w14:paraId="1E637BD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992F5B1"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Plant Biosecurity Act 2010</w:t>
            </w:r>
            <w:r w:rsidRPr="00007A97">
              <w:rPr>
                <w:rFonts w:ascii="Arial" w:hAnsi="Arial" w:cs="Arial"/>
                <w:color w:val="000000"/>
                <w:sz w:val="18"/>
                <w:szCs w:val="18"/>
                <w:lang w:eastAsia="ko-KR"/>
              </w:rPr>
              <w:t>, section 59</w:t>
            </w:r>
          </w:p>
        </w:tc>
        <w:tc>
          <w:tcPr>
            <w:tcW w:w="617" w:type="pct"/>
            <w:tcBorders>
              <w:top w:val="nil"/>
              <w:left w:val="single" w:sz="4" w:space="0" w:color="auto"/>
              <w:bottom w:val="nil"/>
              <w:right w:val="nil"/>
            </w:tcBorders>
            <w:vAlign w:val="center"/>
            <w:hideMark/>
          </w:tcPr>
          <w:p w14:paraId="45E87A8A"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2B1E7E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E1A9F12" w14:textId="77777777" w:rsidR="00007A97" w:rsidRPr="00007A97" w:rsidRDefault="00007A97" w:rsidP="00007A97">
            <w:pPr>
              <w:jc w:val="center"/>
              <w:rPr>
                <w:rFonts w:ascii="Times New Roman" w:hAnsi="Times New Roman"/>
                <w:lang w:eastAsia="ko-KR"/>
              </w:rPr>
            </w:pPr>
          </w:p>
        </w:tc>
      </w:tr>
      <w:tr w:rsidR="00F41C4E" w:rsidRPr="00007A97" w14:paraId="248124C6" w14:textId="77777777" w:rsidTr="00F41C4E">
        <w:trPr>
          <w:trHeight w:val="285"/>
        </w:trPr>
        <w:tc>
          <w:tcPr>
            <w:tcW w:w="352" w:type="pct"/>
            <w:tcBorders>
              <w:top w:val="nil"/>
              <w:left w:val="single" w:sz="4" w:space="0" w:color="auto"/>
              <w:bottom w:val="nil"/>
              <w:right w:val="nil"/>
            </w:tcBorders>
            <w:noWrap/>
            <w:vAlign w:val="center"/>
            <w:hideMark/>
          </w:tcPr>
          <w:p w14:paraId="0F9E622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A2964EA"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Major Transport Projects Facilitation Act 2009</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3111358F"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C406C8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E90CFCF" w14:textId="77777777" w:rsidR="00007A97" w:rsidRPr="00007A97" w:rsidRDefault="00007A97" w:rsidP="00007A97">
            <w:pPr>
              <w:jc w:val="center"/>
              <w:rPr>
                <w:rFonts w:ascii="Times New Roman" w:hAnsi="Times New Roman"/>
                <w:lang w:eastAsia="ko-KR"/>
              </w:rPr>
            </w:pPr>
          </w:p>
        </w:tc>
      </w:tr>
      <w:tr w:rsidR="00F41C4E" w:rsidRPr="00007A97" w14:paraId="248E71B6" w14:textId="77777777" w:rsidTr="00F41C4E">
        <w:trPr>
          <w:trHeight w:val="285"/>
        </w:trPr>
        <w:tc>
          <w:tcPr>
            <w:tcW w:w="352" w:type="pct"/>
            <w:tcBorders>
              <w:top w:val="nil"/>
              <w:left w:val="single" w:sz="4" w:space="0" w:color="auto"/>
              <w:bottom w:val="nil"/>
              <w:right w:val="nil"/>
            </w:tcBorders>
            <w:noWrap/>
            <w:vAlign w:val="center"/>
            <w:hideMark/>
          </w:tcPr>
          <w:p w14:paraId="096C7AF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1B68165"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Mineral Resources (Sustainable Development) Act 1990</w:t>
            </w:r>
          </w:p>
        </w:tc>
        <w:tc>
          <w:tcPr>
            <w:tcW w:w="617" w:type="pct"/>
            <w:tcBorders>
              <w:top w:val="nil"/>
              <w:left w:val="single" w:sz="4" w:space="0" w:color="auto"/>
              <w:bottom w:val="nil"/>
              <w:right w:val="nil"/>
            </w:tcBorders>
            <w:vAlign w:val="center"/>
            <w:hideMark/>
          </w:tcPr>
          <w:p w14:paraId="718EB87C"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0B48611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2C256F2" w14:textId="77777777" w:rsidR="00007A97" w:rsidRPr="00007A97" w:rsidRDefault="00007A97" w:rsidP="00007A97">
            <w:pPr>
              <w:jc w:val="center"/>
              <w:rPr>
                <w:rFonts w:ascii="Times New Roman" w:hAnsi="Times New Roman"/>
                <w:lang w:eastAsia="ko-KR"/>
              </w:rPr>
            </w:pPr>
          </w:p>
        </w:tc>
      </w:tr>
      <w:tr w:rsidR="00F41C4E" w:rsidRPr="00007A97" w14:paraId="3E4BBB59" w14:textId="77777777" w:rsidTr="00F41C4E">
        <w:trPr>
          <w:trHeight w:val="285"/>
        </w:trPr>
        <w:tc>
          <w:tcPr>
            <w:tcW w:w="352" w:type="pct"/>
            <w:tcBorders>
              <w:top w:val="nil"/>
              <w:left w:val="single" w:sz="4" w:space="0" w:color="auto"/>
              <w:bottom w:val="nil"/>
              <w:right w:val="nil"/>
            </w:tcBorders>
            <w:noWrap/>
            <w:vAlign w:val="center"/>
            <w:hideMark/>
          </w:tcPr>
          <w:p w14:paraId="07AD06E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3EE4660"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Subdivision Act 1988</w:t>
            </w:r>
            <w:r w:rsidRPr="00007A97">
              <w:rPr>
                <w:rFonts w:ascii="Arial" w:hAnsi="Arial" w:cs="Arial"/>
                <w:color w:val="000000"/>
                <w:sz w:val="18"/>
                <w:szCs w:val="18"/>
                <w:lang w:eastAsia="ko-KR"/>
              </w:rPr>
              <w:t>, except Part 5</w:t>
            </w:r>
          </w:p>
        </w:tc>
        <w:tc>
          <w:tcPr>
            <w:tcW w:w="617" w:type="pct"/>
            <w:tcBorders>
              <w:top w:val="nil"/>
              <w:left w:val="single" w:sz="4" w:space="0" w:color="auto"/>
              <w:bottom w:val="nil"/>
              <w:right w:val="nil"/>
            </w:tcBorders>
            <w:vAlign w:val="center"/>
            <w:hideMark/>
          </w:tcPr>
          <w:p w14:paraId="370E99C8"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462E5D61"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BC13644" w14:textId="77777777" w:rsidR="00007A97" w:rsidRPr="00007A97" w:rsidRDefault="00007A97" w:rsidP="00007A97">
            <w:pPr>
              <w:jc w:val="center"/>
              <w:rPr>
                <w:rFonts w:ascii="Times New Roman" w:hAnsi="Times New Roman"/>
                <w:lang w:eastAsia="ko-KR"/>
              </w:rPr>
            </w:pPr>
          </w:p>
        </w:tc>
      </w:tr>
      <w:tr w:rsidR="00F41C4E" w:rsidRPr="00007A97" w14:paraId="531BFACE" w14:textId="77777777" w:rsidTr="00F41C4E">
        <w:trPr>
          <w:trHeight w:val="285"/>
        </w:trPr>
        <w:tc>
          <w:tcPr>
            <w:tcW w:w="352" w:type="pct"/>
            <w:tcBorders>
              <w:top w:val="nil"/>
              <w:left w:val="single" w:sz="4" w:space="0" w:color="auto"/>
              <w:bottom w:val="nil"/>
              <w:right w:val="nil"/>
            </w:tcBorders>
            <w:noWrap/>
            <w:vAlign w:val="center"/>
            <w:hideMark/>
          </w:tcPr>
          <w:p w14:paraId="7A5F2DD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06F134F"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Traditional Owner Settlement Act 2010</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30449524"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521A5EF1"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8B92DB9" w14:textId="77777777" w:rsidR="00007A97" w:rsidRPr="00007A97" w:rsidRDefault="00007A97" w:rsidP="00007A97">
            <w:pPr>
              <w:jc w:val="center"/>
              <w:rPr>
                <w:rFonts w:ascii="Times New Roman" w:hAnsi="Times New Roman"/>
                <w:lang w:eastAsia="ko-KR"/>
              </w:rPr>
            </w:pPr>
          </w:p>
        </w:tc>
      </w:tr>
      <w:tr w:rsidR="00F41C4E" w:rsidRPr="00007A97" w14:paraId="69291411" w14:textId="77777777" w:rsidTr="00F41C4E">
        <w:trPr>
          <w:trHeight w:val="285"/>
        </w:trPr>
        <w:tc>
          <w:tcPr>
            <w:tcW w:w="352" w:type="pct"/>
            <w:tcBorders>
              <w:top w:val="nil"/>
              <w:left w:val="single" w:sz="4" w:space="0" w:color="auto"/>
              <w:bottom w:val="nil"/>
              <w:right w:val="nil"/>
            </w:tcBorders>
            <w:noWrap/>
            <w:vAlign w:val="center"/>
            <w:hideMark/>
          </w:tcPr>
          <w:p w14:paraId="7371A08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9293AC1"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Valuation of Land Act 1960</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6DBFEFED" w14:textId="77777777" w:rsidR="00007A97" w:rsidRPr="00007A97" w:rsidRDefault="00007A97" w:rsidP="00007A97">
            <w:pPr>
              <w:rPr>
                <w:rFonts w:ascii="Arial" w:hAnsi="Arial" w:cs="Arial"/>
                <w:b/>
                <w:bCs/>
                <w:color w:val="000000"/>
                <w:sz w:val="18"/>
                <w:szCs w:val="18"/>
                <w:lang w:eastAsia="ko-KR"/>
              </w:rPr>
            </w:pPr>
          </w:p>
        </w:tc>
        <w:tc>
          <w:tcPr>
            <w:tcW w:w="616" w:type="pct"/>
            <w:tcBorders>
              <w:top w:val="nil"/>
              <w:left w:val="nil"/>
              <w:bottom w:val="nil"/>
              <w:right w:val="nil"/>
            </w:tcBorders>
            <w:vAlign w:val="center"/>
            <w:hideMark/>
          </w:tcPr>
          <w:p w14:paraId="776453E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EF49C9D" w14:textId="77777777" w:rsidR="00007A97" w:rsidRPr="00007A97" w:rsidRDefault="00007A97" w:rsidP="00007A97">
            <w:pPr>
              <w:jc w:val="center"/>
              <w:rPr>
                <w:rFonts w:ascii="Times New Roman" w:hAnsi="Times New Roman"/>
                <w:lang w:eastAsia="ko-KR"/>
              </w:rPr>
            </w:pPr>
          </w:p>
        </w:tc>
      </w:tr>
      <w:tr w:rsidR="00F41C4E" w:rsidRPr="00007A97" w14:paraId="237358F3" w14:textId="77777777" w:rsidTr="00F41C4E">
        <w:trPr>
          <w:trHeight w:val="285"/>
        </w:trPr>
        <w:tc>
          <w:tcPr>
            <w:tcW w:w="352" w:type="pct"/>
            <w:tcBorders>
              <w:top w:val="nil"/>
              <w:left w:val="single" w:sz="4" w:space="0" w:color="auto"/>
              <w:bottom w:val="single" w:sz="4" w:space="0" w:color="auto"/>
              <w:right w:val="nil"/>
            </w:tcBorders>
            <w:noWrap/>
            <w:vAlign w:val="center"/>
            <w:hideMark/>
          </w:tcPr>
          <w:p w14:paraId="67F3B2A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B18BE42" w14:textId="77777777" w:rsidR="00007A97" w:rsidRPr="00007A97" w:rsidRDefault="00007A97" w:rsidP="00007A97">
            <w:pPr>
              <w:rPr>
                <w:rFonts w:ascii="Arial" w:hAnsi="Arial" w:cs="Arial"/>
                <w:b/>
                <w:bCs/>
                <w:color w:val="000000"/>
                <w:sz w:val="18"/>
                <w:szCs w:val="18"/>
                <w:lang w:eastAsia="ko-KR"/>
              </w:rPr>
            </w:pPr>
            <w:r w:rsidRPr="00007A97">
              <w:rPr>
                <w:rFonts w:ascii="Arial" w:hAnsi="Arial" w:cs="Arial"/>
                <w:b/>
                <w:bCs/>
                <w:color w:val="000000"/>
                <w:sz w:val="18"/>
                <w:szCs w:val="18"/>
                <w:lang w:eastAsia="ko-KR"/>
              </w:rPr>
              <w:t>Water Act 1989</w:t>
            </w:r>
            <w:r w:rsidRPr="00007A97">
              <w:rPr>
                <w:rFonts w:ascii="Arial" w:hAnsi="Arial" w:cs="Arial"/>
                <w:color w:val="000000"/>
                <w:sz w:val="18"/>
                <w:szCs w:val="18"/>
                <w:lang w:eastAsia="ko-KR"/>
              </w:rPr>
              <w:t xml:space="preserve">, except section 19 </w:t>
            </w:r>
          </w:p>
        </w:tc>
        <w:tc>
          <w:tcPr>
            <w:tcW w:w="617" w:type="pct"/>
            <w:tcBorders>
              <w:top w:val="nil"/>
              <w:left w:val="single" w:sz="4" w:space="0" w:color="auto"/>
              <w:bottom w:val="nil"/>
              <w:right w:val="nil"/>
            </w:tcBorders>
            <w:vAlign w:val="center"/>
            <w:hideMark/>
          </w:tcPr>
          <w:p w14:paraId="4F478F7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2,619.7</w:t>
            </w:r>
          </w:p>
        </w:tc>
        <w:tc>
          <w:tcPr>
            <w:tcW w:w="616" w:type="pct"/>
            <w:tcBorders>
              <w:top w:val="nil"/>
              <w:left w:val="nil"/>
              <w:bottom w:val="nil"/>
              <w:right w:val="nil"/>
            </w:tcBorders>
            <w:vAlign w:val="center"/>
            <w:hideMark/>
          </w:tcPr>
          <w:p w14:paraId="0756B50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864.5</w:t>
            </w:r>
          </w:p>
        </w:tc>
        <w:tc>
          <w:tcPr>
            <w:tcW w:w="615" w:type="pct"/>
            <w:tcBorders>
              <w:top w:val="nil"/>
              <w:left w:val="nil"/>
              <w:bottom w:val="nil"/>
              <w:right w:val="single" w:sz="4" w:space="0" w:color="auto"/>
            </w:tcBorders>
            <w:vAlign w:val="center"/>
            <w:hideMark/>
          </w:tcPr>
          <w:p w14:paraId="246A776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288.2</w:t>
            </w:r>
          </w:p>
        </w:tc>
      </w:tr>
      <w:tr w:rsidR="00F41C4E" w:rsidRPr="00007A97" w14:paraId="43906D24" w14:textId="77777777" w:rsidTr="00F41C4E">
        <w:trPr>
          <w:trHeight w:val="450"/>
        </w:trPr>
        <w:tc>
          <w:tcPr>
            <w:tcW w:w="352" w:type="pct"/>
            <w:tcBorders>
              <w:top w:val="single" w:sz="4" w:space="0" w:color="auto"/>
              <w:left w:val="single" w:sz="4" w:space="0" w:color="auto"/>
              <w:bottom w:val="nil"/>
              <w:right w:val="nil"/>
            </w:tcBorders>
            <w:noWrap/>
            <w:vAlign w:val="center"/>
            <w:hideMark/>
          </w:tcPr>
          <w:p w14:paraId="1B28346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w:t>
            </w:r>
          </w:p>
        </w:tc>
        <w:tc>
          <w:tcPr>
            <w:tcW w:w="2800" w:type="pct"/>
            <w:tcBorders>
              <w:top w:val="single" w:sz="4" w:space="0" w:color="auto"/>
              <w:left w:val="single" w:sz="4" w:space="0" w:color="auto"/>
              <w:bottom w:val="nil"/>
              <w:right w:val="nil"/>
            </w:tcBorders>
            <w:vAlign w:val="center"/>
            <w:hideMark/>
          </w:tcPr>
          <w:p w14:paraId="706F09E3"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commencement of a proceeding under section 89(5)(a)</w:t>
            </w:r>
            <w:r w:rsidRPr="00007A97">
              <w:rPr>
                <w:rFonts w:ascii="Arial" w:hAnsi="Arial" w:cs="Arial"/>
                <w:b/>
                <w:bCs/>
                <w:color w:val="000000"/>
                <w:sz w:val="18"/>
                <w:szCs w:val="18"/>
                <w:lang w:eastAsia="ko-KR"/>
              </w:rPr>
              <w:t xml:space="preserve"> </w:t>
            </w:r>
            <w:r w:rsidRPr="00007A97">
              <w:rPr>
                <w:rFonts w:ascii="Arial" w:hAnsi="Arial" w:cs="Arial"/>
                <w:color w:val="000000"/>
                <w:sz w:val="18"/>
                <w:szCs w:val="18"/>
                <w:lang w:eastAsia="ko-KR"/>
              </w:rPr>
              <w:t>of the</w:t>
            </w:r>
            <w:r w:rsidRPr="00007A97">
              <w:rPr>
                <w:rFonts w:ascii="Arial" w:hAnsi="Arial" w:cs="Arial"/>
                <w:b/>
                <w:bCs/>
                <w:color w:val="000000"/>
                <w:sz w:val="18"/>
                <w:szCs w:val="18"/>
                <w:lang w:eastAsia="ko-KR"/>
              </w:rPr>
              <w:t xml:space="preserve"> Equal Opportunity Act 2010</w:t>
            </w:r>
          </w:p>
        </w:tc>
        <w:tc>
          <w:tcPr>
            <w:tcW w:w="617" w:type="pct"/>
            <w:tcBorders>
              <w:top w:val="single" w:sz="4" w:space="0" w:color="auto"/>
              <w:left w:val="single" w:sz="4" w:space="0" w:color="auto"/>
              <w:bottom w:val="nil"/>
              <w:right w:val="nil"/>
            </w:tcBorders>
            <w:vAlign w:val="center"/>
            <w:hideMark/>
          </w:tcPr>
          <w:p w14:paraId="6EDB4BB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1,996.0</w:t>
            </w:r>
          </w:p>
        </w:tc>
        <w:tc>
          <w:tcPr>
            <w:tcW w:w="616" w:type="pct"/>
            <w:tcBorders>
              <w:top w:val="single" w:sz="4" w:space="0" w:color="auto"/>
              <w:left w:val="nil"/>
              <w:bottom w:val="nil"/>
              <w:right w:val="nil"/>
            </w:tcBorders>
            <w:vAlign w:val="center"/>
            <w:hideMark/>
          </w:tcPr>
          <w:p w14:paraId="6DF3937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c>
          <w:tcPr>
            <w:tcW w:w="615" w:type="pct"/>
            <w:tcBorders>
              <w:top w:val="single" w:sz="4" w:space="0" w:color="auto"/>
              <w:left w:val="nil"/>
              <w:bottom w:val="nil"/>
              <w:right w:val="single" w:sz="4" w:space="0" w:color="auto"/>
            </w:tcBorders>
            <w:vAlign w:val="center"/>
            <w:hideMark/>
          </w:tcPr>
          <w:p w14:paraId="346C8E0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3F949EAE" w14:textId="77777777" w:rsidTr="00F41C4E">
        <w:trPr>
          <w:trHeight w:val="285"/>
        </w:trPr>
        <w:tc>
          <w:tcPr>
            <w:tcW w:w="352" w:type="pct"/>
            <w:tcBorders>
              <w:top w:val="single" w:sz="4" w:space="0" w:color="auto"/>
              <w:left w:val="single" w:sz="4" w:space="0" w:color="auto"/>
              <w:bottom w:val="nil"/>
              <w:right w:val="nil"/>
            </w:tcBorders>
            <w:noWrap/>
            <w:vAlign w:val="center"/>
            <w:hideMark/>
          </w:tcPr>
          <w:p w14:paraId="16B7E17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w:t>
            </w:r>
          </w:p>
        </w:tc>
        <w:tc>
          <w:tcPr>
            <w:tcW w:w="2800" w:type="pct"/>
            <w:tcBorders>
              <w:top w:val="single" w:sz="4" w:space="0" w:color="auto"/>
              <w:left w:val="single" w:sz="4" w:space="0" w:color="auto"/>
              <w:bottom w:val="nil"/>
              <w:right w:val="nil"/>
            </w:tcBorders>
            <w:vAlign w:val="center"/>
            <w:hideMark/>
          </w:tcPr>
          <w:p w14:paraId="2750339F"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commencement of a proceeding under—</w:t>
            </w:r>
          </w:p>
        </w:tc>
        <w:tc>
          <w:tcPr>
            <w:tcW w:w="617" w:type="pct"/>
            <w:tcBorders>
              <w:top w:val="single" w:sz="4" w:space="0" w:color="auto"/>
              <w:left w:val="single" w:sz="4" w:space="0" w:color="auto"/>
              <w:bottom w:val="nil"/>
              <w:right w:val="nil"/>
            </w:tcBorders>
            <w:vAlign w:val="center"/>
            <w:hideMark/>
          </w:tcPr>
          <w:p w14:paraId="4AD91B80"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0600D4F2"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68F5FA6A" w14:textId="77777777" w:rsidR="00007A97" w:rsidRPr="00007A97" w:rsidRDefault="00007A97" w:rsidP="00007A97">
            <w:pPr>
              <w:jc w:val="center"/>
              <w:rPr>
                <w:rFonts w:ascii="Times New Roman" w:hAnsi="Times New Roman"/>
                <w:lang w:eastAsia="ko-KR"/>
              </w:rPr>
            </w:pPr>
          </w:p>
        </w:tc>
      </w:tr>
      <w:tr w:rsidR="00F41C4E" w:rsidRPr="00007A97" w14:paraId="44E8C07B" w14:textId="77777777" w:rsidTr="00F41C4E">
        <w:trPr>
          <w:trHeight w:val="510"/>
        </w:trPr>
        <w:tc>
          <w:tcPr>
            <w:tcW w:w="352" w:type="pct"/>
            <w:tcBorders>
              <w:top w:val="nil"/>
              <w:left w:val="single" w:sz="4" w:space="0" w:color="auto"/>
              <w:bottom w:val="nil"/>
              <w:right w:val="nil"/>
            </w:tcBorders>
            <w:noWrap/>
            <w:vAlign w:val="center"/>
            <w:hideMark/>
          </w:tcPr>
          <w:p w14:paraId="439861D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7ED31EB"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(a) the Australian Consumer Law and Fair Trading Act 2012, except a proceeding allocated to the residential tenancies division; or</w:t>
            </w:r>
          </w:p>
        </w:tc>
        <w:tc>
          <w:tcPr>
            <w:tcW w:w="617" w:type="pct"/>
            <w:tcBorders>
              <w:top w:val="nil"/>
              <w:left w:val="single" w:sz="4" w:space="0" w:color="auto"/>
              <w:bottom w:val="nil"/>
              <w:right w:val="nil"/>
            </w:tcBorders>
            <w:vAlign w:val="center"/>
            <w:hideMark/>
          </w:tcPr>
          <w:p w14:paraId="71A0D78A"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4279BAC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3001314" w14:textId="77777777" w:rsidR="00007A97" w:rsidRPr="00007A97" w:rsidRDefault="00007A97" w:rsidP="00007A97">
            <w:pPr>
              <w:jc w:val="center"/>
              <w:rPr>
                <w:rFonts w:ascii="Times New Roman" w:hAnsi="Times New Roman"/>
                <w:lang w:eastAsia="ko-KR"/>
              </w:rPr>
            </w:pPr>
          </w:p>
        </w:tc>
      </w:tr>
      <w:tr w:rsidR="00F41C4E" w:rsidRPr="00007A97" w14:paraId="3C127BA8" w14:textId="77777777" w:rsidTr="00F41C4E">
        <w:trPr>
          <w:trHeight w:val="285"/>
        </w:trPr>
        <w:tc>
          <w:tcPr>
            <w:tcW w:w="352" w:type="pct"/>
            <w:tcBorders>
              <w:top w:val="nil"/>
              <w:left w:val="single" w:sz="4" w:space="0" w:color="auto"/>
              <w:bottom w:val="nil"/>
              <w:right w:val="nil"/>
            </w:tcBorders>
            <w:noWrap/>
            <w:vAlign w:val="center"/>
            <w:hideMark/>
          </w:tcPr>
          <w:p w14:paraId="302CFCD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8EC6287"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(b) section 99 of the</w:t>
            </w:r>
            <w:r w:rsidRPr="00007A97">
              <w:rPr>
                <w:rFonts w:ascii="Arial" w:hAnsi="Arial" w:cs="Arial"/>
                <w:b/>
                <w:bCs/>
                <w:color w:val="000000"/>
                <w:sz w:val="18"/>
                <w:szCs w:val="18"/>
                <w:lang w:eastAsia="ko-KR"/>
              </w:rPr>
              <w:t xml:space="preserve"> Legal Profession Uniform Law Application Act 2014</w:t>
            </w:r>
            <w:r w:rsidRPr="00007A97">
              <w:rPr>
                <w:rFonts w:ascii="Arial" w:hAnsi="Arial" w:cs="Arial"/>
                <w:color w:val="000000"/>
                <w:sz w:val="18"/>
                <w:szCs w:val="18"/>
                <w:lang w:eastAsia="ko-KR"/>
              </w:rPr>
              <w:t>—</w:t>
            </w:r>
          </w:p>
        </w:tc>
        <w:tc>
          <w:tcPr>
            <w:tcW w:w="617" w:type="pct"/>
            <w:tcBorders>
              <w:top w:val="nil"/>
              <w:left w:val="single" w:sz="4" w:space="0" w:color="auto"/>
              <w:bottom w:val="nil"/>
              <w:right w:val="nil"/>
            </w:tcBorders>
            <w:vAlign w:val="center"/>
            <w:hideMark/>
          </w:tcPr>
          <w:p w14:paraId="2F8CA525"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41A83696"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D42F088" w14:textId="77777777" w:rsidR="00007A97" w:rsidRPr="00007A97" w:rsidRDefault="00007A97" w:rsidP="00007A97">
            <w:pPr>
              <w:jc w:val="center"/>
              <w:rPr>
                <w:rFonts w:ascii="Times New Roman" w:hAnsi="Times New Roman"/>
                <w:lang w:eastAsia="ko-KR"/>
              </w:rPr>
            </w:pPr>
          </w:p>
        </w:tc>
      </w:tr>
      <w:tr w:rsidR="00F41C4E" w:rsidRPr="00007A97" w14:paraId="480A9909" w14:textId="77777777" w:rsidTr="00F41C4E">
        <w:trPr>
          <w:trHeight w:val="285"/>
        </w:trPr>
        <w:tc>
          <w:tcPr>
            <w:tcW w:w="352" w:type="pct"/>
            <w:tcBorders>
              <w:top w:val="nil"/>
              <w:left w:val="single" w:sz="4" w:space="0" w:color="auto"/>
              <w:bottom w:val="nil"/>
              <w:right w:val="nil"/>
            </w:tcBorders>
            <w:noWrap/>
            <w:vAlign w:val="center"/>
            <w:hideMark/>
          </w:tcPr>
          <w:p w14:paraId="2C1EA56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EBB9A23"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if the claim is—</w:t>
            </w:r>
          </w:p>
        </w:tc>
        <w:tc>
          <w:tcPr>
            <w:tcW w:w="617" w:type="pct"/>
            <w:tcBorders>
              <w:top w:val="nil"/>
              <w:left w:val="single" w:sz="4" w:space="0" w:color="auto"/>
              <w:bottom w:val="nil"/>
              <w:right w:val="nil"/>
            </w:tcBorders>
            <w:vAlign w:val="center"/>
            <w:hideMark/>
          </w:tcPr>
          <w:p w14:paraId="6E14FC04"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3615145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61BA6D93" w14:textId="77777777" w:rsidR="00007A97" w:rsidRPr="00007A97" w:rsidRDefault="00007A97" w:rsidP="00007A97">
            <w:pPr>
              <w:jc w:val="center"/>
              <w:rPr>
                <w:rFonts w:ascii="Times New Roman" w:hAnsi="Times New Roman"/>
                <w:lang w:eastAsia="ko-KR"/>
              </w:rPr>
            </w:pPr>
          </w:p>
        </w:tc>
      </w:tr>
      <w:tr w:rsidR="00F41C4E" w:rsidRPr="00007A97" w14:paraId="3CB1D7C9" w14:textId="77777777" w:rsidTr="00F41C4E">
        <w:trPr>
          <w:trHeight w:val="285"/>
        </w:trPr>
        <w:tc>
          <w:tcPr>
            <w:tcW w:w="352" w:type="pct"/>
            <w:tcBorders>
              <w:top w:val="nil"/>
              <w:left w:val="single" w:sz="4" w:space="0" w:color="auto"/>
              <w:bottom w:val="nil"/>
              <w:right w:val="nil"/>
            </w:tcBorders>
            <w:noWrap/>
            <w:vAlign w:val="center"/>
            <w:hideMark/>
          </w:tcPr>
          <w:p w14:paraId="599DD90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79C4E9E"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(d) for a sum that is specified, but is not more than $3000</w:t>
            </w:r>
          </w:p>
        </w:tc>
        <w:tc>
          <w:tcPr>
            <w:tcW w:w="617" w:type="pct"/>
            <w:tcBorders>
              <w:top w:val="nil"/>
              <w:left w:val="single" w:sz="4" w:space="0" w:color="auto"/>
              <w:bottom w:val="nil"/>
              <w:right w:val="nil"/>
            </w:tcBorders>
            <w:vAlign w:val="center"/>
            <w:hideMark/>
          </w:tcPr>
          <w:p w14:paraId="6280D22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196.5</w:t>
            </w:r>
          </w:p>
        </w:tc>
        <w:tc>
          <w:tcPr>
            <w:tcW w:w="616" w:type="pct"/>
            <w:tcBorders>
              <w:top w:val="nil"/>
              <w:left w:val="nil"/>
              <w:bottom w:val="nil"/>
              <w:right w:val="nil"/>
            </w:tcBorders>
            <w:vAlign w:val="center"/>
            <w:hideMark/>
          </w:tcPr>
          <w:p w14:paraId="030AD1F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64.8</w:t>
            </w:r>
          </w:p>
        </w:tc>
        <w:tc>
          <w:tcPr>
            <w:tcW w:w="615" w:type="pct"/>
            <w:tcBorders>
              <w:top w:val="nil"/>
              <w:left w:val="nil"/>
              <w:bottom w:val="nil"/>
              <w:right w:val="single" w:sz="4" w:space="0" w:color="auto"/>
            </w:tcBorders>
            <w:vAlign w:val="center"/>
            <w:hideMark/>
          </w:tcPr>
          <w:p w14:paraId="512612F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66559960" w14:textId="77777777" w:rsidTr="00F41C4E">
        <w:trPr>
          <w:trHeight w:val="285"/>
        </w:trPr>
        <w:tc>
          <w:tcPr>
            <w:tcW w:w="352" w:type="pct"/>
            <w:tcBorders>
              <w:top w:val="nil"/>
              <w:left w:val="single" w:sz="4" w:space="0" w:color="auto"/>
              <w:bottom w:val="nil"/>
              <w:right w:val="nil"/>
            </w:tcBorders>
            <w:noWrap/>
            <w:vAlign w:val="center"/>
            <w:hideMark/>
          </w:tcPr>
          <w:p w14:paraId="0DB00CE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5EB5C9F"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(e) for a sum that is more than $3000 but not more than $15 000</w:t>
            </w:r>
          </w:p>
        </w:tc>
        <w:tc>
          <w:tcPr>
            <w:tcW w:w="617" w:type="pct"/>
            <w:tcBorders>
              <w:top w:val="nil"/>
              <w:left w:val="single" w:sz="4" w:space="0" w:color="auto"/>
              <w:bottom w:val="nil"/>
              <w:right w:val="nil"/>
            </w:tcBorders>
            <w:vAlign w:val="center"/>
            <w:hideMark/>
          </w:tcPr>
          <w:p w14:paraId="214D18C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654.9</w:t>
            </w:r>
          </w:p>
        </w:tc>
        <w:tc>
          <w:tcPr>
            <w:tcW w:w="616" w:type="pct"/>
            <w:tcBorders>
              <w:top w:val="nil"/>
              <w:left w:val="nil"/>
              <w:bottom w:val="nil"/>
              <w:right w:val="nil"/>
            </w:tcBorders>
            <w:vAlign w:val="center"/>
            <w:hideMark/>
          </w:tcPr>
          <w:p w14:paraId="25BC5C0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216.1</w:t>
            </w:r>
          </w:p>
        </w:tc>
        <w:tc>
          <w:tcPr>
            <w:tcW w:w="615" w:type="pct"/>
            <w:tcBorders>
              <w:top w:val="nil"/>
              <w:left w:val="nil"/>
              <w:bottom w:val="nil"/>
              <w:right w:val="single" w:sz="4" w:space="0" w:color="auto"/>
            </w:tcBorders>
            <w:vAlign w:val="center"/>
            <w:hideMark/>
          </w:tcPr>
          <w:p w14:paraId="4623CBF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47EFCBD8" w14:textId="77777777" w:rsidTr="00F41C4E">
        <w:trPr>
          <w:trHeight w:val="285"/>
        </w:trPr>
        <w:tc>
          <w:tcPr>
            <w:tcW w:w="352" w:type="pct"/>
            <w:tcBorders>
              <w:top w:val="nil"/>
              <w:left w:val="single" w:sz="4" w:space="0" w:color="auto"/>
              <w:bottom w:val="nil"/>
              <w:right w:val="nil"/>
            </w:tcBorders>
            <w:noWrap/>
            <w:vAlign w:val="center"/>
            <w:hideMark/>
          </w:tcPr>
          <w:p w14:paraId="7CE9EA5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4D0E09B"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(f) not for a sum, or is for a sum that is—</w:t>
            </w:r>
          </w:p>
        </w:tc>
        <w:tc>
          <w:tcPr>
            <w:tcW w:w="617" w:type="pct"/>
            <w:tcBorders>
              <w:top w:val="nil"/>
              <w:left w:val="single" w:sz="4" w:space="0" w:color="auto"/>
              <w:bottom w:val="nil"/>
              <w:right w:val="nil"/>
            </w:tcBorders>
            <w:vAlign w:val="center"/>
            <w:hideMark/>
          </w:tcPr>
          <w:p w14:paraId="4C4566A9"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1D803EC2"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BF45864" w14:textId="77777777" w:rsidR="00007A97" w:rsidRPr="00007A97" w:rsidRDefault="00007A97" w:rsidP="00007A97">
            <w:pPr>
              <w:jc w:val="center"/>
              <w:rPr>
                <w:rFonts w:ascii="Times New Roman" w:hAnsi="Times New Roman"/>
                <w:lang w:eastAsia="ko-KR"/>
              </w:rPr>
            </w:pPr>
          </w:p>
        </w:tc>
      </w:tr>
      <w:tr w:rsidR="00F41C4E" w:rsidRPr="00007A97" w14:paraId="0294D5BC" w14:textId="77777777" w:rsidTr="00F41C4E">
        <w:trPr>
          <w:trHeight w:val="285"/>
        </w:trPr>
        <w:tc>
          <w:tcPr>
            <w:tcW w:w="352" w:type="pct"/>
            <w:tcBorders>
              <w:top w:val="nil"/>
              <w:left w:val="single" w:sz="4" w:space="0" w:color="auto"/>
              <w:bottom w:val="nil"/>
              <w:right w:val="nil"/>
            </w:tcBorders>
            <w:noWrap/>
            <w:vAlign w:val="center"/>
            <w:hideMark/>
          </w:tcPr>
          <w:p w14:paraId="556BFD4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AE15907"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(i) not specified; or</w:t>
            </w:r>
          </w:p>
        </w:tc>
        <w:tc>
          <w:tcPr>
            <w:tcW w:w="617" w:type="pct"/>
            <w:tcBorders>
              <w:top w:val="nil"/>
              <w:left w:val="single" w:sz="4" w:space="0" w:color="auto"/>
              <w:bottom w:val="nil"/>
              <w:right w:val="nil"/>
            </w:tcBorders>
            <w:vAlign w:val="center"/>
            <w:hideMark/>
          </w:tcPr>
          <w:p w14:paraId="22212428" w14:textId="77777777" w:rsidR="00007A97" w:rsidRPr="00007A97" w:rsidRDefault="00007A97" w:rsidP="00007A97">
            <w:pPr>
              <w:ind w:firstLineChars="900" w:firstLine="162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6C74D85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599D4CB6" w14:textId="77777777" w:rsidR="00007A97" w:rsidRPr="00007A97" w:rsidRDefault="00007A97" w:rsidP="00007A97">
            <w:pPr>
              <w:jc w:val="center"/>
              <w:rPr>
                <w:rFonts w:ascii="Times New Roman" w:hAnsi="Times New Roman"/>
                <w:lang w:eastAsia="ko-KR"/>
              </w:rPr>
            </w:pPr>
          </w:p>
        </w:tc>
      </w:tr>
      <w:tr w:rsidR="00F41C4E" w:rsidRPr="00007A97" w14:paraId="7FC5965E" w14:textId="77777777" w:rsidTr="00F41C4E">
        <w:trPr>
          <w:trHeight w:val="285"/>
        </w:trPr>
        <w:tc>
          <w:tcPr>
            <w:tcW w:w="352" w:type="pct"/>
            <w:tcBorders>
              <w:top w:val="nil"/>
              <w:left w:val="single" w:sz="4" w:space="0" w:color="auto"/>
              <w:bottom w:val="nil"/>
              <w:right w:val="nil"/>
            </w:tcBorders>
            <w:noWrap/>
            <w:vAlign w:val="center"/>
            <w:hideMark/>
          </w:tcPr>
          <w:p w14:paraId="22D84B3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EC94BA0"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(ii) more than $15 000 but not more than $100 000</w:t>
            </w:r>
          </w:p>
        </w:tc>
        <w:tc>
          <w:tcPr>
            <w:tcW w:w="617" w:type="pct"/>
            <w:tcBorders>
              <w:top w:val="nil"/>
              <w:left w:val="single" w:sz="4" w:space="0" w:color="auto"/>
              <w:bottom w:val="nil"/>
              <w:right w:val="nil"/>
            </w:tcBorders>
            <w:vAlign w:val="center"/>
            <w:hideMark/>
          </w:tcPr>
          <w:p w14:paraId="6B672C2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1,465.8</w:t>
            </w:r>
          </w:p>
        </w:tc>
        <w:tc>
          <w:tcPr>
            <w:tcW w:w="616" w:type="pct"/>
            <w:tcBorders>
              <w:top w:val="nil"/>
              <w:left w:val="nil"/>
              <w:bottom w:val="nil"/>
              <w:right w:val="nil"/>
            </w:tcBorders>
            <w:vAlign w:val="center"/>
            <w:hideMark/>
          </w:tcPr>
          <w:p w14:paraId="701533F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483.7</w:t>
            </w:r>
          </w:p>
        </w:tc>
        <w:tc>
          <w:tcPr>
            <w:tcW w:w="615" w:type="pct"/>
            <w:tcBorders>
              <w:top w:val="nil"/>
              <w:left w:val="nil"/>
              <w:bottom w:val="nil"/>
              <w:right w:val="single" w:sz="4" w:space="0" w:color="auto"/>
            </w:tcBorders>
            <w:vAlign w:val="center"/>
            <w:hideMark/>
          </w:tcPr>
          <w:p w14:paraId="7876C73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161.2</w:t>
            </w:r>
          </w:p>
        </w:tc>
      </w:tr>
      <w:tr w:rsidR="00F41C4E" w:rsidRPr="00007A97" w14:paraId="4C49D34B" w14:textId="77777777" w:rsidTr="00F41C4E">
        <w:trPr>
          <w:trHeight w:val="285"/>
        </w:trPr>
        <w:tc>
          <w:tcPr>
            <w:tcW w:w="352" w:type="pct"/>
            <w:tcBorders>
              <w:top w:val="nil"/>
              <w:left w:val="single" w:sz="4" w:space="0" w:color="auto"/>
              <w:bottom w:val="nil"/>
              <w:right w:val="nil"/>
            </w:tcBorders>
            <w:noWrap/>
            <w:vAlign w:val="center"/>
            <w:hideMark/>
          </w:tcPr>
          <w:p w14:paraId="5A268B0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3B1A27B"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(g) for a sum that is more than $100 000 but not more than $500 000</w:t>
            </w:r>
          </w:p>
        </w:tc>
        <w:tc>
          <w:tcPr>
            <w:tcW w:w="617" w:type="pct"/>
            <w:tcBorders>
              <w:top w:val="nil"/>
              <w:left w:val="single" w:sz="4" w:space="0" w:color="auto"/>
              <w:bottom w:val="nil"/>
              <w:right w:val="nil"/>
            </w:tcBorders>
            <w:vAlign w:val="center"/>
            <w:hideMark/>
          </w:tcPr>
          <w:p w14:paraId="20B30EF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2,401.4</w:t>
            </w:r>
          </w:p>
        </w:tc>
        <w:tc>
          <w:tcPr>
            <w:tcW w:w="616" w:type="pct"/>
            <w:tcBorders>
              <w:top w:val="nil"/>
              <w:left w:val="nil"/>
              <w:bottom w:val="nil"/>
              <w:right w:val="nil"/>
            </w:tcBorders>
            <w:vAlign w:val="center"/>
            <w:hideMark/>
          </w:tcPr>
          <w:p w14:paraId="1052021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792.5</w:t>
            </w:r>
          </w:p>
        </w:tc>
        <w:tc>
          <w:tcPr>
            <w:tcW w:w="615" w:type="pct"/>
            <w:tcBorders>
              <w:top w:val="nil"/>
              <w:left w:val="nil"/>
              <w:bottom w:val="nil"/>
              <w:right w:val="single" w:sz="4" w:space="0" w:color="auto"/>
            </w:tcBorders>
            <w:vAlign w:val="center"/>
            <w:hideMark/>
          </w:tcPr>
          <w:p w14:paraId="3527A09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264.2</w:t>
            </w:r>
          </w:p>
        </w:tc>
      </w:tr>
      <w:tr w:rsidR="00F41C4E" w:rsidRPr="00007A97" w14:paraId="29404807" w14:textId="77777777" w:rsidTr="00F41C4E">
        <w:trPr>
          <w:trHeight w:val="285"/>
        </w:trPr>
        <w:tc>
          <w:tcPr>
            <w:tcW w:w="352" w:type="pct"/>
            <w:tcBorders>
              <w:top w:val="nil"/>
              <w:left w:val="single" w:sz="4" w:space="0" w:color="auto"/>
              <w:bottom w:val="nil"/>
              <w:right w:val="nil"/>
            </w:tcBorders>
            <w:noWrap/>
            <w:vAlign w:val="center"/>
            <w:hideMark/>
          </w:tcPr>
          <w:p w14:paraId="473BD4C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D5F1C7A"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(h) for a sum that is more than $500 000 but not more than $1 million</w:t>
            </w:r>
          </w:p>
        </w:tc>
        <w:tc>
          <w:tcPr>
            <w:tcW w:w="617" w:type="pct"/>
            <w:tcBorders>
              <w:top w:val="nil"/>
              <w:left w:val="single" w:sz="4" w:space="0" w:color="auto"/>
              <w:bottom w:val="nil"/>
              <w:right w:val="nil"/>
            </w:tcBorders>
            <w:vAlign w:val="center"/>
            <w:hideMark/>
          </w:tcPr>
          <w:p w14:paraId="24D45F0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3,274.6</w:t>
            </w:r>
          </w:p>
        </w:tc>
        <w:tc>
          <w:tcPr>
            <w:tcW w:w="616" w:type="pct"/>
            <w:tcBorders>
              <w:top w:val="nil"/>
              <w:left w:val="nil"/>
              <w:bottom w:val="nil"/>
              <w:right w:val="nil"/>
            </w:tcBorders>
            <w:vAlign w:val="center"/>
            <w:hideMark/>
          </w:tcPr>
          <w:p w14:paraId="024E0F7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1,080.6</w:t>
            </w:r>
          </w:p>
        </w:tc>
        <w:tc>
          <w:tcPr>
            <w:tcW w:w="615" w:type="pct"/>
            <w:tcBorders>
              <w:top w:val="nil"/>
              <w:left w:val="nil"/>
              <w:bottom w:val="nil"/>
              <w:right w:val="single" w:sz="4" w:space="0" w:color="auto"/>
            </w:tcBorders>
            <w:vAlign w:val="center"/>
            <w:hideMark/>
          </w:tcPr>
          <w:p w14:paraId="07B4417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360.2</w:t>
            </w:r>
          </w:p>
        </w:tc>
      </w:tr>
      <w:tr w:rsidR="00F41C4E" w:rsidRPr="00007A97" w14:paraId="624D8C6E" w14:textId="77777777" w:rsidTr="00F41C4E">
        <w:trPr>
          <w:trHeight w:val="285"/>
        </w:trPr>
        <w:tc>
          <w:tcPr>
            <w:tcW w:w="352" w:type="pct"/>
            <w:tcBorders>
              <w:top w:val="nil"/>
              <w:left w:val="single" w:sz="4" w:space="0" w:color="auto"/>
              <w:bottom w:val="nil"/>
              <w:right w:val="nil"/>
            </w:tcBorders>
            <w:noWrap/>
            <w:vAlign w:val="center"/>
            <w:hideMark/>
          </w:tcPr>
          <w:p w14:paraId="2217FE3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D7F573D"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(i) for a sum that is more than $1 million but not more than $5 million</w:t>
            </w:r>
          </w:p>
        </w:tc>
        <w:tc>
          <w:tcPr>
            <w:tcW w:w="617" w:type="pct"/>
            <w:tcBorders>
              <w:top w:val="nil"/>
              <w:left w:val="single" w:sz="4" w:space="0" w:color="auto"/>
              <w:bottom w:val="nil"/>
              <w:right w:val="nil"/>
            </w:tcBorders>
            <w:vAlign w:val="center"/>
            <w:hideMark/>
          </w:tcPr>
          <w:p w14:paraId="6942682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4,147.9</w:t>
            </w:r>
          </w:p>
        </w:tc>
        <w:tc>
          <w:tcPr>
            <w:tcW w:w="616" w:type="pct"/>
            <w:tcBorders>
              <w:top w:val="nil"/>
              <w:left w:val="nil"/>
              <w:bottom w:val="nil"/>
              <w:right w:val="nil"/>
            </w:tcBorders>
            <w:vAlign w:val="center"/>
            <w:hideMark/>
          </w:tcPr>
          <w:p w14:paraId="33A3AAE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1,368.8</w:t>
            </w:r>
          </w:p>
        </w:tc>
        <w:tc>
          <w:tcPr>
            <w:tcW w:w="615" w:type="pct"/>
            <w:tcBorders>
              <w:top w:val="nil"/>
              <w:left w:val="nil"/>
              <w:bottom w:val="nil"/>
              <w:right w:val="single" w:sz="4" w:space="0" w:color="auto"/>
            </w:tcBorders>
            <w:vAlign w:val="center"/>
            <w:hideMark/>
          </w:tcPr>
          <w:p w14:paraId="28E1322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456.3</w:t>
            </w:r>
          </w:p>
        </w:tc>
      </w:tr>
      <w:tr w:rsidR="00F41C4E" w:rsidRPr="00007A97" w14:paraId="55240068" w14:textId="77777777" w:rsidTr="00F41C4E">
        <w:trPr>
          <w:trHeight w:val="285"/>
        </w:trPr>
        <w:tc>
          <w:tcPr>
            <w:tcW w:w="352" w:type="pct"/>
            <w:tcBorders>
              <w:top w:val="nil"/>
              <w:left w:val="single" w:sz="4" w:space="0" w:color="auto"/>
              <w:bottom w:val="nil"/>
              <w:right w:val="nil"/>
            </w:tcBorders>
            <w:noWrap/>
            <w:vAlign w:val="center"/>
            <w:hideMark/>
          </w:tcPr>
          <w:p w14:paraId="541153B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7C67C90"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(j) for a sum that is more than $5 million</w:t>
            </w:r>
          </w:p>
        </w:tc>
        <w:tc>
          <w:tcPr>
            <w:tcW w:w="617" w:type="pct"/>
            <w:tcBorders>
              <w:top w:val="nil"/>
              <w:left w:val="single" w:sz="4" w:space="0" w:color="auto"/>
              <w:bottom w:val="single" w:sz="4" w:space="0" w:color="auto"/>
              <w:right w:val="nil"/>
            </w:tcBorders>
            <w:vAlign w:val="center"/>
            <w:hideMark/>
          </w:tcPr>
          <w:p w14:paraId="54A5604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5,021.1</w:t>
            </w:r>
          </w:p>
        </w:tc>
        <w:tc>
          <w:tcPr>
            <w:tcW w:w="616" w:type="pct"/>
            <w:tcBorders>
              <w:top w:val="nil"/>
              <w:left w:val="nil"/>
              <w:bottom w:val="single" w:sz="4" w:space="0" w:color="auto"/>
              <w:right w:val="nil"/>
            </w:tcBorders>
            <w:vAlign w:val="center"/>
            <w:hideMark/>
          </w:tcPr>
          <w:p w14:paraId="676C487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1,657.0</w:t>
            </w:r>
          </w:p>
        </w:tc>
        <w:tc>
          <w:tcPr>
            <w:tcW w:w="615" w:type="pct"/>
            <w:tcBorders>
              <w:top w:val="nil"/>
              <w:left w:val="nil"/>
              <w:bottom w:val="single" w:sz="4" w:space="0" w:color="auto"/>
              <w:right w:val="single" w:sz="4" w:space="0" w:color="auto"/>
            </w:tcBorders>
            <w:vAlign w:val="center"/>
            <w:hideMark/>
          </w:tcPr>
          <w:p w14:paraId="40248C3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552.3</w:t>
            </w:r>
          </w:p>
        </w:tc>
      </w:tr>
      <w:tr w:rsidR="00F41C4E" w:rsidRPr="00007A97" w14:paraId="7C2891B3"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61307B3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9</w:t>
            </w:r>
          </w:p>
        </w:tc>
        <w:tc>
          <w:tcPr>
            <w:tcW w:w="2800" w:type="pct"/>
            <w:tcBorders>
              <w:top w:val="single" w:sz="4" w:space="0" w:color="auto"/>
              <w:left w:val="single" w:sz="4" w:space="0" w:color="auto"/>
              <w:bottom w:val="nil"/>
              <w:right w:val="single" w:sz="4" w:space="0" w:color="auto"/>
            </w:tcBorders>
            <w:vAlign w:val="center"/>
            <w:hideMark/>
          </w:tcPr>
          <w:p w14:paraId="1BF48464"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the commencement of a proceeding under the </w:t>
            </w:r>
            <w:r w:rsidRPr="00007A97">
              <w:rPr>
                <w:rFonts w:ascii="Arial" w:hAnsi="Arial" w:cs="Arial"/>
                <w:b/>
                <w:bCs/>
                <w:color w:val="000000"/>
                <w:sz w:val="18"/>
                <w:szCs w:val="18"/>
                <w:lang w:eastAsia="ko-KR"/>
              </w:rPr>
              <w:t>Domestic Building Contracts Act 1995</w:t>
            </w:r>
            <w:r w:rsidRPr="00007A97">
              <w:rPr>
                <w:rFonts w:ascii="Arial" w:hAnsi="Arial" w:cs="Arial"/>
                <w:color w:val="000000"/>
                <w:sz w:val="18"/>
                <w:szCs w:val="18"/>
                <w:lang w:eastAsia="ko-KR"/>
              </w:rPr>
              <w:t>, except a proceeding under sections 45F, 63, 65, 66, 67 and 67A, if the claim is—</w:t>
            </w:r>
          </w:p>
        </w:tc>
        <w:tc>
          <w:tcPr>
            <w:tcW w:w="617" w:type="pct"/>
            <w:tcBorders>
              <w:top w:val="single" w:sz="4" w:space="0" w:color="auto"/>
              <w:left w:val="nil"/>
              <w:bottom w:val="nil"/>
              <w:right w:val="nil"/>
            </w:tcBorders>
            <w:vAlign w:val="center"/>
            <w:hideMark/>
          </w:tcPr>
          <w:p w14:paraId="0E87B0C5"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06953123"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248ACEB4" w14:textId="77777777" w:rsidR="00007A97" w:rsidRPr="00007A97" w:rsidRDefault="00007A97" w:rsidP="00007A97">
            <w:pPr>
              <w:jc w:val="center"/>
              <w:rPr>
                <w:rFonts w:ascii="Times New Roman" w:hAnsi="Times New Roman"/>
                <w:lang w:eastAsia="ko-KR"/>
              </w:rPr>
            </w:pPr>
          </w:p>
        </w:tc>
      </w:tr>
      <w:tr w:rsidR="00F41C4E" w:rsidRPr="00007A97" w14:paraId="2A0BA24A" w14:textId="77777777" w:rsidTr="00F41C4E">
        <w:trPr>
          <w:trHeight w:val="285"/>
        </w:trPr>
        <w:tc>
          <w:tcPr>
            <w:tcW w:w="352" w:type="pct"/>
            <w:tcBorders>
              <w:top w:val="nil"/>
              <w:left w:val="single" w:sz="4" w:space="0" w:color="auto"/>
              <w:bottom w:val="nil"/>
              <w:right w:val="nil"/>
            </w:tcBorders>
            <w:noWrap/>
            <w:vAlign w:val="center"/>
            <w:hideMark/>
          </w:tcPr>
          <w:p w14:paraId="3B6A76B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lastRenderedPageBreak/>
              <w:t xml:space="preserve"> </w:t>
            </w:r>
          </w:p>
        </w:tc>
        <w:tc>
          <w:tcPr>
            <w:tcW w:w="2800" w:type="pct"/>
            <w:tcBorders>
              <w:top w:val="nil"/>
              <w:left w:val="single" w:sz="4" w:space="0" w:color="auto"/>
              <w:bottom w:val="nil"/>
              <w:right w:val="single" w:sz="4" w:space="0" w:color="auto"/>
            </w:tcBorders>
            <w:vAlign w:val="center"/>
            <w:hideMark/>
          </w:tcPr>
          <w:p w14:paraId="7E591987"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(a) for a sum that is specified, but is not more than $3000</w:t>
            </w:r>
          </w:p>
        </w:tc>
        <w:tc>
          <w:tcPr>
            <w:tcW w:w="617" w:type="pct"/>
            <w:tcBorders>
              <w:top w:val="nil"/>
              <w:left w:val="nil"/>
              <w:bottom w:val="nil"/>
              <w:right w:val="nil"/>
            </w:tcBorders>
            <w:vAlign w:val="center"/>
            <w:hideMark/>
          </w:tcPr>
          <w:p w14:paraId="3B35421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196.5</w:t>
            </w:r>
          </w:p>
        </w:tc>
        <w:tc>
          <w:tcPr>
            <w:tcW w:w="616" w:type="pct"/>
            <w:tcBorders>
              <w:top w:val="nil"/>
              <w:left w:val="nil"/>
              <w:bottom w:val="nil"/>
              <w:right w:val="nil"/>
            </w:tcBorders>
            <w:vAlign w:val="center"/>
            <w:hideMark/>
          </w:tcPr>
          <w:p w14:paraId="05350B2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64.8</w:t>
            </w:r>
          </w:p>
        </w:tc>
        <w:tc>
          <w:tcPr>
            <w:tcW w:w="615" w:type="pct"/>
            <w:tcBorders>
              <w:top w:val="nil"/>
              <w:left w:val="nil"/>
              <w:bottom w:val="nil"/>
              <w:right w:val="single" w:sz="4" w:space="0" w:color="auto"/>
            </w:tcBorders>
            <w:vAlign w:val="center"/>
            <w:hideMark/>
          </w:tcPr>
          <w:p w14:paraId="5EF9A3B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21.6</w:t>
            </w:r>
          </w:p>
        </w:tc>
      </w:tr>
      <w:tr w:rsidR="00F41C4E" w:rsidRPr="00007A97" w14:paraId="7BC1951C" w14:textId="77777777" w:rsidTr="00F41C4E">
        <w:trPr>
          <w:trHeight w:val="285"/>
        </w:trPr>
        <w:tc>
          <w:tcPr>
            <w:tcW w:w="352" w:type="pct"/>
            <w:tcBorders>
              <w:top w:val="nil"/>
              <w:left w:val="single" w:sz="4" w:space="0" w:color="auto"/>
              <w:bottom w:val="nil"/>
              <w:right w:val="nil"/>
            </w:tcBorders>
            <w:noWrap/>
            <w:vAlign w:val="center"/>
            <w:hideMark/>
          </w:tcPr>
          <w:p w14:paraId="1B5DCAC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single" w:sz="4" w:space="0" w:color="auto"/>
            </w:tcBorders>
            <w:vAlign w:val="center"/>
            <w:hideMark/>
          </w:tcPr>
          <w:p w14:paraId="7839CCBF"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(b) for a sum that is more than $3000 but not more than $15 000</w:t>
            </w:r>
          </w:p>
        </w:tc>
        <w:tc>
          <w:tcPr>
            <w:tcW w:w="617" w:type="pct"/>
            <w:tcBorders>
              <w:top w:val="nil"/>
              <w:left w:val="nil"/>
              <w:bottom w:val="nil"/>
              <w:right w:val="nil"/>
            </w:tcBorders>
            <w:vAlign w:val="center"/>
            <w:hideMark/>
          </w:tcPr>
          <w:p w14:paraId="5C70B70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654.9</w:t>
            </w:r>
          </w:p>
        </w:tc>
        <w:tc>
          <w:tcPr>
            <w:tcW w:w="616" w:type="pct"/>
            <w:tcBorders>
              <w:top w:val="nil"/>
              <w:left w:val="nil"/>
              <w:bottom w:val="nil"/>
              <w:right w:val="nil"/>
            </w:tcBorders>
            <w:vAlign w:val="center"/>
            <w:hideMark/>
          </w:tcPr>
          <w:p w14:paraId="6B2A099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216.1</w:t>
            </w:r>
          </w:p>
        </w:tc>
        <w:tc>
          <w:tcPr>
            <w:tcW w:w="615" w:type="pct"/>
            <w:tcBorders>
              <w:top w:val="nil"/>
              <w:left w:val="nil"/>
              <w:bottom w:val="nil"/>
              <w:right w:val="single" w:sz="4" w:space="0" w:color="auto"/>
            </w:tcBorders>
            <w:vAlign w:val="center"/>
            <w:hideMark/>
          </w:tcPr>
          <w:p w14:paraId="46BDD5D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72.0</w:t>
            </w:r>
          </w:p>
        </w:tc>
      </w:tr>
      <w:tr w:rsidR="00F41C4E" w:rsidRPr="00007A97" w14:paraId="490DD70C" w14:textId="77777777" w:rsidTr="00F41C4E">
        <w:trPr>
          <w:trHeight w:val="285"/>
        </w:trPr>
        <w:tc>
          <w:tcPr>
            <w:tcW w:w="352" w:type="pct"/>
            <w:tcBorders>
              <w:top w:val="nil"/>
              <w:left w:val="single" w:sz="4" w:space="0" w:color="auto"/>
              <w:bottom w:val="nil"/>
              <w:right w:val="nil"/>
            </w:tcBorders>
            <w:noWrap/>
            <w:vAlign w:val="center"/>
            <w:hideMark/>
          </w:tcPr>
          <w:p w14:paraId="4C82449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single" w:sz="4" w:space="0" w:color="auto"/>
            </w:tcBorders>
            <w:vAlign w:val="center"/>
            <w:hideMark/>
          </w:tcPr>
          <w:p w14:paraId="3C8F152D" w14:textId="77777777" w:rsidR="00007A97" w:rsidRPr="00007A97" w:rsidRDefault="00007A97" w:rsidP="00D41DC2">
            <w:pPr>
              <w:rPr>
                <w:rFonts w:ascii="Arial" w:hAnsi="Arial" w:cs="Arial"/>
                <w:color w:val="000000"/>
                <w:sz w:val="18"/>
                <w:szCs w:val="18"/>
                <w:lang w:eastAsia="ko-KR"/>
              </w:rPr>
            </w:pPr>
            <w:bookmarkStart w:id="138" w:name="Option_3!C179"/>
            <w:r w:rsidRPr="00007A97">
              <w:rPr>
                <w:rFonts w:ascii="Arial" w:hAnsi="Arial" w:cs="Arial"/>
                <w:color w:val="000000"/>
                <w:sz w:val="18"/>
                <w:szCs w:val="18"/>
                <w:lang w:eastAsia="ko-KR"/>
              </w:rPr>
              <w:t>(c) not for a sum, or is for a sum that is—</w:t>
            </w:r>
            <w:bookmarkEnd w:id="138"/>
          </w:p>
        </w:tc>
        <w:tc>
          <w:tcPr>
            <w:tcW w:w="617" w:type="pct"/>
            <w:tcBorders>
              <w:top w:val="nil"/>
              <w:left w:val="nil"/>
              <w:bottom w:val="nil"/>
              <w:right w:val="nil"/>
            </w:tcBorders>
            <w:vAlign w:val="center"/>
            <w:hideMark/>
          </w:tcPr>
          <w:p w14:paraId="582C2687"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30CEF85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F18E4CA" w14:textId="77777777" w:rsidR="00007A97" w:rsidRPr="00007A97" w:rsidRDefault="00007A97" w:rsidP="00007A97">
            <w:pPr>
              <w:jc w:val="center"/>
              <w:rPr>
                <w:rFonts w:ascii="Times New Roman" w:hAnsi="Times New Roman"/>
                <w:lang w:eastAsia="ko-KR"/>
              </w:rPr>
            </w:pPr>
          </w:p>
        </w:tc>
      </w:tr>
      <w:tr w:rsidR="00F41C4E" w:rsidRPr="00007A97" w14:paraId="25F3BE9C" w14:textId="77777777" w:rsidTr="00F41C4E">
        <w:trPr>
          <w:trHeight w:val="285"/>
        </w:trPr>
        <w:tc>
          <w:tcPr>
            <w:tcW w:w="352" w:type="pct"/>
            <w:tcBorders>
              <w:top w:val="nil"/>
              <w:left w:val="single" w:sz="4" w:space="0" w:color="auto"/>
              <w:bottom w:val="nil"/>
              <w:right w:val="nil"/>
            </w:tcBorders>
            <w:noWrap/>
            <w:vAlign w:val="center"/>
            <w:hideMark/>
          </w:tcPr>
          <w:p w14:paraId="32FFD40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single" w:sz="4" w:space="0" w:color="auto"/>
            </w:tcBorders>
            <w:vAlign w:val="center"/>
            <w:hideMark/>
          </w:tcPr>
          <w:p w14:paraId="1B7512BE"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(i) not specified; or</w:t>
            </w:r>
          </w:p>
        </w:tc>
        <w:tc>
          <w:tcPr>
            <w:tcW w:w="617" w:type="pct"/>
            <w:tcBorders>
              <w:top w:val="nil"/>
              <w:left w:val="nil"/>
              <w:bottom w:val="nil"/>
              <w:right w:val="nil"/>
            </w:tcBorders>
            <w:vAlign w:val="center"/>
            <w:hideMark/>
          </w:tcPr>
          <w:p w14:paraId="755CB778" w14:textId="77777777" w:rsidR="00007A97" w:rsidRPr="00007A97" w:rsidRDefault="00007A97" w:rsidP="00007A97">
            <w:pPr>
              <w:ind w:firstLineChars="900" w:firstLine="162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00F77C7F"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316FB807" w14:textId="77777777" w:rsidR="00007A97" w:rsidRPr="00007A97" w:rsidRDefault="00007A97" w:rsidP="00007A97">
            <w:pPr>
              <w:jc w:val="center"/>
              <w:rPr>
                <w:rFonts w:ascii="Times New Roman" w:hAnsi="Times New Roman"/>
                <w:lang w:eastAsia="ko-KR"/>
              </w:rPr>
            </w:pPr>
          </w:p>
        </w:tc>
      </w:tr>
      <w:tr w:rsidR="00F41C4E" w:rsidRPr="00007A97" w14:paraId="7DECD35C" w14:textId="77777777" w:rsidTr="00F41C4E">
        <w:trPr>
          <w:trHeight w:val="285"/>
        </w:trPr>
        <w:tc>
          <w:tcPr>
            <w:tcW w:w="352" w:type="pct"/>
            <w:tcBorders>
              <w:top w:val="nil"/>
              <w:left w:val="single" w:sz="4" w:space="0" w:color="auto"/>
              <w:bottom w:val="nil"/>
              <w:right w:val="nil"/>
            </w:tcBorders>
            <w:noWrap/>
            <w:vAlign w:val="center"/>
            <w:hideMark/>
          </w:tcPr>
          <w:p w14:paraId="12E4326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single" w:sz="4" w:space="0" w:color="auto"/>
            </w:tcBorders>
            <w:vAlign w:val="center"/>
            <w:hideMark/>
          </w:tcPr>
          <w:p w14:paraId="576DDBA3"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(ii) more than $15 000 but not more than $100 000</w:t>
            </w:r>
          </w:p>
        </w:tc>
        <w:tc>
          <w:tcPr>
            <w:tcW w:w="617" w:type="pct"/>
            <w:tcBorders>
              <w:top w:val="nil"/>
              <w:left w:val="nil"/>
              <w:bottom w:val="nil"/>
              <w:right w:val="nil"/>
            </w:tcBorders>
            <w:vAlign w:val="center"/>
            <w:hideMark/>
          </w:tcPr>
          <w:p w14:paraId="2C8FF25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1,465.8</w:t>
            </w:r>
          </w:p>
        </w:tc>
        <w:tc>
          <w:tcPr>
            <w:tcW w:w="616" w:type="pct"/>
            <w:tcBorders>
              <w:top w:val="nil"/>
              <w:left w:val="nil"/>
              <w:bottom w:val="nil"/>
              <w:right w:val="nil"/>
            </w:tcBorders>
            <w:vAlign w:val="center"/>
            <w:hideMark/>
          </w:tcPr>
          <w:p w14:paraId="2950C7F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483.7</w:t>
            </w:r>
          </w:p>
        </w:tc>
        <w:tc>
          <w:tcPr>
            <w:tcW w:w="615" w:type="pct"/>
            <w:tcBorders>
              <w:top w:val="nil"/>
              <w:left w:val="nil"/>
              <w:bottom w:val="nil"/>
              <w:right w:val="single" w:sz="4" w:space="0" w:color="auto"/>
            </w:tcBorders>
            <w:vAlign w:val="center"/>
            <w:hideMark/>
          </w:tcPr>
          <w:p w14:paraId="1B14898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161.2</w:t>
            </w:r>
          </w:p>
        </w:tc>
      </w:tr>
      <w:tr w:rsidR="00F41C4E" w:rsidRPr="00007A97" w14:paraId="05336767" w14:textId="77777777" w:rsidTr="00F41C4E">
        <w:trPr>
          <w:trHeight w:val="285"/>
        </w:trPr>
        <w:tc>
          <w:tcPr>
            <w:tcW w:w="352" w:type="pct"/>
            <w:tcBorders>
              <w:top w:val="nil"/>
              <w:left w:val="single" w:sz="4" w:space="0" w:color="auto"/>
              <w:bottom w:val="nil"/>
              <w:right w:val="nil"/>
            </w:tcBorders>
            <w:noWrap/>
            <w:vAlign w:val="center"/>
            <w:hideMark/>
          </w:tcPr>
          <w:p w14:paraId="0175700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single" w:sz="4" w:space="0" w:color="auto"/>
            </w:tcBorders>
            <w:vAlign w:val="center"/>
            <w:hideMark/>
          </w:tcPr>
          <w:p w14:paraId="11577CE9"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(d) for a sum that is more than $100 000 but not more than $500 000</w:t>
            </w:r>
          </w:p>
        </w:tc>
        <w:tc>
          <w:tcPr>
            <w:tcW w:w="617" w:type="pct"/>
            <w:tcBorders>
              <w:top w:val="nil"/>
              <w:left w:val="nil"/>
              <w:bottom w:val="nil"/>
              <w:right w:val="nil"/>
            </w:tcBorders>
            <w:vAlign w:val="center"/>
            <w:hideMark/>
          </w:tcPr>
          <w:p w14:paraId="645FAB3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2,401.4</w:t>
            </w:r>
          </w:p>
        </w:tc>
        <w:tc>
          <w:tcPr>
            <w:tcW w:w="616" w:type="pct"/>
            <w:tcBorders>
              <w:top w:val="nil"/>
              <w:left w:val="nil"/>
              <w:bottom w:val="nil"/>
              <w:right w:val="nil"/>
            </w:tcBorders>
            <w:vAlign w:val="center"/>
            <w:hideMark/>
          </w:tcPr>
          <w:p w14:paraId="4539627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792.5</w:t>
            </w:r>
          </w:p>
        </w:tc>
        <w:tc>
          <w:tcPr>
            <w:tcW w:w="615" w:type="pct"/>
            <w:tcBorders>
              <w:top w:val="nil"/>
              <w:left w:val="nil"/>
              <w:bottom w:val="nil"/>
              <w:right w:val="single" w:sz="4" w:space="0" w:color="auto"/>
            </w:tcBorders>
            <w:vAlign w:val="center"/>
            <w:hideMark/>
          </w:tcPr>
          <w:p w14:paraId="458472C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264.2</w:t>
            </w:r>
          </w:p>
        </w:tc>
      </w:tr>
      <w:tr w:rsidR="00F41C4E" w:rsidRPr="00007A97" w14:paraId="668B4951" w14:textId="77777777" w:rsidTr="00F41C4E">
        <w:trPr>
          <w:trHeight w:val="285"/>
        </w:trPr>
        <w:tc>
          <w:tcPr>
            <w:tcW w:w="352" w:type="pct"/>
            <w:tcBorders>
              <w:top w:val="nil"/>
              <w:left w:val="single" w:sz="4" w:space="0" w:color="auto"/>
              <w:bottom w:val="nil"/>
              <w:right w:val="nil"/>
            </w:tcBorders>
            <w:noWrap/>
            <w:vAlign w:val="center"/>
            <w:hideMark/>
          </w:tcPr>
          <w:p w14:paraId="2012959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single" w:sz="4" w:space="0" w:color="auto"/>
            </w:tcBorders>
            <w:vAlign w:val="center"/>
            <w:hideMark/>
          </w:tcPr>
          <w:p w14:paraId="04026E8C"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(e) for a sum that is more than $500 000 but not more than $1 million</w:t>
            </w:r>
          </w:p>
        </w:tc>
        <w:tc>
          <w:tcPr>
            <w:tcW w:w="617" w:type="pct"/>
            <w:tcBorders>
              <w:top w:val="nil"/>
              <w:left w:val="nil"/>
              <w:bottom w:val="nil"/>
              <w:right w:val="nil"/>
            </w:tcBorders>
            <w:vAlign w:val="center"/>
            <w:hideMark/>
          </w:tcPr>
          <w:p w14:paraId="6C57A16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3,274.6</w:t>
            </w:r>
          </w:p>
        </w:tc>
        <w:tc>
          <w:tcPr>
            <w:tcW w:w="616" w:type="pct"/>
            <w:tcBorders>
              <w:top w:val="nil"/>
              <w:left w:val="nil"/>
              <w:bottom w:val="nil"/>
              <w:right w:val="nil"/>
            </w:tcBorders>
            <w:vAlign w:val="center"/>
            <w:hideMark/>
          </w:tcPr>
          <w:p w14:paraId="78D82DF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1,080.6</w:t>
            </w:r>
          </w:p>
        </w:tc>
        <w:tc>
          <w:tcPr>
            <w:tcW w:w="615" w:type="pct"/>
            <w:tcBorders>
              <w:top w:val="nil"/>
              <w:left w:val="nil"/>
              <w:bottom w:val="nil"/>
              <w:right w:val="single" w:sz="4" w:space="0" w:color="auto"/>
            </w:tcBorders>
            <w:vAlign w:val="center"/>
            <w:hideMark/>
          </w:tcPr>
          <w:p w14:paraId="1867F0B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360.2</w:t>
            </w:r>
          </w:p>
        </w:tc>
      </w:tr>
      <w:tr w:rsidR="00F41C4E" w:rsidRPr="00007A97" w14:paraId="6456E934" w14:textId="77777777" w:rsidTr="00F41C4E">
        <w:trPr>
          <w:trHeight w:val="285"/>
        </w:trPr>
        <w:tc>
          <w:tcPr>
            <w:tcW w:w="352" w:type="pct"/>
            <w:tcBorders>
              <w:top w:val="nil"/>
              <w:left w:val="single" w:sz="4" w:space="0" w:color="auto"/>
              <w:bottom w:val="nil"/>
              <w:right w:val="nil"/>
            </w:tcBorders>
            <w:noWrap/>
            <w:vAlign w:val="center"/>
            <w:hideMark/>
          </w:tcPr>
          <w:p w14:paraId="08888D4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single" w:sz="4" w:space="0" w:color="auto"/>
            </w:tcBorders>
            <w:vAlign w:val="center"/>
            <w:hideMark/>
          </w:tcPr>
          <w:p w14:paraId="79A0C95C"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(f) for a sum that is more than $1 million but not more than $5 million</w:t>
            </w:r>
          </w:p>
        </w:tc>
        <w:tc>
          <w:tcPr>
            <w:tcW w:w="617" w:type="pct"/>
            <w:tcBorders>
              <w:top w:val="nil"/>
              <w:left w:val="nil"/>
              <w:bottom w:val="nil"/>
              <w:right w:val="nil"/>
            </w:tcBorders>
            <w:vAlign w:val="center"/>
            <w:hideMark/>
          </w:tcPr>
          <w:p w14:paraId="2859D63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4,147.9</w:t>
            </w:r>
          </w:p>
        </w:tc>
        <w:tc>
          <w:tcPr>
            <w:tcW w:w="616" w:type="pct"/>
            <w:tcBorders>
              <w:top w:val="nil"/>
              <w:left w:val="nil"/>
              <w:bottom w:val="nil"/>
              <w:right w:val="nil"/>
            </w:tcBorders>
            <w:vAlign w:val="center"/>
            <w:hideMark/>
          </w:tcPr>
          <w:p w14:paraId="197AF4B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1,368.8</w:t>
            </w:r>
          </w:p>
        </w:tc>
        <w:tc>
          <w:tcPr>
            <w:tcW w:w="615" w:type="pct"/>
            <w:tcBorders>
              <w:top w:val="nil"/>
              <w:left w:val="nil"/>
              <w:bottom w:val="nil"/>
              <w:right w:val="single" w:sz="4" w:space="0" w:color="auto"/>
            </w:tcBorders>
            <w:vAlign w:val="center"/>
            <w:hideMark/>
          </w:tcPr>
          <w:p w14:paraId="1D0BAF7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456.3</w:t>
            </w:r>
          </w:p>
        </w:tc>
      </w:tr>
      <w:tr w:rsidR="00F41C4E" w:rsidRPr="00007A97" w14:paraId="5690F4D6" w14:textId="77777777" w:rsidTr="00F41C4E">
        <w:trPr>
          <w:trHeight w:val="285"/>
        </w:trPr>
        <w:tc>
          <w:tcPr>
            <w:tcW w:w="352" w:type="pct"/>
            <w:tcBorders>
              <w:top w:val="nil"/>
              <w:left w:val="single" w:sz="4" w:space="0" w:color="auto"/>
              <w:bottom w:val="nil"/>
              <w:right w:val="nil"/>
            </w:tcBorders>
            <w:noWrap/>
            <w:vAlign w:val="center"/>
            <w:hideMark/>
          </w:tcPr>
          <w:p w14:paraId="753D579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single" w:sz="4" w:space="0" w:color="auto"/>
              <w:right w:val="single" w:sz="4" w:space="0" w:color="auto"/>
            </w:tcBorders>
            <w:vAlign w:val="center"/>
            <w:hideMark/>
          </w:tcPr>
          <w:p w14:paraId="4D5624AE"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(g) for a sum that is more than $5 million</w:t>
            </w:r>
          </w:p>
        </w:tc>
        <w:tc>
          <w:tcPr>
            <w:tcW w:w="617" w:type="pct"/>
            <w:tcBorders>
              <w:top w:val="nil"/>
              <w:left w:val="nil"/>
              <w:bottom w:val="nil"/>
              <w:right w:val="nil"/>
            </w:tcBorders>
            <w:vAlign w:val="center"/>
            <w:hideMark/>
          </w:tcPr>
          <w:p w14:paraId="7CCA058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5,021.1</w:t>
            </w:r>
          </w:p>
        </w:tc>
        <w:tc>
          <w:tcPr>
            <w:tcW w:w="616" w:type="pct"/>
            <w:tcBorders>
              <w:top w:val="nil"/>
              <w:left w:val="nil"/>
              <w:bottom w:val="nil"/>
              <w:right w:val="nil"/>
            </w:tcBorders>
            <w:vAlign w:val="center"/>
            <w:hideMark/>
          </w:tcPr>
          <w:p w14:paraId="6D4399A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1,657.0</w:t>
            </w:r>
          </w:p>
        </w:tc>
        <w:tc>
          <w:tcPr>
            <w:tcW w:w="615" w:type="pct"/>
            <w:tcBorders>
              <w:top w:val="nil"/>
              <w:left w:val="nil"/>
              <w:bottom w:val="nil"/>
              <w:right w:val="single" w:sz="4" w:space="0" w:color="auto"/>
            </w:tcBorders>
            <w:vAlign w:val="center"/>
            <w:hideMark/>
          </w:tcPr>
          <w:p w14:paraId="5569CAA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552.3</w:t>
            </w:r>
          </w:p>
        </w:tc>
      </w:tr>
      <w:tr w:rsidR="00F41C4E" w:rsidRPr="00007A97" w14:paraId="4067968D" w14:textId="77777777" w:rsidTr="00F41C4E">
        <w:trPr>
          <w:trHeight w:val="600"/>
        </w:trPr>
        <w:tc>
          <w:tcPr>
            <w:tcW w:w="352" w:type="pct"/>
            <w:tcBorders>
              <w:top w:val="single" w:sz="4" w:space="0" w:color="auto"/>
              <w:left w:val="single" w:sz="4" w:space="0" w:color="auto"/>
              <w:bottom w:val="nil"/>
              <w:right w:val="nil"/>
            </w:tcBorders>
            <w:noWrap/>
            <w:vAlign w:val="center"/>
            <w:hideMark/>
          </w:tcPr>
          <w:p w14:paraId="120D931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10</w:t>
            </w:r>
          </w:p>
        </w:tc>
        <w:tc>
          <w:tcPr>
            <w:tcW w:w="2800" w:type="pct"/>
            <w:tcBorders>
              <w:top w:val="single" w:sz="4" w:space="0" w:color="auto"/>
              <w:left w:val="single" w:sz="4" w:space="0" w:color="auto"/>
              <w:bottom w:val="nil"/>
              <w:right w:val="nil"/>
            </w:tcBorders>
            <w:vAlign w:val="center"/>
            <w:hideMark/>
          </w:tcPr>
          <w:p w14:paraId="2DD132B9" w14:textId="77777777" w:rsidR="00007A97" w:rsidRPr="00007A97" w:rsidRDefault="00007A97" w:rsidP="00007A97">
            <w:pPr>
              <w:rPr>
                <w:rFonts w:ascii="Arial" w:hAnsi="Arial" w:cs="Arial"/>
                <w:color w:val="000000"/>
                <w:sz w:val="18"/>
                <w:szCs w:val="18"/>
                <w:lang w:eastAsia="ko-KR"/>
              </w:rPr>
            </w:pPr>
            <w:bookmarkStart w:id="139" w:name="Option_3!C186"/>
            <w:r w:rsidRPr="00007A97">
              <w:rPr>
                <w:rFonts w:ascii="Arial" w:hAnsi="Arial" w:cs="Arial"/>
                <w:color w:val="000000"/>
                <w:sz w:val="18"/>
                <w:szCs w:val="18"/>
                <w:lang w:eastAsia="ko-KR"/>
              </w:rPr>
              <w:t xml:space="preserve">For the commencement of a proceeding under the </w:t>
            </w:r>
            <w:r w:rsidRPr="00007A97">
              <w:rPr>
                <w:rFonts w:ascii="Arial" w:hAnsi="Arial" w:cs="Arial"/>
                <w:b/>
                <w:bCs/>
                <w:color w:val="000000"/>
                <w:sz w:val="18"/>
                <w:szCs w:val="18"/>
                <w:lang w:eastAsia="ko-KR"/>
              </w:rPr>
              <w:t>Australian Consumer Law and Fair Trading Act 2012</w:t>
            </w:r>
            <w:r w:rsidRPr="00007A97">
              <w:rPr>
                <w:rFonts w:ascii="Arial" w:hAnsi="Arial" w:cs="Arial"/>
                <w:color w:val="000000"/>
                <w:sz w:val="18"/>
                <w:szCs w:val="18"/>
                <w:lang w:eastAsia="ko-KR"/>
              </w:rPr>
              <w:t>, if the proceeding is allocated to the residential tenancies division and the claim is—</w:t>
            </w:r>
            <w:bookmarkEnd w:id="139"/>
          </w:p>
        </w:tc>
        <w:tc>
          <w:tcPr>
            <w:tcW w:w="617" w:type="pct"/>
            <w:tcBorders>
              <w:top w:val="single" w:sz="4" w:space="0" w:color="auto"/>
              <w:left w:val="single" w:sz="4" w:space="0" w:color="auto"/>
              <w:bottom w:val="nil"/>
              <w:right w:val="nil"/>
            </w:tcBorders>
            <w:vAlign w:val="center"/>
            <w:hideMark/>
          </w:tcPr>
          <w:p w14:paraId="4D93BAB9"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376F2B0B"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3ED304AF" w14:textId="77777777" w:rsidR="00007A97" w:rsidRPr="00007A97" w:rsidRDefault="00007A97" w:rsidP="00007A97">
            <w:pPr>
              <w:jc w:val="center"/>
              <w:rPr>
                <w:rFonts w:ascii="Times New Roman" w:hAnsi="Times New Roman"/>
                <w:lang w:eastAsia="ko-KR"/>
              </w:rPr>
            </w:pPr>
          </w:p>
        </w:tc>
      </w:tr>
      <w:tr w:rsidR="00F41C4E" w:rsidRPr="00007A97" w14:paraId="60F3D494" w14:textId="77777777" w:rsidTr="00F41C4E">
        <w:trPr>
          <w:trHeight w:val="285"/>
        </w:trPr>
        <w:tc>
          <w:tcPr>
            <w:tcW w:w="352" w:type="pct"/>
            <w:tcBorders>
              <w:top w:val="nil"/>
              <w:left w:val="single" w:sz="4" w:space="0" w:color="auto"/>
              <w:bottom w:val="nil"/>
              <w:right w:val="nil"/>
            </w:tcBorders>
            <w:noWrap/>
            <w:vAlign w:val="center"/>
            <w:hideMark/>
          </w:tcPr>
          <w:p w14:paraId="6107650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3BCAF03"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(a) for a sum that is not more than $15 000 or not for a sum</w:t>
            </w:r>
          </w:p>
        </w:tc>
        <w:tc>
          <w:tcPr>
            <w:tcW w:w="617" w:type="pct"/>
            <w:tcBorders>
              <w:top w:val="nil"/>
              <w:left w:val="single" w:sz="4" w:space="0" w:color="auto"/>
              <w:bottom w:val="nil"/>
              <w:right w:val="nil"/>
            </w:tcBorders>
            <w:vAlign w:val="center"/>
            <w:hideMark/>
          </w:tcPr>
          <w:p w14:paraId="2892F9A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196.5</w:t>
            </w:r>
          </w:p>
        </w:tc>
        <w:tc>
          <w:tcPr>
            <w:tcW w:w="616" w:type="pct"/>
            <w:tcBorders>
              <w:top w:val="nil"/>
              <w:left w:val="nil"/>
              <w:bottom w:val="nil"/>
              <w:right w:val="nil"/>
            </w:tcBorders>
            <w:vAlign w:val="center"/>
            <w:hideMark/>
          </w:tcPr>
          <w:p w14:paraId="297F72E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64.8</w:t>
            </w:r>
          </w:p>
        </w:tc>
        <w:tc>
          <w:tcPr>
            <w:tcW w:w="615" w:type="pct"/>
            <w:tcBorders>
              <w:top w:val="nil"/>
              <w:left w:val="nil"/>
              <w:bottom w:val="nil"/>
              <w:right w:val="single" w:sz="4" w:space="0" w:color="auto"/>
            </w:tcBorders>
            <w:vAlign w:val="center"/>
            <w:hideMark/>
          </w:tcPr>
          <w:p w14:paraId="1968B4F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5B4D7233" w14:textId="77777777" w:rsidTr="00F41C4E">
        <w:trPr>
          <w:trHeight w:val="285"/>
        </w:trPr>
        <w:tc>
          <w:tcPr>
            <w:tcW w:w="352" w:type="pct"/>
            <w:tcBorders>
              <w:top w:val="nil"/>
              <w:left w:val="single" w:sz="4" w:space="0" w:color="auto"/>
              <w:bottom w:val="single" w:sz="4" w:space="0" w:color="auto"/>
              <w:right w:val="nil"/>
            </w:tcBorders>
            <w:noWrap/>
            <w:vAlign w:val="center"/>
            <w:hideMark/>
          </w:tcPr>
          <w:p w14:paraId="052F11F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9D15FFC"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(b) for a sum that is not specified or is more than $15 000</w:t>
            </w:r>
          </w:p>
        </w:tc>
        <w:tc>
          <w:tcPr>
            <w:tcW w:w="617" w:type="pct"/>
            <w:tcBorders>
              <w:top w:val="nil"/>
              <w:left w:val="single" w:sz="4" w:space="0" w:color="auto"/>
              <w:bottom w:val="nil"/>
              <w:right w:val="nil"/>
            </w:tcBorders>
            <w:vAlign w:val="center"/>
            <w:hideMark/>
          </w:tcPr>
          <w:p w14:paraId="705C414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654.9</w:t>
            </w:r>
          </w:p>
        </w:tc>
        <w:tc>
          <w:tcPr>
            <w:tcW w:w="616" w:type="pct"/>
            <w:tcBorders>
              <w:top w:val="nil"/>
              <w:left w:val="nil"/>
              <w:bottom w:val="nil"/>
              <w:right w:val="nil"/>
            </w:tcBorders>
            <w:vAlign w:val="center"/>
            <w:hideMark/>
          </w:tcPr>
          <w:p w14:paraId="1E412F0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216.1</w:t>
            </w:r>
          </w:p>
        </w:tc>
        <w:tc>
          <w:tcPr>
            <w:tcW w:w="615" w:type="pct"/>
            <w:tcBorders>
              <w:top w:val="nil"/>
              <w:left w:val="nil"/>
              <w:bottom w:val="nil"/>
              <w:right w:val="single" w:sz="4" w:space="0" w:color="auto"/>
            </w:tcBorders>
            <w:vAlign w:val="center"/>
            <w:hideMark/>
          </w:tcPr>
          <w:p w14:paraId="45B5676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718B0A3D" w14:textId="77777777" w:rsidTr="00F41C4E">
        <w:trPr>
          <w:trHeight w:val="285"/>
        </w:trPr>
        <w:tc>
          <w:tcPr>
            <w:tcW w:w="352" w:type="pct"/>
            <w:tcBorders>
              <w:top w:val="single" w:sz="4" w:space="0" w:color="auto"/>
              <w:left w:val="single" w:sz="4" w:space="0" w:color="auto"/>
              <w:bottom w:val="nil"/>
              <w:right w:val="nil"/>
            </w:tcBorders>
            <w:noWrap/>
            <w:vAlign w:val="center"/>
            <w:hideMark/>
          </w:tcPr>
          <w:p w14:paraId="4522F1C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11</w:t>
            </w:r>
          </w:p>
        </w:tc>
        <w:tc>
          <w:tcPr>
            <w:tcW w:w="2800" w:type="pct"/>
            <w:tcBorders>
              <w:top w:val="single" w:sz="4" w:space="0" w:color="auto"/>
              <w:left w:val="single" w:sz="4" w:space="0" w:color="auto"/>
              <w:bottom w:val="nil"/>
              <w:right w:val="nil"/>
            </w:tcBorders>
            <w:vAlign w:val="center"/>
            <w:hideMark/>
          </w:tcPr>
          <w:p w14:paraId="68A35F86"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the commencement of a proceeding under the </w:t>
            </w:r>
            <w:r w:rsidRPr="00007A97">
              <w:rPr>
                <w:rFonts w:ascii="Arial" w:hAnsi="Arial" w:cs="Arial"/>
                <w:b/>
                <w:bCs/>
                <w:color w:val="000000"/>
                <w:sz w:val="18"/>
                <w:szCs w:val="18"/>
                <w:lang w:eastAsia="ko-KR"/>
              </w:rPr>
              <w:t>Retail Leases Act 2003</w:t>
            </w:r>
            <w:r w:rsidRPr="00007A97">
              <w:rPr>
                <w:rFonts w:ascii="Arial" w:hAnsi="Arial" w:cs="Arial"/>
                <w:color w:val="000000"/>
                <w:sz w:val="18"/>
                <w:szCs w:val="18"/>
                <w:lang w:eastAsia="ko-KR"/>
              </w:rPr>
              <w:t>, if the claim is—</w:t>
            </w:r>
          </w:p>
        </w:tc>
        <w:tc>
          <w:tcPr>
            <w:tcW w:w="617" w:type="pct"/>
            <w:tcBorders>
              <w:top w:val="single" w:sz="4" w:space="0" w:color="auto"/>
              <w:left w:val="single" w:sz="4" w:space="0" w:color="auto"/>
              <w:bottom w:val="nil"/>
              <w:right w:val="nil"/>
            </w:tcBorders>
            <w:vAlign w:val="center"/>
            <w:hideMark/>
          </w:tcPr>
          <w:p w14:paraId="5E9482E7"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026EAEFD"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6B3BD5EE" w14:textId="77777777" w:rsidR="00007A97" w:rsidRPr="00007A97" w:rsidRDefault="00007A97" w:rsidP="00007A97">
            <w:pPr>
              <w:jc w:val="center"/>
              <w:rPr>
                <w:rFonts w:ascii="Times New Roman" w:hAnsi="Times New Roman"/>
                <w:lang w:eastAsia="ko-KR"/>
              </w:rPr>
            </w:pPr>
          </w:p>
        </w:tc>
      </w:tr>
      <w:tr w:rsidR="00F41C4E" w:rsidRPr="00007A97" w14:paraId="33E5198F" w14:textId="77777777" w:rsidTr="00F41C4E">
        <w:trPr>
          <w:trHeight w:val="285"/>
        </w:trPr>
        <w:tc>
          <w:tcPr>
            <w:tcW w:w="352" w:type="pct"/>
            <w:tcBorders>
              <w:top w:val="nil"/>
              <w:left w:val="single" w:sz="4" w:space="0" w:color="auto"/>
              <w:bottom w:val="nil"/>
              <w:right w:val="nil"/>
            </w:tcBorders>
            <w:noWrap/>
            <w:vAlign w:val="center"/>
            <w:hideMark/>
          </w:tcPr>
          <w:p w14:paraId="7E14C3F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DAEB3AB"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(a) for a sum that is not specified or is not more than $100 000 or not for a sum</w:t>
            </w:r>
          </w:p>
        </w:tc>
        <w:tc>
          <w:tcPr>
            <w:tcW w:w="617" w:type="pct"/>
            <w:tcBorders>
              <w:top w:val="nil"/>
              <w:left w:val="single" w:sz="4" w:space="0" w:color="auto"/>
              <w:bottom w:val="nil"/>
              <w:right w:val="nil"/>
            </w:tcBorders>
            <w:vAlign w:val="center"/>
            <w:hideMark/>
          </w:tcPr>
          <w:p w14:paraId="322F985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1,465.8</w:t>
            </w:r>
          </w:p>
        </w:tc>
        <w:tc>
          <w:tcPr>
            <w:tcW w:w="616" w:type="pct"/>
            <w:tcBorders>
              <w:top w:val="nil"/>
              <w:left w:val="nil"/>
              <w:bottom w:val="nil"/>
              <w:right w:val="nil"/>
            </w:tcBorders>
            <w:vAlign w:val="center"/>
            <w:hideMark/>
          </w:tcPr>
          <w:p w14:paraId="66F406C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483.7</w:t>
            </w:r>
          </w:p>
        </w:tc>
        <w:tc>
          <w:tcPr>
            <w:tcW w:w="615" w:type="pct"/>
            <w:tcBorders>
              <w:top w:val="nil"/>
              <w:left w:val="nil"/>
              <w:bottom w:val="nil"/>
              <w:right w:val="single" w:sz="4" w:space="0" w:color="auto"/>
            </w:tcBorders>
            <w:vAlign w:val="center"/>
            <w:hideMark/>
          </w:tcPr>
          <w:p w14:paraId="3AB459C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161.2</w:t>
            </w:r>
          </w:p>
        </w:tc>
      </w:tr>
      <w:tr w:rsidR="00F41C4E" w:rsidRPr="00007A97" w14:paraId="3C8486F0" w14:textId="77777777" w:rsidTr="00F41C4E">
        <w:trPr>
          <w:trHeight w:val="285"/>
        </w:trPr>
        <w:tc>
          <w:tcPr>
            <w:tcW w:w="352" w:type="pct"/>
            <w:tcBorders>
              <w:top w:val="nil"/>
              <w:left w:val="single" w:sz="4" w:space="0" w:color="auto"/>
              <w:bottom w:val="nil"/>
              <w:right w:val="nil"/>
            </w:tcBorders>
            <w:noWrap/>
            <w:vAlign w:val="center"/>
            <w:hideMark/>
          </w:tcPr>
          <w:p w14:paraId="77125CD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68162EE"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(b) for a sum that is more than $100 000 but not more than $500 000</w:t>
            </w:r>
          </w:p>
        </w:tc>
        <w:tc>
          <w:tcPr>
            <w:tcW w:w="617" w:type="pct"/>
            <w:tcBorders>
              <w:top w:val="nil"/>
              <w:left w:val="single" w:sz="4" w:space="0" w:color="auto"/>
              <w:bottom w:val="nil"/>
              <w:right w:val="nil"/>
            </w:tcBorders>
            <w:vAlign w:val="center"/>
            <w:hideMark/>
          </w:tcPr>
          <w:p w14:paraId="7CBCF37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2,401.4</w:t>
            </w:r>
          </w:p>
        </w:tc>
        <w:tc>
          <w:tcPr>
            <w:tcW w:w="616" w:type="pct"/>
            <w:tcBorders>
              <w:top w:val="nil"/>
              <w:left w:val="nil"/>
              <w:bottom w:val="nil"/>
              <w:right w:val="nil"/>
            </w:tcBorders>
            <w:vAlign w:val="center"/>
            <w:hideMark/>
          </w:tcPr>
          <w:p w14:paraId="77D40B9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792.5</w:t>
            </w:r>
          </w:p>
        </w:tc>
        <w:tc>
          <w:tcPr>
            <w:tcW w:w="615" w:type="pct"/>
            <w:tcBorders>
              <w:top w:val="nil"/>
              <w:left w:val="nil"/>
              <w:bottom w:val="nil"/>
              <w:right w:val="single" w:sz="4" w:space="0" w:color="auto"/>
            </w:tcBorders>
            <w:vAlign w:val="center"/>
            <w:hideMark/>
          </w:tcPr>
          <w:p w14:paraId="1CCE970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264.2</w:t>
            </w:r>
          </w:p>
        </w:tc>
      </w:tr>
      <w:tr w:rsidR="00F41C4E" w:rsidRPr="00007A97" w14:paraId="7E9A1256" w14:textId="77777777" w:rsidTr="00F41C4E">
        <w:trPr>
          <w:trHeight w:val="285"/>
        </w:trPr>
        <w:tc>
          <w:tcPr>
            <w:tcW w:w="352" w:type="pct"/>
            <w:tcBorders>
              <w:top w:val="nil"/>
              <w:left w:val="single" w:sz="4" w:space="0" w:color="auto"/>
              <w:bottom w:val="nil"/>
              <w:right w:val="nil"/>
            </w:tcBorders>
            <w:noWrap/>
            <w:vAlign w:val="center"/>
            <w:hideMark/>
          </w:tcPr>
          <w:p w14:paraId="4339832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0691A1B"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(c) for a sum that is more than $500 000 but not more than $1 million</w:t>
            </w:r>
          </w:p>
        </w:tc>
        <w:tc>
          <w:tcPr>
            <w:tcW w:w="617" w:type="pct"/>
            <w:tcBorders>
              <w:top w:val="nil"/>
              <w:left w:val="single" w:sz="4" w:space="0" w:color="auto"/>
              <w:bottom w:val="nil"/>
              <w:right w:val="nil"/>
            </w:tcBorders>
            <w:vAlign w:val="center"/>
            <w:hideMark/>
          </w:tcPr>
          <w:p w14:paraId="2B1B345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3,274.6</w:t>
            </w:r>
          </w:p>
        </w:tc>
        <w:tc>
          <w:tcPr>
            <w:tcW w:w="616" w:type="pct"/>
            <w:tcBorders>
              <w:top w:val="nil"/>
              <w:left w:val="nil"/>
              <w:bottom w:val="nil"/>
              <w:right w:val="nil"/>
            </w:tcBorders>
            <w:vAlign w:val="center"/>
            <w:hideMark/>
          </w:tcPr>
          <w:p w14:paraId="4DB469E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1,080.6</w:t>
            </w:r>
          </w:p>
        </w:tc>
        <w:tc>
          <w:tcPr>
            <w:tcW w:w="615" w:type="pct"/>
            <w:tcBorders>
              <w:top w:val="nil"/>
              <w:left w:val="nil"/>
              <w:bottom w:val="nil"/>
              <w:right w:val="single" w:sz="4" w:space="0" w:color="auto"/>
            </w:tcBorders>
            <w:vAlign w:val="center"/>
            <w:hideMark/>
          </w:tcPr>
          <w:p w14:paraId="1D4F19B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360.2</w:t>
            </w:r>
          </w:p>
        </w:tc>
      </w:tr>
      <w:tr w:rsidR="00F41C4E" w:rsidRPr="00007A97" w14:paraId="77118CC1" w14:textId="77777777" w:rsidTr="00F41C4E">
        <w:trPr>
          <w:trHeight w:val="285"/>
        </w:trPr>
        <w:tc>
          <w:tcPr>
            <w:tcW w:w="352" w:type="pct"/>
            <w:tcBorders>
              <w:top w:val="nil"/>
              <w:left w:val="single" w:sz="4" w:space="0" w:color="auto"/>
              <w:bottom w:val="nil"/>
              <w:right w:val="nil"/>
            </w:tcBorders>
            <w:noWrap/>
            <w:vAlign w:val="center"/>
            <w:hideMark/>
          </w:tcPr>
          <w:p w14:paraId="77BE686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EB8E8C0"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(d) for a sum that is more than $1 million but not more than $5 million</w:t>
            </w:r>
          </w:p>
        </w:tc>
        <w:tc>
          <w:tcPr>
            <w:tcW w:w="617" w:type="pct"/>
            <w:tcBorders>
              <w:top w:val="nil"/>
              <w:left w:val="single" w:sz="4" w:space="0" w:color="auto"/>
              <w:bottom w:val="nil"/>
              <w:right w:val="nil"/>
            </w:tcBorders>
            <w:vAlign w:val="center"/>
            <w:hideMark/>
          </w:tcPr>
          <w:p w14:paraId="76C5EEC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4,147.9</w:t>
            </w:r>
          </w:p>
        </w:tc>
        <w:tc>
          <w:tcPr>
            <w:tcW w:w="616" w:type="pct"/>
            <w:tcBorders>
              <w:top w:val="nil"/>
              <w:left w:val="nil"/>
              <w:bottom w:val="nil"/>
              <w:right w:val="nil"/>
            </w:tcBorders>
            <w:vAlign w:val="center"/>
            <w:hideMark/>
          </w:tcPr>
          <w:p w14:paraId="2266511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1,368.8</w:t>
            </w:r>
          </w:p>
        </w:tc>
        <w:tc>
          <w:tcPr>
            <w:tcW w:w="615" w:type="pct"/>
            <w:tcBorders>
              <w:top w:val="nil"/>
              <w:left w:val="nil"/>
              <w:bottom w:val="nil"/>
              <w:right w:val="single" w:sz="4" w:space="0" w:color="auto"/>
            </w:tcBorders>
            <w:vAlign w:val="center"/>
            <w:hideMark/>
          </w:tcPr>
          <w:p w14:paraId="4A42931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456.3</w:t>
            </w:r>
          </w:p>
        </w:tc>
      </w:tr>
      <w:tr w:rsidR="00F41C4E" w:rsidRPr="00007A97" w14:paraId="04784078" w14:textId="77777777" w:rsidTr="00F41C4E">
        <w:trPr>
          <w:trHeight w:val="285"/>
        </w:trPr>
        <w:tc>
          <w:tcPr>
            <w:tcW w:w="352" w:type="pct"/>
            <w:tcBorders>
              <w:top w:val="nil"/>
              <w:left w:val="single" w:sz="4" w:space="0" w:color="auto"/>
              <w:bottom w:val="nil"/>
              <w:right w:val="nil"/>
            </w:tcBorders>
            <w:noWrap/>
            <w:vAlign w:val="center"/>
            <w:hideMark/>
          </w:tcPr>
          <w:p w14:paraId="7751B92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539F74D"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(e) for a sum that is more than $5 million</w:t>
            </w:r>
          </w:p>
        </w:tc>
        <w:tc>
          <w:tcPr>
            <w:tcW w:w="617" w:type="pct"/>
            <w:tcBorders>
              <w:top w:val="nil"/>
              <w:left w:val="single" w:sz="4" w:space="0" w:color="auto"/>
              <w:bottom w:val="nil"/>
              <w:right w:val="nil"/>
            </w:tcBorders>
            <w:vAlign w:val="center"/>
            <w:hideMark/>
          </w:tcPr>
          <w:p w14:paraId="6BD0F38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5,021.1</w:t>
            </w:r>
          </w:p>
        </w:tc>
        <w:tc>
          <w:tcPr>
            <w:tcW w:w="616" w:type="pct"/>
            <w:tcBorders>
              <w:top w:val="nil"/>
              <w:left w:val="nil"/>
              <w:bottom w:val="nil"/>
              <w:right w:val="nil"/>
            </w:tcBorders>
            <w:vAlign w:val="center"/>
            <w:hideMark/>
          </w:tcPr>
          <w:p w14:paraId="4A1A6DF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1,657.0</w:t>
            </w:r>
          </w:p>
        </w:tc>
        <w:tc>
          <w:tcPr>
            <w:tcW w:w="615" w:type="pct"/>
            <w:tcBorders>
              <w:top w:val="nil"/>
              <w:left w:val="nil"/>
              <w:bottom w:val="nil"/>
              <w:right w:val="single" w:sz="4" w:space="0" w:color="auto"/>
            </w:tcBorders>
            <w:vAlign w:val="center"/>
            <w:hideMark/>
          </w:tcPr>
          <w:p w14:paraId="72FA396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552.3</w:t>
            </w:r>
          </w:p>
        </w:tc>
      </w:tr>
      <w:tr w:rsidR="00F41C4E" w:rsidRPr="00007A97" w14:paraId="56FEBB56"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144DE36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12</w:t>
            </w:r>
          </w:p>
        </w:tc>
        <w:tc>
          <w:tcPr>
            <w:tcW w:w="2800" w:type="pct"/>
            <w:tcBorders>
              <w:top w:val="single" w:sz="4" w:space="0" w:color="auto"/>
              <w:left w:val="single" w:sz="4" w:space="0" w:color="auto"/>
              <w:bottom w:val="nil"/>
              <w:right w:val="nil"/>
            </w:tcBorders>
            <w:vAlign w:val="center"/>
            <w:hideMark/>
          </w:tcPr>
          <w:p w14:paraId="0B18EB64"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the commencement of a proceeding under the </w:t>
            </w:r>
            <w:r w:rsidRPr="00007A97">
              <w:rPr>
                <w:rFonts w:ascii="Arial" w:hAnsi="Arial" w:cs="Arial"/>
                <w:b/>
                <w:bCs/>
                <w:color w:val="000000"/>
                <w:sz w:val="18"/>
                <w:szCs w:val="18"/>
                <w:lang w:eastAsia="ko-KR"/>
              </w:rPr>
              <w:t>Owners Corporations Act 2006</w:t>
            </w:r>
            <w:r w:rsidRPr="00007A97">
              <w:rPr>
                <w:rFonts w:ascii="Arial" w:hAnsi="Arial" w:cs="Arial"/>
                <w:color w:val="000000"/>
                <w:sz w:val="18"/>
                <w:szCs w:val="18"/>
                <w:lang w:eastAsia="ko-KR"/>
              </w:rPr>
              <w:t>, except section 191, if the claim is—</w:t>
            </w:r>
          </w:p>
        </w:tc>
        <w:tc>
          <w:tcPr>
            <w:tcW w:w="617" w:type="pct"/>
            <w:tcBorders>
              <w:top w:val="single" w:sz="4" w:space="0" w:color="auto"/>
              <w:left w:val="single" w:sz="4" w:space="0" w:color="auto"/>
              <w:bottom w:val="nil"/>
              <w:right w:val="nil"/>
            </w:tcBorders>
            <w:vAlign w:val="center"/>
            <w:hideMark/>
          </w:tcPr>
          <w:p w14:paraId="560B0510"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7FCE1751"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20617CD5" w14:textId="77777777" w:rsidR="00007A97" w:rsidRPr="00007A97" w:rsidRDefault="00007A97" w:rsidP="00007A97">
            <w:pPr>
              <w:jc w:val="center"/>
              <w:rPr>
                <w:rFonts w:ascii="Times New Roman" w:hAnsi="Times New Roman"/>
                <w:lang w:eastAsia="ko-KR"/>
              </w:rPr>
            </w:pPr>
          </w:p>
        </w:tc>
      </w:tr>
      <w:tr w:rsidR="00F41C4E" w:rsidRPr="00007A97" w14:paraId="231FC99D" w14:textId="77777777" w:rsidTr="00F41C4E">
        <w:trPr>
          <w:trHeight w:val="285"/>
        </w:trPr>
        <w:tc>
          <w:tcPr>
            <w:tcW w:w="352" w:type="pct"/>
            <w:tcBorders>
              <w:top w:val="nil"/>
              <w:left w:val="single" w:sz="4" w:space="0" w:color="auto"/>
              <w:bottom w:val="nil"/>
              <w:right w:val="nil"/>
            </w:tcBorders>
            <w:noWrap/>
            <w:vAlign w:val="center"/>
            <w:hideMark/>
          </w:tcPr>
          <w:p w14:paraId="0565C8C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CD461C5"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(a) not for a sum, or is for a sum that is specified, but is not more than $3000</w:t>
            </w:r>
          </w:p>
        </w:tc>
        <w:tc>
          <w:tcPr>
            <w:tcW w:w="617" w:type="pct"/>
            <w:tcBorders>
              <w:top w:val="nil"/>
              <w:left w:val="single" w:sz="4" w:space="0" w:color="auto"/>
              <w:bottom w:val="nil"/>
              <w:right w:val="nil"/>
            </w:tcBorders>
            <w:vAlign w:val="center"/>
            <w:hideMark/>
          </w:tcPr>
          <w:p w14:paraId="6AB7967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196.5</w:t>
            </w:r>
          </w:p>
        </w:tc>
        <w:tc>
          <w:tcPr>
            <w:tcW w:w="616" w:type="pct"/>
            <w:tcBorders>
              <w:top w:val="nil"/>
              <w:left w:val="nil"/>
              <w:bottom w:val="nil"/>
              <w:right w:val="nil"/>
            </w:tcBorders>
            <w:vAlign w:val="center"/>
            <w:hideMark/>
          </w:tcPr>
          <w:p w14:paraId="2014FDA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64.8</w:t>
            </w:r>
          </w:p>
        </w:tc>
        <w:tc>
          <w:tcPr>
            <w:tcW w:w="615" w:type="pct"/>
            <w:tcBorders>
              <w:top w:val="nil"/>
              <w:left w:val="nil"/>
              <w:bottom w:val="nil"/>
              <w:right w:val="single" w:sz="4" w:space="0" w:color="auto"/>
            </w:tcBorders>
            <w:vAlign w:val="center"/>
            <w:hideMark/>
          </w:tcPr>
          <w:p w14:paraId="6054752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21.6</w:t>
            </w:r>
          </w:p>
        </w:tc>
      </w:tr>
      <w:tr w:rsidR="00F41C4E" w:rsidRPr="00007A97" w14:paraId="6C4A39D8" w14:textId="77777777" w:rsidTr="00F41C4E">
        <w:trPr>
          <w:trHeight w:val="285"/>
        </w:trPr>
        <w:tc>
          <w:tcPr>
            <w:tcW w:w="352" w:type="pct"/>
            <w:tcBorders>
              <w:top w:val="nil"/>
              <w:left w:val="single" w:sz="4" w:space="0" w:color="auto"/>
              <w:bottom w:val="nil"/>
              <w:right w:val="nil"/>
            </w:tcBorders>
            <w:noWrap/>
            <w:vAlign w:val="center"/>
            <w:hideMark/>
          </w:tcPr>
          <w:p w14:paraId="1586617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F557BAD"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(b) for a sum that is more than $3000 but not more than $15 000</w:t>
            </w:r>
          </w:p>
        </w:tc>
        <w:tc>
          <w:tcPr>
            <w:tcW w:w="617" w:type="pct"/>
            <w:tcBorders>
              <w:top w:val="nil"/>
              <w:left w:val="single" w:sz="4" w:space="0" w:color="auto"/>
              <w:bottom w:val="nil"/>
              <w:right w:val="nil"/>
            </w:tcBorders>
            <w:vAlign w:val="center"/>
            <w:hideMark/>
          </w:tcPr>
          <w:p w14:paraId="6D76823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654.9</w:t>
            </w:r>
          </w:p>
        </w:tc>
        <w:tc>
          <w:tcPr>
            <w:tcW w:w="616" w:type="pct"/>
            <w:tcBorders>
              <w:top w:val="nil"/>
              <w:left w:val="nil"/>
              <w:bottom w:val="nil"/>
              <w:right w:val="nil"/>
            </w:tcBorders>
            <w:vAlign w:val="center"/>
            <w:hideMark/>
          </w:tcPr>
          <w:p w14:paraId="766DBD0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216.1</w:t>
            </w:r>
          </w:p>
        </w:tc>
        <w:tc>
          <w:tcPr>
            <w:tcW w:w="615" w:type="pct"/>
            <w:tcBorders>
              <w:top w:val="nil"/>
              <w:left w:val="nil"/>
              <w:bottom w:val="nil"/>
              <w:right w:val="single" w:sz="4" w:space="0" w:color="auto"/>
            </w:tcBorders>
            <w:vAlign w:val="center"/>
            <w:hideMark/>
          </w:tcPr>
          <w:p w14:paraId="6AF8F7E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72.0</w:t>
            </w:r>
          </w:p>
        </w:tc>
      </w:tr>
      <w:tr w:rsidR="00F41C4E" w:rsidRPr="00007A97" w14:paraId="7640868F" w14:textId="77777777" w:rsidTr="00F41C4E">
        <w:trPr>
          <w:trHeight w:val="435"/>
        </w:trPr>
        <w:tc>
          <w:tcPr>
            <w:tcW w:w="352" w:type="pct"/>
            <w:tcBorders>
              <w:top w:val="nil"/>
              <w:left w:val="single" w:sz="4" w:space="0" w:color="auto"/>
              <w:bottom w:val="nil"/>
              <w:right w:val="nil"/>
            </w:tcBorders>
            <w:noWrap/>
            <w:vAlign w:val="center"/>
            <w:hideMark/>
          </w:tcPr>
          <w:p w14:paraId="7699FBD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C5F685C"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(c) for a sum that is not specified or for a sum that is more than $15 000 but not more than $100 000</w:t>
            </w:r>
          </w:p>
        </w:tc>
        <w:tc>
          <w:tcPr>
            <w:tcW w:w="617" w:type="pct"/>
            <w:tcBorders>
              <w:top w:val="nil"/>
              <w:left w:val="single" w:sz="4" w:space="0" w:color="auto"/>
              <w:bottom w:val="nil"/>
              <w:right w:val="nil"/>
            </w:tcBorders>
            <w:vAlign w:val="center"/>
            <w:hideMark/>
          </w:tcPr>
          <w:p w14:paraId="433351A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1,465.8</w:t>
            </w:r>
          </w:p>
        </w:tc>
        <w:tc>
          <w:tcPr>
            <w:tcW w:w="616" w:type="pct"/>
            <w:tcBorders>
              <w:top w:val="nil"/>
              <w:left w:val="nil"/>
              <w:bottom w:val="nil"/>
              <w:right w:val="nil"/>
            </w:tcBorders>
            <w:vAlign w:val="center"/>
            <w:hideMark/>
          </w:tcPr>
          <w:p w14:paraId="22CFA73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483.7</w:t>
            </w:r>
          </w:p>
        </w:tc>
        <w:tc>
          <w:tcPr>
            <w:tcW w:w="615" w:type="pct"/>
            <w:tcBorders>
              <w:top w:val="nil"/>
              <w:left w:val="nil"/>
              <w:bottom w:val="nil"/>
              <w:right w:val="single" w:sz="4" w:space="0" w:color="auto"/>
            </w:tcBorders>
            <w:vAlign w:val="center"/>
            <w:hideMark/>
          </w:tcPr>
          <w:p w14:paraId="134FC4E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161.2</w:t>
            </w:r>
          </w:p>
        </w:tc>
      </w:tr>
      <w:tr w:rsidR="00F41C4E" w:rsidRPr="00007A97" w14:paraId="1E08292C" w14:textId="77777777" w:rsidTr="00F41C4E">
        <w:trPr>
          <w:trHeight w:val="285"/>
        </w:trPr>
        <w:tc>
          <w:tcPr>
            <w:tcW w:w="352" w:type="pct"/>
            <w:tcBorders>
              <w:top w:val="nil"/>
              <w:left w:val="single" w:sz="4" w:space="0" w:color="auto"/>
              <w:bottom w:val="nil"/>
              <w:right w:val="nil"/>
            </w:tcBorders>
            <w:noWrap/>
            <w:vAlign w:val="center"/>
            <w:hideMark/>
          </w:tcPr>
          <w:p w14:paraId="24771D3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8A8141C"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(d) for a sum that is more than $100 000 but not more than $500 000</w:t>
            </w:r>
          </w:p>
        </w:tc>
        <w:tc>
          <w:tcPr>
            <w:tcW w:w="617" w:type="pct"/>
            <w:tcBorders>
              <w:top w:val="nil"/>
              <w:left w:val="single" w:sz="4" w:space="0" w:color="auto"/>
              <w:bottom w:val="nil"/>
              <w:right w:val="nil"/>
            </w:tcBorders>
            <w:vAlign w:val="center"/>
            <w:hideMark/>
          </w:tcPr>
          <w:p w14:paraId="33181CD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2,401.4</w:t>
            </w:r>
          </w:p>
        </w:tc>
        <w:tc>
          <w:tcPr>
            <w:tcW w:w="616" w:type="pct"/>
            <w:tcBorders>
              <w:top w:val="nil"/>
              <w:left w:val="nil"/>
              <w:bottom w:val="nil"/>
              <w:right w:val="nil"/>
            </w:tcBorders>
            <w:vAlign w:val="center"/>
            <w:hideMark/>
          </w:tcPr>
          <w:p w14:paraId="3F170D1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792.5</w:t>
            </w:r>
          </w:p>
        </w:tc>
        <w:tc>
          <w:tcPr>
            <w:tcW w:w="615" w:type="pct"/>
            <w:tcBorders>
              <w:top w:val="nil"/>
              <w:left w:val="nil"/>
              <w:bottom w:val="nil"/>
              <w:right w:val="single" w:sz="4" w:space="0" w:color="auto"/>
            </w:tcBorders>
            <w:vAlign w:val="center"/>
            <w:hideMark/>
          </w:tcPr>
          <w:p w14:paraId="725E12E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264.2</w:t>
            </w:r>
          </w:p>
        </w:tc>
      </w:tr>
      <w:tr w:rsidR="00F41C4E" w:rsidRPr="00007A97" w14:paraId="4E514082" w14:textId="77777777" w:rsidTr="00F41C4E">
        <w:trPr>
          <w:trHeight w:val="285"/>
        </w:trPr>
        <w:tc>
          <w:tcPr>
            <w:tcW w:w="352" w:type="pct"/>
            <w:tcBorders>
              <w:top w:val="nil"/>
              <w:left w:val="single" w:sz="4" w:space="0" w:color="auto"/>
              <w:bottom w:val="nil"/>
              <w:right w:val="nil"/>
            </w:tcBorders>
            <w:noWrap/>
            <w:vAlign w:val="center"/>
            <w:hideMark/>
          </w:tcPr>
          <w:p w14:paraId="3A203D3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1D89A8F"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(e) for a sum that is more than $500 000 but not more than $1 million</w:t>
            </w:r>
          </w:p>
        </w:tc>
        <w:tc>
          <w:tcPr>
            <w:tcW w:w="617" w:type="pct"/>
            <w:tcBorders>
              <w:top w:val="nil"/>
              <w:left w:val="single" w:sz="4" w:space="0" w:color="auto"/>
              <w:bottom w:val="nil"/>
              <w:right w:val="nil"/>
            </w:tcBorders>
            <w:vAlign w:val="center"/>
            <w:hideMark/>
          </w:tcPr>
          <w:p w14:paraId="6DAE08E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3,274.6</w:t>
            </w:r>
          </w:p>
        </w:tc>
        <w:tc>
          <w:tcPr>
            <w:tcW w:w="616" w:type="pct"/>
            <w:tcBorders>
              <w:top w:val="nil"/>
              <w:left w:val="nil"/>
              <w:bottom w:val="nil"/>
              <w:right w:val="nil"/>
            </w:tcBorders>
            <w:vAlign w:val="center"/>
            <w:hideMark/>
          </w:tcPr>
          <w:p w14:paraId="4899A06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1,080.6</w:t>
            </w:r>
          </w:p>
        </w:tc>
        <w:tc>
          <w:tcPr>
            <w:tcW w:w="615" w:type="pct"/>
            <w:tcBorders>
              <w:top w:val="nil"/>
              <w:left w:val="nil"/>
              <w:bottom w:val="nil"/>
              <w:right w:val="single" w:sz="4" w:space="0" w:color="auto"/>
            </w:tcBorders>
            <w:vAlign w:val="center"/>
            <w:hideMark/>
          </w:tcPr>
          <w:p w14:paraId="48AA74D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360.2</w:t>
            </w:r>
          </w:p>
        </w:tc>
      </w:tr>
      <w:tr w:rsidR="00F41C4E" w:rsidRPr="00007A97" w14:paraId="65070C6B" w14:textId="77777777" w:rsidTr="00F41C4E">
        <w:trPr>
          <w:trHeight w:val="285"/>
        </w:trPr>
        <w:tc>
          <w:tcPr>
            <w:tcW w:w="352" w:type="pct"/>
            <w:tcBorders>
              <w:top w:val="nil"/>
              <w:left w:val="single" w:sz="4" w:space="0" w:color="auto"/>
              <w:bottom w:val="nil"/>
              <w:right w:val="nil"/>
            </w:tcBorders>
            <w:noWrap/>
            <w:vAlign w:val="center"/>
            <w:hideMark/>
          </w:tcPr>
          <w:p w14:paraId="1E24A45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EC1E476"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(f) for a sum that is more than $1 million but not more than $5 million</w:t>
            </w:r>
          </w:p>
        </w:tc>
        <w:tc>
          <w:tcPr>
            <w:tcW w:w="617" w:type="pct"/>
            <w:tcBorders>
              <w:top w:val="nil"/>
              <w:left w:val="single" w:sz="4" w:space="0" w:color="auto"/>
              <w:bottom w:val="nil"/>
              <w:right w:val="nil"/>
            </w:tcBorders>
            <w:vAlign w:val="center"/>
            <w:hideMark/>
          </w:tcPr>
          <w:p w14:paraId="6F6685E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4,147.9</w:t>
            </w:r>
          </w:p>
        </w:tc>
        <w:tc>
          <w:tcPr>
            <w:tcW w:w="616" w:type="pct"/>
            <w:tcBorders>
              <w:top w:val="nil"/>
              <w:left w:val="nil"/>
              <w:bottom w:val="nil"/>
              <w:right w:val="nil"/>
            </w:tcBorders>
            <w:vAlign w:val="center"/>
            <w:hideMark/>
          </w:tcPr>
          <w:p w14:paraId="4B2C565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1,368.8</w:t>
            </w:r>
          </w:p>
        </w:tc>
        <w:tc>
          <w:tcPr>
            <w:tcW w:w="615" w:type="pct"/>
            <w:tcBorders>
              <w:top w:val="nil"/>
              <w:left w:val="nil"/>
              <w:bottom w:val="nil"/>
              <w:right w:val="single" w:sz="4" w:space="0" w:color="auto"/>
            </w:tcBorders>
            <w:vAlign w:val="center"/>
            <w:hideMark/>
          </w:tcPr>
          <w:p w14:paraId="7EFA57C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456.3</w:t>
            </w:r>
          </w:p>
        </w:tc>
      </w:tr>
      <w:tr w:rsidR="00F41C4E" w:rsidRPr="00007A97" w14:paraId="1851F154" w14:textId="77777777" w:rsidTr="00F41C4E">
        <w:trPr>
          <w:trHeight w:val="285"/>
        </w:trPr>
        <w:tc>
          <w:tcPr>
            <w:tcW w:w="352" w:type="pct"/>
            <w:tcBorders>
              <w:top w:val="nil"/>
              <w:left w:val="single" w:sz="4" w:space="0" w:color="auto"/>
              <w:bottom w:val="single" w:sz="4" w:space="0" w:color="auto"/>
              <w:right w:val="nil"/>
            </w:tcBorders>
            <w:noWrap/>
            <w:vAlign w:val="center"/>
            <w:hideMark/>
          </w:tcPr>
          <w:p w14:paraId="5A74408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8DB9AB0"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(g) for a sum that is more than $5 million</w:t>
            </w:r>
          </w:p>
        </w:tc>
        <w:tc>
          <w:tcPr>
            <w:tcW w:w="617" w:type="pct"/>
            <w:tcBorders>
              <w:top w:val="nil"/>
              <w:left w:val="single" w:sz="4" w:space="0" w:color="auto"/>
              <w:bottom w:val="nil"/>
              <w:right w:val="nil"/>
            </w:tcBorders>
            <w:vAlign w:val="center"/>
            <w:hideMark/>
          </w:tcPr>
          <w:p w14:paraId="5BCA152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5,021.1</w:t>
            </w:r>
          </w:p>
        </w:tc>
        <w:tc>
          <w:tcPr>
            <w:tcW w:w="616" w:type="pct"/>
            <w:tcBorders>
              <w:top w:val="nil"/>
              <w:left w:val="nil"/>
              <w:bottom w:val="nil"/>
              <w:right w:val="nil"/>
            </w:tcBorders>
            <w:vAlign w:val="center"/>
            <w:hideMark/>
          </w:tcPr>
          <w:p w14:paraId="729A2A0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1,657.0</w:t>
            </w:r>
          </w:p>
        </w:tc>
        <w:tc>
          <w:tcPr>
            <w:tcW w:w="615" w:type="pct"/>
            <w:tcBorders>
              <w:top w:val="nil"/>
              <w:left w:val="nil"/>
              <w:bottom w:val="nil"/>
              <w:right w:val="single" w:sz="4" w:space="0" w:color="auto"/>
            </w:tcBorders>
            <w:vAlign w:val="center"/>
            <w:hideMark/>
          </w:tcPr>
          <w:p w14:paraId="1F4AEC2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552.3</w:t>
            </w:r>
          </w:p>
        </w:tc>
      </w:tr>
      <w:tr w:rsidR="00F41C4E" w:rsidRPr="00007A97" w14:paraId="3D6A656D"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1AA3EB9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13</w:t>
            </w:r>
          </w:p>
        </w:tc>
        <w:tc>
          <w:tcPr>
            <w:tcW w:w="2800" w:type="pct"/>
            <w:tcBorders>
              <w:top w:val="single" w:sz="4" w:space="0" w:color="auto"/>
              <w:left w:val="single" w:sz="4" w:space="0" w:color="auto"/>
              <w:bottom w:val="nil"/>
              <w:right w:val="nil"/>
            </w:tcBorders>
            <w:vAlign w:val="center"/>
            <w:hideMark/>
          </w:tcPr>
          <w:p w14:paraId="1D921C62"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the commencement of a proceeding under section 77 or 79 of the </w:t>
            </w:r>
            <w:r w:rsidRPr="00007A97">
              <w:rPr>
                <w:rFonts w:ascii="Arial" w:hAnsi="Arial" w:cs="Arial"/>
                <w:b/>
                <w:bCs/>
                <w:color w:val="000000"/>
                <w:sz w:val="18"/>
                <w:szCs w:val="18"/>
                <w:lang w:eastAsia="ko-KR"/>
              </w:rPr>
              <w:t>Planning and Environment Act 1987</w:t>
            </w:r>
            <w:r w:rsidRPr="00007A97">
              <w:rPr>
                <w:rFonts w:ascii="Arial" w:hAnsi="Arial" w:cs="Arial"/>
                <w:color w:val="000000"/>
                <w:sz w:val="18"/>
                <w:szCs w:val="18"/>
                <w:lang w:eastAsia="ko-KR"/>
              </w:rPr>
              <w:t xml:space="preserve"> if the proceeding is not a major case and relates to—</w:t>
            </w:r>
          </w:p>
        </w:tc>
        <w:tc>
          <w:tcPr>
            <w:tcW w:w="617" w:type="pct"/>
            <w:tcBorders>
              <w:top w:val="single" w:sz="4" w:space="0" w:color="auto"/>
              <w:left w:val="single" w:sz="4" w:space="0" w:color="auto"/>
              <w:bottom w:val="nil"/>
              <w:right w:val="nil"/>
            </w:tcBorders>
            <w:vAlign w:val="center"/>
            <w:hideMark/>
          </w:tcPr>
          <w:p w14:paraId="0957A03D"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01AB0653"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191E608B" w14:textId="77777777" w:rsidR="00007A97" w:rsidRPr="00007A97" w:rsidRDefault="00007A97" w:rsidP="00007A97">
            <w:pPr>
              <w:jc w:val="center"/>
              <w:rPr>
                <w:rFonts w:ascii="Times New Roman" w:hAnsi="Times New Roman"/>
                <w:lang w:eastAsia="ko-KR"/>
              </w:rPr>
            </w:pPr>
          </w:p>
        </w:tc>
      </w:tr>
      <w:tr w:rsidR="00F41C4E" w:rsidRPr="00007A97" w14:paraId="7835A07A" w14:textId="77777777" w:rsidTr="00F41C4E">
        <w:trPr>
          <w:trHeight w:val="285"/>
        </w:trPr>
        <w:tc>
          <w:tcPr>
            <w:tcW w:w="352" w:type="pct"/>
            <w:tcBorders>
              <w:top w:val="nil"/>
              <w:left w:val="single" w:sz="4" w:space="0" w:color="auto"/>
              <w:bottom w:val="nil"/>
              <w:right w:val="nil"/>
            </w:tcBorders>
            <w:noWrap/>
            <w:vAlign w:val="center"/>
            <w:hideMark/>
          </w:tcPr>
          <w:p w14:paraId="35C1E88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B026C64"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(a) a VicSmart proceeding or a development that is solely a single dwelling</w:t>
            </w:r>
          </w:p>
        </w:tc>
        <w:tc>
          <w:tcPr>
            <w:tcW w:w="617" w:type="pct"/>
            <w:tcBorders>
              <w:top w:val="nil"/>
              <w:left w:val="single" w:sz="4" w:space="0" w:color="auto"/>
              <w:bottom w:val="nil"/>
              <w:right w:val="nil"/>
            </w:tcBorders>
            <w:vAlign w:val="center"/>
            <w:hideMark/>
          </w:tcPr>
          <w:p w14:paraId="5705210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2,619.7</w:t>
            </w:r>
          </w:p>
        </w:tc>
        <w:tc>
          <w:tcPr>
            <w:tcW w:w="616" w:type="pct"/>
            <w:tcBorders>
              <w:top w:val="nil"/>
              <w:left w:val="nil"/>
              <w:bottom w:val="nil"/>
              <w:right w:val="nil"/>
            </w:tcBorders>
            <w:vAlign w:val="center"/>
            <w:hideMark/>
          </w:tcPr>
          <w:p w14:paraId="7ACFF3C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864.5</w:t>
            </w:r>
          </w:p>
        </w:tc>
        <w:tc>
          <w:tcPr>
            <w:tcW w:w="615" w:type="pct"/>
            <w:tcBorders>
              <w:top w:val="nil"/>
              <w:left w:val="nil"/>
              <w:bottom w:val="nil"/>
              <w:right w:val="single" w:sz="4" w:space="0" w:color="auto"/>
            </w:tcBorders>
            <w:vAlign w:val="center"/>
            <w:hideMark/>
          </w:tcPr>
          <w:p w14:paraId="16C755D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288.2</w:t>
            </w:r>
          </w:p>
        </w:tc>
      </w:tr>
      <w:tr w:rsidR="00F41C4E" w:rsidRPr="00007A97" w14:paraId="67A92A10" w14:textId="77777777" w:rsidTr="00F41C4E">
        <w:trPr>
          <w:trHeight w:val="450"/>
        </w:trPr>
        <w:tc>
          <w:tcPr>
            <w:tcW w:w="352" w:type="pct"/>
            <w:tcBorders>
              <w:top w:val="nil"/>
              <w:left w:val="single" w:sz="4" w:space="0" w:color="auto"/>
              <w:bottom w:val="nil"/>
              <w:right w:val="nil"/>
            </w:tcBorders>
            <w:noWrap/>
            <w:vAlign w:val="center"/>
            <w:hideMark/>
          </w:tcPr>
          <w:p w14:paraId="3C5A541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057F1CE"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(b) a development of a kind not referred to in paragraph (a) having an estimated cost of—</w:t>
            </w:r>
          </w:p>
        </w:tc>
        <w:tc>
          <w:tcPr>
            <w:tcW w:w="617" w:type="pct"/>
            <w:tcBorders>
              <w:top w:val="nil"/>
              <w:left w:val="single" w:sz="4" w:space="0" w:color="auto"/>
              <w:bottom w:val="nil"/>
              <w:right w:val="nil"/>
            </w:tcBorders>
            <w:vAlign w:val="center"/>
            <w:hideMark/>
          </w:tcPr>
          <w:p w14:paraId="78E45FAC"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6C3742CA"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F0A4296" w14:textId="77777777" w:rsidR="00007A97" w:rsidRPr="00007A97" w:rsidRDefault="00007A97" w:rsidP="00007A97">
            <w:pPr>
              <w:jc w:val="center"/>
              <w:rPr>
                <w:rFonts w:ascii="Times New Roman" w:hAnsi="Times New Roman"/>
                <w:lang w:eastAsia="ko-KR"/>
              </w:rPr>
            </w:pPr>
          </w:p>
        </w:tc>
      </w:tr>
      <w:tr w:rsidR="00F41C4E" w:rsidRPr="00007A97" w14:paraId="15F153AA" w14:textId="77777777" w:rsidTr="00F41C4E">
        <w:trPr>
          <w:trHeight w:val="285"/>
        </w:trPr>
        <w:tc>
          <w:tcPr>
            <w:tcW w:w="352" w:type="pct"/>
            <w:tcBorders>
              <w:top w:val="nil"/>
              <w:left w:val="single" w:sz="4" w:space="0" w:color="auto"/>
              <w:bottom w:val="nil"/>
              <w:right w:val="nil"/>
            </w:tcBorders>
            <w:noWrap/>
            <w:vAlign w:val="center"/>
            <w:hideMark/>
          </w:tcPr>
          <w:p w14:paraId="5FBFA32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5E29B88"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(i) nil</w:t>
            </w:r>
          </w:p>
        </w:tc>
        <w:tc>
          <w:tcPr>
            <w:tcW w:w="617" w:type="pct"/>
            <w:tcBorders>
              <w:top w:val="nil"/>
              <w:left w:val="single" w:sz="4" w:space="0" w:color="auto"/>
              <w:bottom w:val="nil"/>
              <w:right w:val="nil"/>
            </w:tcBorders>
            <w:vAlign w:val="center"/>
            <w:hideMark/>
          </w:tcPr>
          <w:p w14:paraId="7175891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3,461.8</w:t>
            </w:r>
          </w:p>
        </w:tc>
        <w:tc>
          <w:tcPr>
            <w:tcW w:w="616" w:type="pct"/>
            <w:tcBorders>
              <w:top w:val="nil"/>
              <w:left w:val="nil"/>
              <w:bottom w:val="nil"/>
              <w:right w:val="nil"/>
            </w:tcBorders>
            <w:vAlign w:val="center"/>
            <w:hideMark/>
          </w:tcPr>
          <w:p w14:paraId="451A468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1,142.4</w:t>
            </w:r>
          </w:p>
        </w:tc>
        <w:tc>
          <w:tcPr>
            <w:tcW w:w="615" w:type="pct"/>
            <w:tcBorders>
              <w:top w:val="nil"/>
              <w:left w:val="nil"/>
              <w:bottom w:val="nil"/>
              <w:right w:val="single" w:sz="4" w:space="0" w:color="auto"/>
            </w:tcBorders>
            <w:vAlign w:val="center"/>
            <w:hideMark/>
          </w:tcPr>
          <w:p w14:paraId="1C0F670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380.8</w:t>
            </w:r>
          </w:p>
        </w:tc>
      </w:tr>
      <w:tr w:rsidR="00F41C4E" w:rsidRPr="00007A97" w14:paraId="2502591F" w14:textId="77777777" w:rsidTr="00F41C4E">
        <w:trPr>
          <w:trHeight w:val="285"/>
        </w:trPr>
        <w:tc>
          <w:tcPr>
            <w:tcW w:w="352" w:type="pct"/>
            <w:tcBorders>
              <w:top w:val="nil"/>
              <w:left w:val="single" w:sz="4" w:space="0" w:color="auto"/>
              <w:bottom w:val="nil"/>
              <w:right w:val="nil"/>
            </w:tcBorders>
            <w:noWrap/>
            <w:vAlign w:val="center"/>
            <w:hideMark/>
          </w:tcPr>
          <w:p w14:paraId="6623507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3D399EF"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(ii) more than nil but is not more than $1 million</w:t>
            </w:r>
          </w:p>
        </w:tc>
        <w:tc>
          <w:tcPr>
            <w:tcW w:w="617" w:type="pct"/>
            <w:tcBorders>
              <w:top w:val="nil"/>
              <w:left w:val="single" w:sz="4" w:space="0" w:color="auto"/>
              <w:bottom w:val="nil"/>
              <w:right w:val="nil"/>
            </w:tcBorders>
            <w:vAlign w:val="center"/>
            <w:hideMark/>
          </w:tcPr>
          <w:p w14:paraId="17C54D7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2,931.6</w:t>
            </w:r>
          </w:p>
        </w:tc>
        <w:tc>
          <w:tcPr>
            <w:tcW w:w="616" w:type="pct"/>
            <w:tcBorders>
              <w:top w:val="nil"/>
              <w:left w:val="nil"/>
              <w:bottom w:val="nil"/>
              <w:right w:val="nil"/>
            </w:tcBorders>
            <w:vAlign w:val="center"/>
            <w:hideMark/>
          </w:tcPr>
          <w:p w14:paraId="073916B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967.4</w:t>
            </w:r>
          </w:p>
        </w:tc>
        <w:tc>
          <w:tcPr>
            <w:tcW w:w="615" w:type="pct"/>
            <w:tcBorders>
              <w:top w:val="nil"/>
              <w:left w:val="nil"/>
              <w:bottom w:val="nil"/>
              <w:right w:val="single" w:sz="4" w:space="0" w:color="auto"/>
            </w:tcBorders>
            <w:vAlign w:val="center"/>
            <w:hideMark/>
          </w:tcPr>
          <w:p w14:paraId="3429071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322.5</w:t>
            </w:r>
          </w:p>
        </w:tc>
      </w:tr>
      <w:tr w:rsidR="00F41C4E" w:rsidRPr="00007A97" w14:paraId="1B6137F6" w14:textId="77777777" w:rsidTr="00F41C4E">
        <w:trPr>
          <w:trHeight w:val="285"/>
        </w:trPr>
        <w:tc>
          <w:tcPr>
            <w:tcW w:w="352" w:type="pct"/>
            <w:tcBorders>
              <w:top w:val="nil"/>
              <w:left w:val="single" w:sz="4" w:space="0" w:color="auto"/>
              <w:bottom w:val="nil"/>
              <w:right w:val="nil"/>
            </w:tcBorders>
            <w:noWrap/>
            <w:vAlign w:val="center"/>
            <w:hideMark/>
          </w:tcPr>
          <w:p w14:paraId="6621CA9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965AB8B"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(iii) more than $1 million but is not more than $5 million</w:t>
            </w:r>
          </w:p>
        </w:tc>
        <w:tc>
          <w:tcPr>
            <w:tcW w:w="617" w:type="pct"/>
            <w:tcBorders>
              <w:top w:val="nil"/>
              <w:left w:val="single" w:sz="4" w:space="0" w:color="auto"/>
              <w:bottom w:val="nil"/>
              <w:right w:val="nil"/>
            </w:tcBorders>
            <w:vAlign w:val="center"/>
            <w:hideMark/>
          </w:tcPr>
          <w:p w14:paraId="0C72BF2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3,461.8</w:t>
            </w:r>
          </w:p>
        </w:tc>
        <w:tc>
          <w:tcPr>
            <w:tcW w:w="616" w:type="pct"/>
            <w:tcBorders>
              <w:top w:val="nil"/>
              <w:left w:val="nil"/>
              <w:bottom w:val="nil"/>
              <w:right w:val="nil"/>
            </w:tcBorders>
            <w:vAlign w:val="center"/>
            <w:hideMark/>
          </w:tcPr>
          <w:p w14:paraId="291CE65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1,142.4</w:t>
            </w:r>
          </w:p>
        </w:tc>
        <w:tc>
          <w:tcPr>
            <w:tcW w:w="615" w:type="pct"/>
            <w:tcBorders>
              <w:top w:val="nil"/>
              <w:left w:val="nil"/>
              <w:bottom w:val="nil"/>
              <w:right w:val="single" w:sz="4" w:space="0" w:color="auto"/>
            </w:tcBorders>
            <w:vAlign w:val="center"/>
            <w:hideMark/>
          </w:tcPr>
          <w:p w14:paraId="54BE161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380.8</w:t>
            </w:r>
          </w:p>
        </w:tc>
      </w:tr>
      <w:tr w:rsidR="00F41C4E" w:rsidRPr="00007A97" w14:paraId="6F500D7B" w14:textId="77777777" w:rsidTr="00F41C4E">
        <w:trPr>
          <w:trHeight w:val="285"/>
        </w:trPr>
        <w:tc>
          <w:tcPr>
            <w:tcW w:w="352" w:type="pct"/>
            <w:tcBorders>
              <w:top w:val="nil"/>
              <w:left w:val="single" w:sz="4" w:space="0" w:color="auto"/>
              <w:bottom w:val="nil"/>
              <w:right w:val="nil"/>
            </w:tcBorders>
            <w:noWrap/>
            <w:vAlign w:val="center"/>
            <w:hideMark/>
          </w:tcPr>
          <w:p w14:paraId="7BAC8B2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2563D04E"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(iv) more than $5 million but is not more than $15 million</w:t>
            </w:r>
          </w:p>
        </w:tc>
        <w:tc>
          <w:tcPr>
            <w:tcW w:w="617" w:type="pct"/>
            <w:tcBorders>
              <w:top w:val="nil"/>
              <w:left w:val="single" w:sz="4" w:space="0" w:color="auto"/>
              <w:bottom w:val="nil"/>
              <w:right w:val="nil"/>
            </w:tcBorders>
            <w:vAlign w:val="center"/>
            <w:hideMark/>
          </w:tcPr>
          <w:p w14:paraId="013B188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4,335.0</w:t>
            </w:r>
          </w:p>
        </w:tc>
        <w:tc>
          <w:tcPr>
            <w:tcW w:w="616" w:type="pct"/>
            <w:tcBorders>
              <w:top w:val="nil"/>
              <w:left w:val="nil"/>
              <w:bottom w:val="nil"/>
              <w:right w:val="nil"/>
            </w:tcBorders>
            <w:vAlign w:val="center"/>
            <w:hideMark/>
          </w:tcPr>
          <w:p w14:paraId="5328C4D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1,430.6</w:t>
            </w:r>
          </w:p>
        </w:tc>
        <w:tc>
          <w:tcPr>
            <w:tcW w:w="615" w:type="pct"/>
            <w:tcBorders>
              <w:top w:val="nil"/>
              <w:left w:val="nil"/>
              <w:bottom w:val="nil"/>
              <w:right w:val="single" w:sz="4" w:space="0" w:color="auto"/>
            </w:tcBorders>
            <w:vAlign w:val="center"/>
            <w:hideMark/>
          </w:tcPr>
          <w:p w14:paraId="5E15399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476.9</w:t>
            </w:r>
          </w:p>
        </w:tc>
      </w:tr>
      <w:tr w:rsidR="00F41C4E" w:rsidRPr="00007A97" w14:paraId="314518C3" w14:textId="77777777" w:rsidTr="00F41C4E">
        <w:trPr>
          <w:trHeight w:val="285"/>
        </w:trPr>
        <w:tc>
          <w:tcPr>
            <w:tcW w:w="352" w:type="pct"/>
            <w:tcBorders>
              <w:top w:val="nil"/>
              <w:left w:val="single" w:sz="4" w:space="0" w:color="auto"/>
              <w:bottom w:val="nil"/>
              <w:right w:val="nil"/>
            </w:tcBorders>
            <w:noWrap/>
            <w:vAlign w:val="center"/>
            <w:hideMark/>
          </w:tcPr>
          <w:p w14:paraId="6D22128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F2DC625"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(v) more than $15 million but is not more than $50 million</w:t>
            </w:r>
          </w:p>
        </w:tc>
        <w:tc>
          <w:tcPr>
            <w:tcW w:w="617" w:type="pct"/>
            <w:tcBorders>
              <w:top w:val="nil"/>
              <w:left w:val="single" w:sz="4" w:space="0" w:color="auto"/>
              <w:bottom w:val="nil"/>
              <w:right w:val="nil"/>
            </w:tcBorders>
            <w:vAlign w:val="center"/>
            <w:hideMark/>
          </w:tcPr>
          <w:p w14:paraId="2A17521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5,239.4</w:t>
            </w:r>
          </w:p>
        </w:tc>
        <w:tc>
          <w:tcPr>
            <w:tcW w:w="616" w:type="pct"/>
            <w:tcBorders>
              <w:top w:val="nil"/>
              <w:left w:val="nil"/>
              <w:bottom w:val="nil"/>
              <w:right w:val="nil"/>
            </w:tcBorders>
            <w:vAlign w:val="center"/>
            <w:hideMark/>
          </w:tcPr>
          <w:p w14:paraId="5BB4C4E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1,729.0</w:t>
            </w:r>
          </w:p>
        </w:tc>
        <w:tc>
          <w:tcPr>
            <w:tcW w:w="615" w:type="pct"/>
            <w:tcBorders>
              <w:top w:val="nil"/>
              <w:left w:val="nil"/>
              <w:bottom w:val="nil"/>
              <w:right w:val="single" w:sz="4" w:space="0" w:color="auto"/>
            </w:tcBorders>
            <w:vAlign w:val="center"/>
            <w:hideMark/>
          </w:tcPr>
          <w:p w14:paraId="40F27A2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576.3</w:t>
            </w:r>
          </w:p>
        </w:tc>
      </w:tr>
      <w:tr w:rsidR="00F41C4E" w:rsidRPr="00007A97" w14:paraId="694FF74C" w14:textId="77777777" w:rsidTr="00F41C4E">
        <w:trPr>
          <w:trHeight w:val="390"/>
        </w:trPr>
        <w:tc>
          <w:tcPr>
            <w:tcW w:w="352" w:type="pct"/>
            <w:tcBorders>
              <w:top w:val="nil"/>
              <w:left w:val="single" w:sz="4" w:space="0" w:color="auto"/>
              <w:bottom w:val="single" w:sz="4" w:space="0" w:color="auto"/>
              <w:right w:val="nil"/>
            </w:tcBorders>
            <w:noWrap/>
            <w:vAlign w:val="center"/>
            <w:hideMark/>
          </w:tcPr>
          <w:p w14:paraId="42D3CE9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lastRenderedPageBreak/>
              <w:t xml:space="preserve"> </w:t>
            </w:r>
          </w:p>
        </w:tc>
        <w:tc>
          <w:tcPr>
            <w:tcW w:w="2800" w:type="pct"/>
            <w:tcBorders>
              <w:top w:val="nil"/>
              <w:left w:val="single" w:sz="4" w:space="0" w:color="auto"/>
              <w:bottom w:val="nil"/>
              <w:right w:val="nil"/>
            </w:tcBorders>
            <w:vAlign w:val="center"/>
            <w:hideMark/>
          </w:tcPr>
          <w:p w14:paraId="52A8C028"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(vi) more than $50 million or is not specified</w:t>
            </w:r>
          </w:p>
        </w:tc>
        <w:tc>
          <w:tcPr>
            <w:tcW w:w="617" w:type="pct"/>
            <w:tcBorders>
              <w:top w:val="nil"/>
              <w:left w:val="single" w:sz="4" w:space="0" w:color="auto"/>
              <w:bottom w:val="nil"/>
              <w:right w:val="nil"/>
            </w:tcBorders>
            <w:vAlign w:val="center"/>
            <w:hideMark/>
          </w:tcPr>
          <w:p w14:paraId="2EE0A7C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6,081.5</w:t>
            </w:r>
          </w:p>
        </w:tc>
        <w:tc>
          <w:tcPr>
            <w:tcW w:w="616" w:type="pct"/>
            <w:tcBorders>
              <w:top w:val="nil"/>
              <w:left w:val="nil"/>
              <w:bottom w:val="nil"/>
              <w:right w:val="nil"/>
            </w:tcBorders>
            <w:vAlign w:val="center"/>
            <w:hideMark/>
          </w:tcPr>
          <w:p w14:paraId="7B926B8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2,006.9</w:t>
            </w:r>
          </w:p>
        </w:tc>
        <w:tc>
          <w:tcPr>
            <w:tcW w:w="615" w:type="pct"/>
            <w:tcBorders>
              <w:top w:val="nil"/>
              <w:left w:val="nil"/>
              <w:bottom w:val="nil"/>
              <w:right w:val="single" w:sz="4" w:space="0" w:color="auto"/>
            </w:tcBorders>
            <w:vAlign w:val="center"/>
            <w:hideMark/>
          </w:tcPr>
          <w:p w14:paraId="3B3487F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669.0</w:t>
            </w:r>
          </w:p>
        </w:tc>
      </w:tr>
      <w:tr w:rsidR="00F41C4E" w:rsidRPr="00007A97" w14:paraId="3C896D27" w14:textId="77777777" w:rsidTr="00F41C4E">
        <w:trPr>
          <w:trHeight w:val="585"/>
        </w:trPr>
        <w:tc>
          <w:tcPr>
            <w:tcW w:w="352" w:type="pct"/>
            <w:tcBorders>
              <w:top w:val="single" w:sz="4" w:space="0" w:color="auto"/>
              <w:left w:val="single" w:sz="4" w:space="0" w:color="auto"/>
              <w:bottom w:val="nil"/>
              <w:right w:val="nil"/>
            </w:tcBorders>
            <w:noWrap/>
            <w:vAlign w:val="center"/>
            <w:hideMark/>
          </w:tcPr>
          <w:p w14:paraId="3BCF1B2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w:t>
            </w:r>
          </w:p>
        </w:tc>
        <w:tc>
          <w:tcPr>
            <w:tcW w:w="2800" w:type="pct"/>
            <w:tcBorders>
              <w:top w:val="single" w:sz="4" w:space="0" w:color="auto"/>
              <w:left w:val="single" w:sz="4" w:space="0" w:color="auto"/>
              <w:bottom w:val="nil"/>
              <w:right w:val="nil"/>
            </w:tcBorders>
            <w:vAlign w:val="center"/>
            <w:hideMark/>
          </w:tcPr>
          <w:p w14:paraId="13510993"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the commencement of a proceeding under the </w:t>
            </w:r>
            <w:r w:rsidRPr="00007A97">
              <w:rPr>
                <w:rFonts w:ascii="Arial" w:hAnsi="Arial" w:cs="Arial"/>
                <w:b/>
                <w:bCs/>
                <w:color w:val="000000"/>
                <w:sz w:val="18"/>
                <w:szCs w:val="18"/>
                <w:lang w:eastAsia="ko-KR"/>
              </w:rPr>
              <w:t>Planning and Environment Act 1987</w:t>
            </w:r>
            <w:r w:rsidRPr="00007A97">
              <w:rPr>
                <w:rFonts w:ascii="Arial" w:hAnsi="Arial" w:cs="Arial"/>
                <w:color w:val="000000"/>
                <w:sz w:val="18"/>
                <w:szCs w:val="18"/>
                <w:lang w:eastAsia="ko-KR"/>
              </w:rPr>
              <w:t>, sections 87, 89 or 93</w:t>
            </w:r>
          </w:p>
        </w:tc>
        <w:tc>
          <w:tcPr>
            <w:tcW w:w="617" w:type="pct"/>
            <w:tcBorders>
              <w:top w:val="single" w:sz="4" w:space="0" w:color="auto"/>
              <w:left w:val="single" w:sz="4" w:space="0" w:color="auto"/>
              <w:bottom w:val="nil"/>
              <w:right w:val="nil"/>
            </w:tcBorders>
            <w:vAlign w:val="center"/>
            <w:hideMark/>
          </w:tcPr>
          <w:p w14:paraId="26E9098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530.2</w:t>
            </w:r>
          </w:p>
        </w:tc>
        <w:tc>
          <w:tcPr>
            <w:tcW w:w="616" w:type="pct"/>
            <w:tcBorders>
              <w:top w:val="single" w:sz="4" w:space="0" w:color="auto"/>
              <w:left w:val="nil"/>
              <w:bottom w:val="nil"/>
              <w:right w:val="nil"/>
            </w:tcBorders>
            <w:vAlign w:val="center"/>
            <w:hideMark/>
          </w:tcPr>
          <w:p w14:paraId="551FFBB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175.0</w:t>
            </w:r>
          </w:p>
        </w:tc>
        <w:tc>
          <w:tcPr>
            <w:tcW w:w="615" w:type="pct"/>
            <w:tcBorders>
              <w:top w:val="single" w:sz="4" w:space="0" w:color="auto"/>
              <w:left w:val="nil"/>
              <w:bottom w:val="nil"/>
              <w:right w:val="single" w:sz="4" w:space="0" w:color="auto"/>
            </w:tcBorders>
            <w:vAlign w:val="center"/>
            <w:hideMark/>
          </w:tcPr>
          <w:p w14:paraId="4708ED6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58.3</w:t>
            </w:r>
          </w:p>
        </w:tc>
      </w:tr>
      <w:tr w:rsidR="00F41C4E" w:rsidRPr="00007A97" w14:paraId="1B4A3713"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7F2D42F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15</w:t>
            </w:r>
          </w:p>
        </w:tc>
        <w:tc>
          <w:tcPr>
            <w:tcW w:w="2800" w:type="pct"/>
            <w:tcBorders>
              <w:top w:val="single" w:sz="4" w:space="0" w:color="auto"/>
              <w:left w:val="single" w:sz="4" w:space="0" w:color="auto"/>
              <w:bottom w:val="nil"/>
              <w:right w:val="nil"/>
            </w:tcBorders>
            <w:vAlign w:val="center"/>
            <w:hideMark/>
          </w:tcPr>
          <w:p w14:paraId="066FCB3D"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commencement of a proceeding that is a major case and relates to a development having an estimated cost of—</w:t>
            </w:r>
          </w:p>
        </w:tc>
        <w:tc>
          <w:tcPr>
            <w:tcW w:w="617" w:type="pct"/>
            <w:tcBorders>
              <w:top w:val="single" w:sz="4" w:space="0" w:color="auto"/>
              <w:left w:val="single" w:sz="4" w:space="0" w:color="auto"/>
              <w:bottom w:val="nil"/>
              <w:right w:val="nil"/>
            </w:tcBorders>
            <w:vAlign w:val="center"/>
            <w:hideMark/>
          </w:tcPr>
          <w:p w14:paraId="09D4A939"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3E6C9CD0"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67C8BEBD" w14:textId="77777777" w:rsidR="00007A97" w:rsidRPr="00007A97" w:rsidRDefault="00007A97" w:rsidP="00007A97">
            <w:pPr>
              <w:jc w:val="center"/>
              <w:rPr>
                <w:rFonts w:ascii="Times New Roman" w:hAnsi="Times New Roman"/>
                <w:lang w:eastAsia="ko-KR"/>
              </w:rPr>
            </w:pPr>
          </w:p>
        </w:tc>
      </w:tr>
      <w:tr w:rsidR="00F41C4E" w:rsidRPr="00007A97" w14:paraId="1DD22A0F" w14:textId="77777777" w:rsidTr="00F41C4E">
        <w:trPr>
          <w:trHeight w:val="285"/>
        </w:trPr>
        <w:tc>
          <w:tcPr>
            <w:tcW w:w="352" w:type="pct"/>
            <w:tcBorders>
              <w:top w:val="nil"/>
              <w:left w:val="single" w:sz="4" w:space="0" w:color="auto"/>
              <w:bottom w:val="nil"/>
              <w:right w:val="nil"/>
            </w:tcBorders>
            <w:noWrap/>
            <w:vAlign w:val="center"/>
            <w:hideMark/>
          </w:tcPr>
          <w:p w14:paraId="092F824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EA5EEB3"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(a) nil</w:t>
            </w:r>
          </w:p>
        </w:tc>
        <w:tc>
          <w:tcPr>
            <w:tcW w:w="617" w:type="pct"/>
            <w:tcBorders>
              <w:top w:val="nil"/>
              <w:left w:val="single" w:sz="4" w:space="0" w:color="auto"/>
              <w:bottom w:val="nil"/>
              <w:right w:val="nil"/>
            </w:tcBorders>
            <w:vAlign w:val="center"/>
            <w:hideMark/>
          </w:tcPr>
          <w:p w14:paraId="3EC3547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6,954.7</w:t>
            </w:r>
          </w:p>
        </w:tc>
        <w:tc>
          <w:tcPr>
            <w:tcW w:w="616" w:type="pct"/>
            <w:tcBorders>
              <w:top w:val="nil"/>
              <w:left w:val="nil"/>
              <w:bottom w:val="nil"/>
              <w:right w:val="nil"/>
            </w:tcBorders>
            <w:vAlign w:val="center"/>
            <w:hideMark/>
          </w:tcPr>
          <w:p w14:paraId="668C5AC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6,954.7</w:t>
            </w:r>
          </w:p>
        </w:tc>
        <w:tc>
          <w:tcPr>
            <w:tcW w:w="615" w:type="pct"/>
            <w:tcBorders>
              <w:top w:val="nil"/>
              <w:left w:val="nil"/>
              <w:bottom w:val="nil"/>
              <w:right w:val="single" w:sz="4" w:space="0" w:color="auto"/>
            </w:tcBorders>
            <w:vAlign w:val="center"/>
            <w:hideMark/>
          </w:tcPr>
          <w:p w14:paraId="318386A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6,954.7</w:t>
            </w:r>
          </w:p>
        </w:tc>
      </w:tr>
      <w:tr w:rsidR="00F41C4E" w:rsidRPr="00007A97" w14:paraId="16E6B378" w14:textId="77777777" w:rsidTr="00F41C4E">
        <w:trPr>
          <w:trHeight w:val="285"/>
        </w:trPr>
        <w:tc>
          <w:tcPr>
            <w:tcW w:w="352" w:type="pct"/>
            <w:tcBorders>
              <w:top w:val="nil"/>
              <w:left w:val="single" w:sz="4" w:space="0" w:color="auto"/>
              <w:bottom w:val="nil"/>
              <w:right w:val="nil"/>
            </w:tcBorders>
            <w:noWrap/>
            <w:vAlign w:val="center"/>
            <w:hideMark/>
          </w:tcPr>
          <w:p w14:paraId="22A4566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5941FF7"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(b) more than nil but not more than $1 million</w:t>
            </w:r>
          </w:p>
        </w:tc>
        <w:tc>
          <w:tcPr>
            <w:tcW w:w="617" w:type="pct"/>
            <w:tcBorders>
              <w:top w:val="nil"/>
              <w:left w:val="single" w:sz="4" w:space="0" w:color="auto"/>
              <w:bottom w:val="nil"/>
              <w:right w:val="nil"/>
            </w:tcBorders>
            <w:vAlign w:val="center"/>
            <w:hideMark/>
          </w:tcPr>
          <w:p w14:paraId="6E9AF91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6,424.5</w:t>
            </w:r>
          </w:p>
        </w:tc>
        <w:tc>
          <w:tcPr>
            <w:tcW w:w="616" w:type="pct"/>
            <w:tcBorders>
              <w:top w:val="nil"/>
              <w:left w:val="nil"/>
              <w:bottom w:val="nil"/>
              <w:right w:val="nil"/>
            </w:tcBorders>
            <w:vAlign w:val="center"/>
            <w:hideMark/>
          </w:tcPr>
          <w:p w14:paraId="4A5276D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6,424.5</w:t>
            </w:r>
          </w:p>
        </w:tc>
        <w:tc>
          <w:tcPr>
            <w:tcW w:w="615" w:type="pct"/>
            <w:tcBorders>
              <w:top w:val="nil"/>
              <w:left w:val="nil"/>
              <w:bottom w:val="nil"/>
              <w:right w:val="single" w:sz="4" w:space="0" w:color="auto"/>
            </w:tcBorders>
            <w:vAlign w:val="center"/>
            <w:hideMark/>
          </w:tcPr>
          <w:p w14:paraId="58A6ED3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6,424.5</w:t>
            </w:r>
          </w:p>
        </w:tc>
      </w:tr>
      <w:tr w:rsidR="00F41C4E" w:rsidRPr="00007A97" w14:paraId="1A956A17" w14:textId="77777777" w:rsidTr="00F41C4E">
        <w:trPr>
          <w:trHeight w:val="285"/>
        </w:trPr>
        <w:tc>
          <w:tcPr>
            <w:tcW w:w="352" w:type="pct"/>
            <w:tcBorders>
              <w:top w:val="nil"/>
              <w:left w:val="single" w:sz="4" w:space="0" w:color="auto"/>
              <w:bottom w:val="nil"/>
              <w:right w:val="nil"/>
            </w:tcBorders>
            <w:noWrap/>
            <w:vAlign w:val="center"/>
            <w:hideMark/>
          </w:tcPr>
          <w:p w14:paraId="2B7FB25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CE8E8AD"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(c) more than $1 million but not more than $5 million</w:t>
            </w:r>
          </w:p>
        </w:tc>
        <w:tc>
          <w:tcPr>
            <w:tcW w:w="617" w:type="pct"/>
            <w:tcBorders>
              <w:top w:val="nil"/>
              <w:left w:val="single" w:sz="4" w:space="0" w:color="auto"/>
              <w:bottom w:val="nil"/>
              <w:right w:val="nil"/>
            </w:tcBorders>
            <w:vAlign w:val="center"/>
            <w:hideMark/>
          </w:tcPr>
          <w:p w14:paraId="6E331C7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6,954.7</w:t>
            </w:r>
          </w:p>
        </w:tc>
        <w:tc>
          <w:tcPr>
            <w:tcW w:w="616" w:type="pct"/>
            <w:tcBorders>
              <w:top w:val="nil"/>
              <w:left w:val="nil"/>
              <w:bottom w:val="nil"/>
              <w:right w:val="nil"/>
            </w:tcBorders>
            <w:vAlign w:val="center"/>
            <w:hideMark/>
          </w:tcPr>
          <w:p w14:paraId="39D82FD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6,954.7</w:t>
            </w:r>
          </w:p>
        </w:tc>
        <w:tc>
          <w:tcPr>
            <w:tcW w:w="615" w:type="pct"/>
            <w:tcBorders>
              <w:top w:val="nil"/>
              <w:left w:val="nil"/>
              <w:bottom w:val="nil"/>
              <w:right w:val="single" w:sz="4" w:space="0" w:color="auto"/>
            </w:tcBorders>
            <w:vAlign w:val="center"/>
            <w:hideMark/>
          </w:tcPr>
          <w:p w14:paraId="35AF211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6,954.7</w:t>
            </w:r>
          </w:p>
        </w:tc>
      </w:tr>
      <w:tr w:rsidR="00F41C4E" w:rsidRPr="00007A97" w14:paraId="7F6F51EE" w14:textId="77777777" w:rsidTr="00F41C4E">
        <w:trPr>
          <w:trHeight w:val="285"/>
        </w:trPr>
        <w:tc>
          <w:tcPr>
            <w:tcW w:w="352" w:type="pct"/>
            <w:tcBorders>
              <w:top w:val="nil"/>
              <w:left w:val="single" w:sz="4" w:space="0" w:color="auto"/>
              <w:bottom w:val="nil"/>
              <w:right w:val="nil"/>
            </w:tcBorders>
            <w:noWrap/>
            <w:vAlign w:val="center"/>
            <w:hideMark/>
          </w:tcPr>
          <w:p w14:paraId="7113BC0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D228523"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(d) more than $5 million but not more than $15 million</w:t>
            </w:r>
          </w:p>
        </w:tc>
        <w:tc>
          <w:tcPr>
            <w:tcW w:w="617" w:type="pct"/>
            <w:tcBorders>
              <w:top w:val="nil"/>
              <w:left w:val="single" w:sz="4" w:space="0" w:color="auto"/>
              <w:bottom w:val="nil"/>
              <w:right w:val="nil"/>
            </w:tcBorders>
            <w:vAlign w:val="center"/>
            <w:hideMark/>
          </w:tcPr>
          <w:p w14:paraId="505A429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7,828.0</w:t>
            </w:r>
          </w:p>
        </w:tc>
        <w:tc>
          <w:tcPr>
            <w:tcW w:w="616" w:type="pct"/>
            <w:tcBorders>
              <w:top w:val="nil"/>
              <w:left w:val="nil"/>
              <w:bottom w:val="nil"/>
              <w:right w:val="nil"/>
            </w:tcBorders>
            <w:vAlign w:val="center"/>
            <w:hideMark/>
          </w:tcPr>
          <w:p w14:paraId="31B9818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7,828.0</w:t>
            </w:r>
          </w:p>
        </w:tc>
        <w:tc>
          <w:tcPr>
            <w:tcW w:w="615" w:type="pct"/>
            <w:tcBorders>
              <w:top w:val="nil"/>
              <w:left w:val="nil"/>
              <w:bottom w:val="nil"/>
              <w:right w:val="single" w:sz="4" w:space="0" w:color="auto"/>
            </w:tcBorders>
            <w:vAlign w:val="center"/>
            <w:hideMark/>
          </w:tcPr>
          <w:p w14:paraId="34AA2C3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7,828.0</w:t>
            </w:r>
          </w:p>
        </w:tc>
      </w:tr>
      <w:tr w:rsidR="00F41C4E" w:rsidRPr="00007A97" w14:paraId="1E05BF1D" w14:textId="77777777" w:rsidTr="00F41C4E">
        <w:trPr>
          <w:trHeight w:val="285"/>
        </w:trPr>
        <w:tc>
          <w:tcPr>
            <w:tcW w:w="352" w:type="pct"/>
            <w:tcBorders>
              <w:top w:val="nil"/>
              <w:left w:val="single" w:sz="4" w:space="0" w:color="auto"/>
              <w:bottom w:val="nil"/>
              <w:right w:val="nil"/>
            </w:tcBorders>
            <w:noWrap/>
            <w:vAlign w:val="center"/>
            <w:hideMark/>
          </w:tcPr>
          <w:p w14:paraId="6CA725B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3600E31"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(e) more than $15 million but not more than $50 million</w:t>
            </w:r>
          </w:p>
        </w:tc>
        <w:tc>
          <w:tcPr>
            <w:tcW w:w="617" w:type="pct"/>
            <w:tcBorders>
              <w:top w:val="nil"/>
              <w:left w:val="single" w:sz="4" w:space="0" w:color="auto"/>
              <w:bottom w:val="nil"/>
              <w:right w:val="nil"/>
            </w:tcBorders>
            <w:vAlign w:val="center"/>
            <w:hideMark/>
          </w:tcPr>
          <w:p w14:paraId="770D46B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8,701.2</w:t>
            </w:r>
          </w:p>
        </w:tc>
        <w:tc>
          <w:tcPr>
            <w:tcW w:w="616" w:type="pct"/>
            <w:tcBorders>
              <w:top w:val="nil"/>
              <w:left w:val="nil"/>
              <w:bottom w:val="nil"/>
              <w:right w:val="nil"/>
            </w:tcBorders>
            <w:vAlign w:val="center"/>
            <w:hideMark/>
          </w:tcPr>
          <w:p w14:paraId="535FB1C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8,701.2</w:t>
            </w:r>
          </w:p>
        </w:tc>
        <w:tc>
          <w:tcPr>
            <w:tcW w:w="615" w:type="pct"/>
            <w:tcBorders>
              <w:top w:val="nil"/>
              <w:left w:val="nil"/>
              <w:bottom w:val="nil"/>
              <w:right w:val="single" w:sz="4" w:space="0" w:color="auto"/>
            </w:tcBorders>
            <w:vAlign w:val="center"/>
            <w:hideMark/>
          </w:tcPr>
          <w:p w14:paraId="1934EA1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8,701.2</w:t>
            </w:r>
          </w:p>
        </w:tc>
      </w:tr>
      <w:tr w:rsidR="00F41C4E" w:rsidRPr="00007A97" w14:paraId="6D0173E5" w14:textId="77777777" w:rsidTr="00F41C4E">
        <w:trPr>
          <w:trHeight w:val="285"/>
        </w:trPr>
        <w:tc>
          <w:tcPr>
            <w:tcW w:w="352" w:type="pct"/>
            <w:tcBorders>
              <w:top w:val="nil"/>
              <w:left w:val="single" w:sz="4" w:space="0" w:color="auto"/>
              <w:bottom w:val="nil"/>
              <w:right w:val="nil"/>
            </w:tcBorders>
            <w:noWrap/>
            <w:vAlign w:val="center"/>
            <w:hideMark/>
          </w:tcPr>
          <w:p w14:paraId="5D8182F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C89355C"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(f) more than $50 million or is not specified</w:t>
            </w:r>
          </w:p>
        </w:tc>
        <w:tc>
          <w:tcPr>
            <w:tcW w:w="617" w:type="pct"/>
            <w:tcBorders>
              <w:top w:val="nil"/>
              <w:left w:val="single" w:sz="4" w:space="0" w:color="auto"/>
              <w:bottom w:val="nil"/>
              <w:right w:val="nil"/>
            </w:tcBorders>
            <w:vAlign w:val="center"/>
            <w:hideMark/>
          </w:tcPr>
          <w:p w14:paraId="46D0F42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9,574.4</w:t>
            </w:r>
          </w:p>
        </w:tc>
        <w:tc>
          <w:tcPr>
            <w:tcW w:w="616" w:type="pct"/>
            <w:tcBorders>
              <w:top w:val="nil"/>
              <w:left w:val="nil"/>
              <w:bottom w:val="nil"/>
              <w:right w:val="nil"/>
            </w:tcBorders>
            <w:vAlign w:val="center"/>
            <w:hideMark/>
          </w:tcPr>
          <w:p w14:paraId="5933149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9,574.4</w:t>
            </w:r>
          </w:p>
        </w:tc>
        <w:tc>
          <w:tcPr>
            <w:tcW w:w="615" w:type="pct"/>
            <w:tcBorders>
              <w:top w:val="nil"/>
              <w:left w:val="nil"/>
              <w:bottom w:val="nil"/>
              <w:right w:val="single" w:sz="4" w:space="0" w:color="auto"/>
            </w:tcBorders>
            <w:vAlign w:val="center"/>
            <w:hideMark/>
          </w:tcPr>
          <w:p w14:paraId="17A9ED4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9,574.4</w:t>
            </w:r>
          </w:p>
        </w:tc>
      </w:tr>
      <w:tr w:rsidR="00F41C4E" w:rsidRPr="00007A97" w14:paraId="5FFF77A3" w14:textId="77777777" w:rsidTr="00F41C4E">
        <w:trPr>
          <w:trHeight w:val="660"/>
        </w:trPr>
        <w:tc>
          <w:tcPr>
            <w:tcW w:w="352" w:type="pct"/>
            <w:tcBorders>
              <w:top w:val="single" w:sz="4" w:space="0" w:color="auto"/>
              <w:left w:val="single" w:sz="4" w:space="0" w:color="auto"/>
              <w:bottom w:val="single" w:sz="4" w:space="0" w:color="auto"/>
              <w:right w:val="nil"/>
            </w:tcBorders>
            <w:noWrap/>
            <w:vAlign w:val="center"/>
            <w:hideMark/>
          </w:tcPr>
          <w:p w14:paraId="6BC7F89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16</w:t>
            </w:r>
          </w:p>
        </w:tc>
        <w:tc>
          <w:tcPr>
            <w:tcW w:w="2800" w:type="pct"/>
            <w:tcBorders>
              <w:top w:val="single" w:sz="4" w:space="0" w:color="auto"/>
              <w:left w:val="single" w:sz="4" w:space="0" w:color="auto"/>
              <w:bottom w:val="single" w:sz="4" w:space="0" w:color="auto"/>
              <w:right w:val="nil"/>
            </w:tcBorders>
            <w:vAlign w:val="center"/>
            <w:hideMark/>
          </w:tcPr>
          <w:p w14:paraId="7199E345"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the commencement of a proceeding under any provision of the </w:t>
            </w:r>
            <w:r w:rsidRPr="00007A97">
              <w:rPr>
                <w:rFonts w:ascii="Arial" w:hAnsi="Arial" w:cs="Arial"/>
                <w:b/>
                <w:bCs/>
                <w:color w:val="000000"/>
                <w:sz w:val="18"/>
                <w:szCs w:val="18"/>
                <w:lang w:eastAsia="ko-KR"/>
              </w:rPr>
              <w:t xml:space="preserve">Planning and Environment Act 1987 </w:t>
            </w:r>
            <w:r w:rsidRPr="00007A97">
              <w:rPr>
                <w:rFonts w:ascii="Arial" w:hAnsi="Arial" w:cs="Arial"/>
                <w:color w:val="000000"/>
                <w:sz w:val="18"/>
                <w:szCs w:val="18"/>
                <w:lang w:eastAsia="ko-KR"/>
              </w:rPr>
              <w:t>or</w:t>
            </w:r>
            <w:r w:rsidRPr="00007A97">
              <w:rPr>
                <w:rFonts w:ascii="Arial" w:hAnsi="Arial" w:cs="Arial"/>
                <w:b/>
                <w:bCs/>
                <w:color w:val="000000"/>
                <w:sz w:val="18"/>
                <w:szCs w:val="18"/>
                <w:lang w:eastAsia="ko-KR"/>
              </w:rPr>
              <w:t xml:space="preserve"> </w:t>
            </w:r>
            <w:r w:rsidRPr="00007A97">
              <w:rPr>
                <w:rFonts w:ascii="Arial" w:hAnsi="Arial" w:cs="Arial"/>
                <w:color w:val="000000"/>
                <w:sz w:val="18"/>
                <w:szCs w:val="18"/>
                <w:lang w:eastAsia="ko-KR"/>
              </w:rPr>
              <w:t xml:space="preserve">the </w:t>
            </w:r>
            <w:r w:rsidRPr="00007A97">
              <w:rPr>
                <w:rFonts w:ascii="Arial" w:hAnsi="Arial" w:cs="Arial"/>
                <w:b/>
                <w:bCs/>
                <w:color w:val="000000"/>
                <w:sz w:val="18"/>
                <w:szCs w:val="18"/>
                <w:lang w:eastAsia="ko-KR"/>
              </w:rPr>
              <w:t xml:space="preserve">Environment Protection Act 2017 </w:t>
            </w:r>
            <w:r w:rsidRPr="00007A97">
              <w:rPr>
                <w:rFonts w:ascii="Arial" w:hAnsi="Arial" w:cs="Arial"/>
                <w:color w:val="000000"/>
                <w:sz w:val="18"/>
                <w:szCs w:val="18"/>
                <w:lang w:eastAsia="ko-KR"/>
              </w:rPr>
              <w:t>not otherwise specified in this Part</w:t>
            </w:r>
          </w:p>
        </w:tc>
        <w:tc>
          <w:tcPr>
            <w:tcW w:w="617" w:type="pct"/>
            <w:tcBorders>
              <w:top w:val="single" w:sz="4" w:space="0" w:color="auto"/>
              <w:left w:val="single" w:sz="4" w:space="0" w:color="auto"/>
              <w:bottom w:val="single" w:sz="4" w:space="0" w:color="auto"/>
              <w:right w:val="nil"/>
            </w:tcBorders>
            <w:vAlign w:val="center"/>
            <w:hideMark/>
          </w:tcPr>
          <w:p w14:paraId="37B0C37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2,619.7</w:t>
            </w:r>
          </w:p>
        </w:tc>
        <w:tc>
          <w:tcPr>
            <w:tcW w:w="616" w:type="pct"/>
            <w:tcBorders>
              <w:top w:val="single" w:sz="4" w:space="0" w:color="auto"/>
              <w:left w:val="nil"/>
              <w:bottom w:val="single" w:sz="4" w:space="0" w:color="auto"/>
              <w:right w:val="nil"/>
            </w:tcBorders>
            <w:vAlign w:val="center"/>
            <w:hideMark/>
          </w:tcPr>
          <w:p w14:paraId="1348117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864.5</w:t>
            </w:r>
          </w:p>
        </w:tc>
        <w:tc>
          <w:tcPr>
            <w:tcW w:w="615" w:type="pct"/>
            <w:tcBorders>
              <w:top w:val="single" w:sz="4" w:space="0" w:color="auto"/>
              <w:left w:val="nil"/>
              <w:bottom w:val="single" w:sz="4" w:space="0" w:color="auto"/>
              <w:right w:val="single" w:sz="4" w:space="0" w:color="auto"/>
            </w:tcBorders>
            <w:vAlign w:val="center"/>
            <w:hideMark/>
          </w:tcPr>
          <w:p w14:paraId="4ED1C1A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288.2</w:t>
            </w:r>
          </w:p>
        </w:tc>
      </w:tr>
      <w:tr w:rsidR="00F41C4E" w:rsidRPr="00007A97" w14:paraId="345FC5A7" w14:textId="77777777" w:rsidTr="00F41C4E">
        <w:trPr>
          <w:trHeight w:val="510"/>
        </w:trPr>
        <w:tc>
          <w:tcPr>
            <w:tcW w:w="352" w:type="pct"/>
            <w:tcBorders>
              <w:top w:val="single" w:sz="4" w:space="0" w:color="auto"/>
              <w:left w:val="single" w:sz="4" w:space="0" w:color="auto"/>
              <w:bottom w:val="single" w:sz="4" w:space="0" w:color="auto"/>
              <w:right w:val="nil"/>
            </w:tcBorders>
            <w:noWrap/>
            <w:vAlign w:val="center"/>
            <w:hideMark/>
          </w:tcPr>
          <w:p w14:paraId="669DA31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17</w:t>
            </w:r>
          </w:p>
        </w:tc>
        <w:tc>
          <w:tcPr>
            <w:tcW w:w="2800" w:type="pct"/>
            <w:tcBorders>
              <w:top w:val="single" w:sz="4" w:space="0" w:color="auto"/>
              <w:left w:val="single" w:sz="4" w:space="0" w:color="auto"/>
              <w:bottom w:val="single" w:sz="4" w:space="0" w:color="auto"/>
              <w:right w:val="nil"/>
            </w:tcBorders>
            <w:vAlign w:val="center"/>
            <w:hideMark/>
          </w:tcPr>
          <w:p w14:paraId="4886CBBA"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commencement of a proceeding under any enabling enactment not otherwise specified in this Part</w:t>
            </w:r>
          </w:p>
        </w:tc>
        <w:tc>
          <w:tcPr>
            <w:tcW w:w="617" w:type="pct"/>
            <w:tcBorders>
              <w:top w:val="single" w:sz="4" w:space="0" w:color="auto"/>
              <w:left w:val="single" w:sz="4" w:space="0" w:color="auto"/>
              <w:bottom w:val="single" w:sz="4" w:space="0" w:color="auto"/>
              <w:right w:val="nil"/>
            </w:tcBorders>
            <w:vAlign w:val="center"/>
            <w:hideMark/>
          </w:tcPr>
          <w:p w14:paraId="764269A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1,996.0</w:t>
            </w:r>
          </w:p>
        </w:tc>
        <w:tc>
          <w:tcPr>
            <w:tcW w:w="616" w:type="pct"/>
            <w:tcBorders>
              <w:top w:val="single" w:sz="4" w:space="0" w:color="auto"/>
              <w:left w:val="nil"/>
              <w:bottom w:val="single" w:sz="4" w:space="0" w:color="auto"/>
              <w:right w:val="nil"/>
            </w:tcBorders>
            <w:vAlign w:val="center"/>
            <w:hideMark/>
          </w:tcPr>
          <w:p w14:paraId="6CDBDF4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658.7</w:t>
            </w:r>
          </w:p>
        </w:tc>
        <w:tc>
          <w:tcPr>
            <w:tcW w:w="615" w:type="pct"/>
            <w:tcBorders>
              <w:top w:val="single" w:sz="4" w:space="0" w:color="auto"/>
              <w:left w:val="nil"/>
              <w:bottom w:val="single" w:sz="4" w:space="0" w:color="auto"/>
              <w:right w:val="single" w:sz="4" w:space="0" w:color="auto"/>
            </w:tcBorders>
            <w:vAlign w:val="center"/>
            <w:hideMark/>
          </w:tcPr>
          <w:p w14:paraId="4A121FE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219.6</w:t>
            </w:r>
          </w:p>
        </w:tc>
      </w:tr>
      <w:tr w:rsidR="009B659C" w:rsidRPr="00007A97" w14:paraId="6E548B5D" w14:textId="77777777" w:rsidTr="009B659C">
        <w:trPr>
          <w:trHeight w:val="282"/>
        </w:trPr>
        <w:tc>
          <w:tcPr>
            <w:tcW w:w="5000" w:type="pct"/>
            <w:gridSpan w:val="5"/>
            <w:tcBorders>
              <w:top w:val="single" w:sz="4" w:space="0" w:color="auto"/>
              <w:left w:val="single" w:sz="4" w:space="0" w:color="auto"/>
              <w:bottom w:val="nil"/>
              <w:right w:val="single" w:sz="4" w:space="0" w:color="auto"/>
            </w:tcBorders>
            <w:shd w:val="clear" w:color="000000" w:fill="F2F2F2"/>
            <w:noWrap/>
            <w:vAlign w:val="center"/>
            <w:hideMark/>
          </w:tcPr>
          <w:p w14:paraId="7AF04358" w14:textId="42D84EFA" w:rsidR="009B659C" w:rsidRPr="009B659C" w:rsidRDefault="009B659C" w:rsidP="009B659C">
            <w:pPr>
              <w:rPr>
                <w:rFonts w:ascii="Times New Roman" w:hAnsi="Times New Roman"/>
                <w:sz w:val="18"/>
                <w:szCs w:val="18"/>
                <w:lang w:eastAsia="ko-KR"/>
              </w:rPr>
            </w:pPr>
            <w:r w:rsidRPr="009B659C">
              <w:rPr>
                <w:rFonts w:ascii="Arial" w:hAnsi="Arial" w:cs="Arial"/>
                <w:b/>
                <w:bCs/>
                <w:color w:val="000000"/>
                <w:sz w:val="18"/>
                <w:szCs w:val="18"/>
                <w:lang w:eastAsia="ko-KR"/>
              </w:rPr>
              <w:t>Part 2—Fee for an application and other matters in relation to an existing proceeding</w:t>
            </w:r>
          </w:p>
        </w:tc>
      </w:tr>
      <w:tr w:rsidR="00F41C4E" w:rsidRPr="00007A97" w14:paraId="25551E78" w14:textId="77777777" w:rsidTr="00F41C4E">
        <w:trPr>
          <w:trHeight w:val="720"/>
        </w:trPr>
        <w:tc>
          <w:tcPr>
            <w:tcW w:w="352" w:type="pct"/>
            <w:tcBorders>
              <w:top w:val="single" w:sz="4" w:space="0" w:color="auto"/>
              <w:left w:val="single" w:sz="4" w:space="0" w:color="auto"/>
              <w:bottom w:val="nil"/>
              <w:right w:val="single" w:sz="4" w:space="0" w:color="auto"/>
            </w:tcBorders>
            <w:noWrap/>
            <w:vAlign w:val="center"/>
            <w:hideMark/>
          </w:tcPr>
          <w:p w14:paraId="3C736D7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18</w:t>
            </w:r>
          </w:p>
        </w:tc>
        <w:tc>
          <w:tcPr>
            <w:tcW w:w="2800" w:type="pct"/>
            <w:tcBorders>
              <w:top w:val="single" w:sz="4" w:space="0" w:color="auto"/>
              <w:left w:val="single" w:sz="4" w:space="0" w:color="auto"/>
              <w:bottom w:val="nil"/>
              <w:right w:val="single" w:sz="4" w:space="0" w:color="auto"/>
            </w:tcBorders>
            <w:vAlign w:val="center"/>
            <w:hideMark/>
          </w:tcPr>
          <w:p w14:paraId="333C343F"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making of an application for the costs of a proceeding under section 109 of the Act or under an enabling enactment, if final orders have been made in that proceeding and the proceeding was allocated to the Tribunal’s—</w:t>
            </w:r>
          </w:p>
        </w:tc>
        <w:tc>
          <w:tcPr>
            <w:tcW w:w="617" w:type="pct"/>
            <w:tcBorders>
              <w:top w:val="single" w:sz="4" w:space="0" w:color="auto"/>
              <w:left w:val="nil"/>
              <w:bottom w:val="nil"/>
              <w:right w:val="nil"/>
            </w:tcBorders>
            <w:vAlign w:val="center"/>
            <w:hideMark/>
          </w:tcPr>
          <w:p w14:paraId="27AD1494"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35FB3461"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01153313" w14:textId="77777777" w:rsidR="00007A97" w:rsidRPr="00007A97" w:rsidRDefault="00007A97" w:rsidP="00007A97">
            <w:pPr>
              <w:jc w:val="center"/>
              <w:rPr>
                <w:rFonts w:ascii="Times New Roman" w:hAnsi="Times New Roman"/>
                <w:lang w:eastAsia="ko-KR"/>
              </w:rPr>
            </w:pPr>
          </w:p>
        </w:tc>
      </w:tr>
      <w:tr w:rsidR="00F41C4E" w:rsidRPr="00007A97" w14:paraId="315EFEC4" w14:textId="77777777" w:rsidTr="00F41C4E">
        <w:trPr>
          <w:trHeight w:val="345"/>
        </w:trPr>
        <w:tc>
          <w:tcPr>
            <w:tcW w:w="352" w:type="pct"/>
            <w:tcBorders>
              <w:top w:val="nil"/>
              <w:left w:val="single" w:sz="4" w:space="0" w:color="auto"/>
              <w:bottom w:val="nil"/>
              <w:right w:val="single" w:sz="4" w:space="0" w:color="auto"/>
            </w:tcBorders>
            <w:noWrap/>
            <w:vAlign w:val="center"/>
            <w:hideMark/>
          </w:tcPr>
          <w:p w14:paraId="4D7EAEC5" w14:textId="77777777" w:rsidR="00007A97" w:rsidRPr="00007A97" w:rsidRDefault="00007A97" w:rsidP="00007A97">
            <w:pPr>
              <w:jc w:val="center"/>
              <w:rPr>
                <w:rFonts w:ascii="Arial" w:hAnsi="Arial" w:cs="Arial"/>
                <w:color w:val="000000"/>
                <w:sz w:val="22"/>
                <w:szCs w:val="22"/>
                <w:lang w:eastAsia="ko-KR"/>
              </w:rPr>
            </w:pPr>
            <w:r w:rsidRPr="00007A97">
              <w:rPr>
                <w:rFonts w:ascii="Arial" w:hAnsi="Arial" w:cs="Arial"/>
                <w:color w:val="000000"/>
                <w:sz w:val="22"/>
                <w:szCs w:val="22"/>
                <w:lang w:eastAsia="ko-KR"/>
              </w:rPr>
              <w:t xml:space="preserve"> </w:t>
            </w:r>
          </w:p>
        </w:tc>
        <w:tc>
          <w:tcPr>
            <w:tcW w:w="2800" w:type="pct"/>
            <w:tcBorders>
              <w:top w:val="nil"/>
              <w:left w:val="nil"/>
              <w:bottom w:val="nil"/>
              <w:right w:val="single" w:sz="4" w:space="0" w:color="auto"/>
            </w:tcBorders>
            <w:vAlign w:val="center"/>
            <w:hideMark/>
          </w:tcPr>
          <w:p w14:paraId="1003A45B" w14:textId="77777777" w:rsidR="00007A97" w:rsidRPr="00007A97" w:rsidRDefault="00007A97" w:rsidP="00007A97">
            <w:pPr>
              <w:ind w:firstLineChars="300" w:firstLine="540"/>
              <w:rPr>
                <w:rFonts w:ascii="Arial" w:hAnsi="Arial" w:cs="Arial"/>
                <w:color w:val="000000"/>
                <w:sz w:val="18"/>
                <w:szCs w:val="18"/>
                <w:lang w:eastAsia="ko-KR"/>
              </w:rPr>
            </w:pPr>
            <w:bookmarkStart w:id="140" w:name="Option_3!C224"/>
            <w:r w:rsidRPr="00007A97">
              <w:rPr>
                <w:rFonts w:ascii="Arial" w:hAnsi="Arial" w:cs="Arial"/>
                <w:color w:val="000000"/>
                <w:sz w:val="18"/>
                <w:szCs w:val="18"/>
                <w:lang w:eastAsia="ko-KR"/>
              </w:rPr>
              <w:t xml:space="preserve">(a) administrative division or planning and environment division </w:t>
            </w:r>
            <w:bookmarkEnd w:id="140"/>
          </w:p>
        </w:tc>
        <w:tc>
          <w:tcPr>
            <w:tcW w:w="617" w:type="pct"/>
            <w:tcBorders>
              <w:top w:val="nil"/>
              <w:left w:val="nil"/>
              <w:bottom w:val="nil"/>
              <w:right w:val="nil"/>
            </w:tcBorders>
            <w:vAlign w:val="center"/>
            <w:hideMark/>
          </w:tcPr>
          <w:p w14:paraId="76C4FEB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1,996.0</w:t>
            </w:r>
          </w:p>
        </w:tc>
        <w:tc>
          <w:tcPr>
            <w:tcW w:w="616" w:type="pct"/>
            <w:tcBorders>
              <w:top w:val="nil"/>
              <w:left w:val="nil"/>
              <w:bottom w:val="nil"/>
              <w:right w:val="nil"/>
            </w:tcBorders>
            <w:vAlign w:val="center"/>
            <w:hideMark/>
          </w:tcPr>
          <w:p w14:paraId="7E6B98A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658.7</w:t>
            </w:r>
          </w:p>
        </w:tc>
        <w:tc>
          <w:tcPr>
            <w:tcW w:w="615" w:type="pct"/>
            <w:tcBorders>
              <w:top w:val="nil"/>
              <w:left w:val="nil"/>
              <w:bottom w:val="nil"/>
              <w:right w:val="single" w:sz="4" w:space="0" w:color="auto"/>
            </w:tcBorders>
            <w:vAlign w:val="center"/>
            <w:hideMark/>
          </w:tcPr>
          <w:p w14:paraId="00CC1C1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219.6</w:t>
            </w:r>
          </w:p>
        </w:tc>
      </w:tr>
      <w:tr w:rsidR="00F41C4E" w:rsidRPr="00007A97" w14:paraId="00B49DA4" w14:textId="77777777" w:rsidTr="00F41C4E">
        <w:trPr>
          <w:trHeight w:val="285"/>
        </w:trPr>
        <w:tc>
          <w:tcPr>
            <w:tcW w:w="352" w:type="pct"/>
            <w:tcBorders>
              <w:top w:val="nil"/>
              <w:left w:val="single" w:sz="4" w:space="0" w:color="auto"/>
              <w:bottom w:val="single" w:sz="4" w:space="0" w:color="auto"/>
              <w:right w:val="single" w:sz="4" w:space="0" w:color="auto"/>
            </w:tcBorders>
            <w:noWrap/>
            <w:vAlign w:val="center"/>
            <w:hideMark/>
          </w:tcPr>
          <w:p w14:paraId="24607F92" w14:textId="77777777" w:rsidR="00007A97" w:rsidRPr="00007A97" w:rsidRDefault="00007A97" w:rsidP="00007A97">
            <w:pPr>
              <w:jc w:val="center"/>
              <w:rPr>
                <w:rFonts w:ascii="Arial" w:hAnsi="Arial" w:cs="Arial"/>
                <w:color w:val="000000"/>
                <w:sz w:val="22"/>
                <w:szCs w:val="22"/>
                <w:lang w:eastAsia="ko-KR"/>
              </w:rPr>
            </w:pPr>
            <w:r w:rsidRPr="00007A97">
              <w:rPr>
                <w:rFonts w:ascii="Arial" w:hAnsi="Arial" w:cs="Arial"/>
                <w:color w:val="000000"/>
                <w:sz w:val="22"/>
                <w:szCs w:val="22"/>
                <w:lang w:eastAsia="ko-KR"/>
              </w:rPr>
              <w:t xml:space="preserve"> </w:t>
            </w:r>
          </w:p>
        </w:tc>
        <w:tc>
          <w:tcPr>
            <w:tcW w:w="2800" w:type="pct"/>
            <w:tcBorders>
              <w:top w:val="nil"/>
              <w:left w:val="nil"/>
              <w:bottom w:val="single" w:sz="4" w:space="0" w:color="auto"/>
              <w:right w:val="single" w:sz="4" w:space="0" w:color="auto"/>
            </w:tcBorders>
            <w:vAlign w:val="center"/>
            <w:hideMark/>
          </w:tcPr>
          <w:p w14:paraId="250AC544"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(b) civil division</w:t>
            </w:r>
          </w:p>
        </w:tc>
        <w:tc>
          <w:tcPr>
            <w:tcW w:w="617" w:type="pct"/>
            <w:tcBorders>
              <w:top w:val="nil"/>
              <w:left w:val="nil"/>
              <w:bottom w:val="nil"/>
              <w:right w:val="nil"/>
            </w:tcBorders>
            <w:vAlign w:val="center"/>
            <w:hideMark/>
          </w:tcPr>
          <w:p w14:paraId="293E8CE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1,122.7</w:t>
            </w:r>
          </w:p>
        </w:tc>
        <w:tc>
          <w:tcPr>
            <w:tcW w:w="616" w:type="pct"/>
            <w:tcBorders>
              <w:top w:val="nil"/>
              <w:left w:val="nil"/>
              <w:bottom w:val="nil"/>
              <w:right w:val="nil"/>
            </w:tcBorders>
            <w:vAlign w:val="center"/>
            <w:hideMark/>
          </w:tcPr>
          <w:p w14:paraId="5FAFFE7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370.5</w:t>
            </w:r>
          </w:p>
        </w:tc>
        <w:tc>
          <w:tcPr>
            <w:tcW w:w="615" w:type="pct"/>
            <w:tcBorders>
              <w:top w:val="nil"/>
              <w:left w:val="nil"/>
              <w:bottom w:val="nil"/>
              <w:right w:val="single" w:sz="4" w:space="0" w:color="auto"/>
            </w:tcBorders>
            <w:vAlign w:val="center"/>
            <w:hideMark/>
          </w:tcPr>
          <w:p w14:paraId="7DC16E6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123.5</w:t>
            </w:r>
          </w:p>
        </w:tc>
      </w:tr>
      <w:tr w:rsidR="00F41C4E" w:rsidRPr="00007A97" w14:paraId="336BF588" w14:textId="77777777" w:rsidTr="00F41C4E">
        <w:trPr>
          <w:trHeight w:val="585"/>
        </w:trPr>
        <w:tc>
          <w:tcPr>
            <w:tcW w:w="352" w:type="pct"/>
            <w:tcBorders>
              <w:top w:val="single" w:sz="4" w:space="0" w:color="auto"/>
              <w:left w:val="single" w:sz="4" w:space="0" w:color="auto"/>
              <w:bottom w:val="nil"/>
              <w:right w:val="nil"/>
            </w:tcBorders>
            <w:noWrap/>
            <w:vAlign w:val="center"/>
            <w:hideMark/>
          </w:tcPr>
          <w:p w14:paraId="2C104FC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w:t>
            </w:r>
          </w:p>
        </w:tc>
        <w:tc>
          <w:tcPr>
            <w:tcW w:w="2800" w:type="pct"/>
            <w:tcBorders>
              <w:top w:val="nil"/>
              <w:left w:val="single" w:sz="4" w:space="0" w:color="auto"/>
              <w:bottom w:val="nil"/>
              <w:right w:val="single" w:sz="4" w:space="0" w:color="auto"/>
            </w:tcBorders>
            <w:vAlign w:val="center"/>
            <w:hideMark/>
          </w:tcPr>
          <w:p w14:paraId="08D07B48"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making of an application under section 120 of the Act, if the proceeding in relation to which the application is made was allocated to the Tribunal’s—</w:t>
            </w:r>
          </w:p>
        </w:tc>
        <w:tc>
          <w:tcPr>
            <w:tcW w:w="617" w:type="pct"/>
            <w:tcBorders>
              <w:top w:val="single" w:sz="4" w:space="0" w:color="auto"/>
              <w:left w:val="nil"/>
              <w:bottom w:val="nil"/>
              <w:right w:val="nil"/>
            </w:tcBorders>
            <w:vAlign w:val="center"/>
            <w:hideMark/>
          </w:tcPr>
          <w:p w14:paraId="411621CE"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091BB737"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07506CD6" w14:textId="77777777" w:rsidR="00007A97" w:rsidRPr="00007A97" w:rsidRDefault="00007A97" w:rsidP="00007A97">
            <w:pPr>
              <w:jc w:val="center"/>
              <w:rPr>
                <w:rFonts w:ascii="Times New Roman" w:hAnsi="Times New Roman"/>
                <w:lang w:eastAsia="ko-KR"/>
              </w:rPr>
            </w:pPr>
          </w:p>
        </w:tc>
      </w:tr>
      <w:tr w:rsidR="00F41C4E" w:rsidRPr="00007A97" w14:paraId="33CF8E9F" w14:textId="77777777" w:rsidTr="00F41C4E">
        <w:trPr>
          <w:trHeight w:val="345"/>
        </w:trPr>
        <w:tc>
          <w:tcPr>
            <w:tcW w:w="352" w:type="pct"/>
            <w:tcBorders>
              <w:top w:val="nil"/>
              <w:left w:val="single" w:sz="4" w:space="0" w:color="auto"/>
              <w:bottom w:val="nil"/>
              <w:right w:val="nil"/>
            </w:tcBorders>
            <w:noWrap/>
            <w:vAlign w:val="center"/>
            <w:hideMark/>
          </w:tcPr>
          <w:p w14:paraId="4FB72731" w14:textId="77777777" w:rsidR="00007A97" w:rsidRPr="00007A97" w:rsidRDefault="00007A97" w:rsidP="00007A97">
            <w:pPr>
              <w:jc w:val="center"/>
              <w:rPr>
                <w:rFonts w:ascii="Arial" w:hAnsi="Arial" w:cs="Arial"/>
                <w:color w:val="000000"/>
                <w:sz w:val="22"/>
                <w:szCs w:val="22"/>
                <w:lang w:eastAsia="ko-KR"/>
              </w:rPr>
            </w:pPr>
            <w:r w:rsidRPr="00007A97">
              <w:rPr>
                <w:rFonts w:ascii="Arial" w:hAnsi="Arial" w:cs="Arial"/>
                <w:color w:val="000000"/>
                <w:sz w:val="22"/>
                <w:szCs w:val="22"/>
                <w:lang w:eastAsia="ko-KR"/>
              </w:rPr>
              <w:t xml:space="preserve"> </w:t>
            </w:r>
          </w:p>
        </w:tc>
        <w:tc>
          <w:tcPr>
            <w:tcW w:w="2800" w:type="pct"/>
            <w:tcBorders>
              <w:top w:val="nil"/>
              <w:left w:val="single" w:sz="4" w:space="0" w:color="auto"/>
              <w:bottom w:val="nil"/>
              <w:right w:val="single" w:sz="4" w:space="0" w:color="auto"/>
            </w:tcBorders>
            <w:vAlign w:val="center"/>
            <w:hideMark/>
          </w:tcPr>
          <w:p w14:paraId="406752E6"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 xml:space="preserve">(a) administrative division or planning and environment division </w:t>
            </w:r>
          </w:p>
        </w:tc>
        <w:tc>
          <w:tcPr>
            <w:tcW w:w="617" w:type="pct"/>
            <w:tcBorders>
              <w:top w:val="nil"/>
              <w:left w:val="nil"/>
              <w:bottom w:val="nil"/>
              <w:right w:val="nil"/>
            </w:tcBorders>
            <w:vAlign w:val="center"/>
            <w:hideMark/>
          </w:tcPr>
          <w:p w14:paraId="56E4221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530.2</w:t>
            </w:r>
          </w:p>
        </w:tc>
        <w:tc>
          <w:tcPr>
            <w:tcW w:w="616" w:type="pct"/>
            <w:tcBorders>
              <w:top w:val="nil"/>
              <w:left w:val="nil"/>
              <w:bottom w:val="nil"/>
              <w:right w:val="nil"/>
            </w:tcBorders>
            <w:vAlign w:val="center"/>
            <w:hideMark/>
          </w:tcPr>
          <w:p w14:paraId="08FB97D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175.0</w:t>
            </w:r>
          </w:p>
        </w:tc>
        <w:tc>
          <w:tcPr>
            <w:tcW w:w="615" w:type="pct"/>
            <w:tcBorders>
              <w:top w:val="nil"/>
              <w:left w:val="nil"/>
              <w:bottom w:val="nil"/>
              <w:right w:val="single" w:sz="4" w:space="0" w:color="auto"/>
            </w:tcBorders>
            <w:vAlign w:val="center"/>
            <w:hideMark/>
          </w:tcPr>
          <w:p w14:paraId="36FD707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58.3</w:t>
            </w:r>
          </w:p>
        </w:tc>
      </w:tr>
      <w:tr w:rsidR="00F41C4E" w:rsidRPr="00007A97" w14:paraId="3944D0F1" w14:textId="77777777" w:rsidTr="00F41C4E">
        <w:trPr>
          <w:trHeight w:val="285"/>
        </w:trPr>
        <w:tc>
          <w:tcPr>
            <w:tcW w:w="352" w:type="pct"/>
            <w:tcBorders>
              <w:top w:val="nil"/>
              <w:left w:val="single" w:sz="4" w:space="0" w:color="auto"/>
              <w:bottom w:val="single" w:sz="4" w:space="0" w:color="auto"/>
              <w:right w:val="nil"/>
            </w:tcBorders>
            <w:noWrap/>
            <w:vAlign w:val="center"/>
            <w:hideMark/>
          </w:tcPr>
          <w:p w14:paraId="3C9F2EFF" w14:textId="77777777" w:rsidR="00007A97" w:rsidRPr="00007A97" w:rsidRDefault="00007A97" w:rsidP="00007A97">
            <w:pPr>
              <w:jc w:val="center"/>
              <w:rPr>
                <w:rFonts w:ascii="Arial" w:hAnsi="Arial" w:cs="Arial"/>
                <w:color w:val="000000"/>
                <w:sz w:val="22"/>
                <w:szCs w:val="22"/>
                <w:lang w:eastAsia="ko-KR"/>
              </w:rPr>
            </w:pPr>
            <w:r w:rsidRPr="00007A97">
              <w:rPr>
                <w:rFonts w:ascii="Arial" w:hAnsi="Arial" w:cs="Arial"/>
                <w:color w:val="000000"/>
                <w:sz w:val="22"/>
                <w:szCs w:val="22"/>
                <w:lang w:eastAsia="ko-KR"/>
              </w:rPr>
              <w:t xml:space="preserve"> </w:t>
            </w:r>
          </w:p>
        </w:tc>
        <w:tc>
          <w:tcPr>
            <w:tcW w:w="2800" w:type="pct"/>
            <w:tcBorders>
              <w:top w:val="nil"/>
              <w:left w:val="single" w:sz="4" w:space="0" w:color="auto"/>
              <w:bottom w:val="single" w:sz="4" w:space="0" w:color="auto"/>
              <w:right w:val="single" w:sz="4" w:space="0" w:color="auto"/>
            </w:tcBorders>
            <w:vAlign w:val="center"/>
            <w:hideMark/>
          </w:tcPr>
          <w:p w14:paraId="41DAC02F"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(b) civil division</w:t>
            </w:r>
          </w:p>
        </w:tc>
        <w:tc>
          <w:tcPr>
            <w:tcW w:w="617" w:type="pct"/>
            <w:tcBorders>
              <w:top w:val="nil"/>
              <w:left w:val="nil"/>
              <w:bottom w:val="nil"/>
              <w:right w:val="nil"/>
            </w:tcBorders>
            <w:vAlign w:val="center"/>
            <w:hideMark/>
          </w:tcPr>
          <w:p w14:paraId="000B92D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196.5</w:t>
            </w:r>
          </w:p>
        </w:tc>
        <w:tc>
          <w:tcPr>
            <w:tcW w:w="616" w:type="pct"/>
            <w:tcBorders>
              <w:top w:val="nil"/>
              <w:left w:val="nil"/>
              <w:bottom w:val="nil"/>
              <w:right w:val="nil"/>
            </w:tcBorders>
            <w:vAlign w:val="center"/>
            <w:hideMark/>
          </w:tcPr>
          <w:p w14:paraId="570DB5D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64.8</w:t>
            </w:r>
          </w:p>
        </w:tc>
        <w:tc>
          <w:tcPr>
            <w:tcW w:w="615" w:type="pct"/>
            <w:tcBorders>
              <w:top w:val="nil"/>
              <w:left w:val="nil"/>
              <w:bottom w:val="nil"/>
              <w:right w:val="single" w:sz="4" w:space="0" w:color="auto"/>
            </w:tcBorders>
            <w:vAlign w:val="center"/>
            <w:hideMark/>
          </w:tcPr>
          <w:p w14:paraId="44061AF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21.6</w:t>
            </w:r>
          </w:p>
        </w:tc>
      </w:tr>
      <w:tr w:rsidR="00F41C4E" w:rsidRPr="00007A97" w14:paraId="3C1BE879" w14:textId="77777777" w:rsidTr="00F41C4E">
        <w:trPr>
          <w:trHeight w:val="570"/>
        </w:trPr>
        <w:tc>
          <w:tcPr>
            <w:tcW w:w="352" w:type="pct"/>
            <w:tcBorders>
              <w:top w:val="single" w:sz="4" w:space="0" w:color="auto"/>
              <w:left w:val="single" w:sz="4" w:space="0" w:color="auto"/>
              <w:bottom w:val="nil"/>
              <w:right w:val="nil"/>
            </w:tcBorders>
            <w:noWrap/>
            <w:vAlign w:val="center"/>
            <w:hideMark/>
          </w:tcPr>
          <w:p w14:paraId="2010804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20</w:t>
            </w:r>
          </w:p>
        </w:tc>
        <w:tc>
          <w:tcPr>
            <w:tcW w:w="2800" w:type="pct"/>
            <w:tcBorders>
              <w:top w:val="single" w:sz="4" w:space="0" w:color="auto"/>
              <w:left w:val="single" w:sz="4" w:space="0" w:color="auto"/>
              <w:bottom w:val="nil"/>
              <w:right w:val="nil"/>
            </w:tcBorders>
            <w:vAlign w:val="center"/>
            <w:hideMark/>
          </w:tcPr>
          <w:p w14:paraId="3415C549"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making of an application under section 120A of the Act, if the proceeding in relation to which the application is made was allocated to the Tribunal’s—</w:t>
            </w:r>
          </w:p>
        </w:tc>
        <w:tc>
          <w:tcPr>
            <w:tcW w:w="617" w:type="pct"/>
            <w:tcBorders>
              <w:top w:val="single" w:sz="4" w:space="0" w:color="auto"/>
              <w:left w:val="single" w:sz="4" w:space="0" w:color="auto"/>
              <w:bottom w:val="nil"/>
              <w:right w:val="nil"/>
            </w:tcBorders>
            <w:vAlign w:val="center"/>
            <w:hideMark/>
          </w:tcPr>
          <w:p w14:paraId="423E62C7"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6E603D4A"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7D1C2748" w14:textId="77777777" w:rsidR="00007A97" w:rsidRPr="00007A97" w:rsidRDefault="00007A97" w:rsidP="00007A97">
            <w:pPr>
              <w:jc w:val="center"/>
              <w:rPr>
                <w:rFonts w:ascii="Times New Roman" w:hAnsi="Times New Roman"/>
                <w:lang w:eastAsia="ko-KR"/>
              </w:rPr>
            </w:pPr>
          </w:p>
        </w:tc>
      </w:tr>
      <w:tr w:rsidR="00F41C4E" w:rsidRPr="00007A97" w14:paraId="0F705077" w14:textId="77777777" w:rsidTr="00F41C4E">
        <w:trPr>
          <w:trHeight w:val="360"/>
        </w:trPr>
        <w:tc>
          <w:tcPr>
            <w:tcW w:w="352" w:type="pct"/>
            <w:tcBorders>
              <w:top w:val="nil"/>
              <w:left w:val="single" w:sz="4" w:space="0" w:color="auto"/>
              <w:bottom w:val="nil"/>
              <w:right w:val="nil"/>
            </w:tcBorders>
            <w:noWrap/>
            <w:vAlign w:val="center"/>
            <w:hideMark/>
          </w:tcPr>
          <w:p w14:paraId="15B2326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044D8C8"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 xml:space="preserve">(a) administrative division or planning and environment division </w:t>
            </w:r>
          </w:p>
        </w:tc>
        <w:tc>
          <w:tcPr>
            <w:tcW w:w="617" w:type="pct"/>
            <w:tcBorders>
              <w:top w:val="nil"/>
              <w:left w:val="single" w:sz="4" w:space="0" w:color="auto"/>
              <w:bottom w:val="nil"/>
              <w:right w:val="nil"/>
            </w:tcBorders>
            <w:vAlign w:val="center"/>
            <w:hideMark/>
          </w:tcPr>
          <w:p w14:paraId="1C3D6D6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1,996.0</w:t>
            </w:r>
          </w:p>
        </w:tc>
        <w:tc>
          <w:tcPr>
            <w:tcW w:w="616" w:type="pct"/>
            <w:tcBorders>
              <w:top w:val="nil"/>
              <w:left w:val="nil"/>
              <w:bottom w:val="nil"/>
              <w:right w:val="nil"/>
            </w:tcBorders>
            <w:vAlign w:val="center"/>
            <w:hideMark/>
          </w:tcPr>
          <w:p w14:paraId="7B9B3F9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658.7</w:t>
            </w:r>
          </w:p>
        </w:tc>
        <w:tc>
          <w:tcPr>
            <w:tcW w:w="615" w:type="pct"/>
            <w:tcBorders>
              <w:top w:val="nil"/>
              <w:left w:val="nil"/>
              <w:bottom w:val="nil"/>
              <w:right w:val="single" w:sz="4" w:space="0" w:color="auto"/>
            </w:tcBorders>
            <w:vAlign w:val="center"/>
            <w:hideMark/>
          </w:tcPr>
          <w:p w14:paraId="0DE46E8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219.6</w:t>
            </w:r>
          </w:p>
        </w:tc>
      </w:tr>
      <w:tr w:rsidR="00F41C4E" w:rsidRPr="00007A97" w14:paraId="147617E6" w14:textId="77777777" w:rsidTr="00F41C4E">
        <w:trPr>
          <w:trHeight w:val="285"/>
        </w:trPr>
        <w:tc>
          <w:tcPr>
            <w:tcW w:w="352" w:type="pct"/>
            <w:tcBorders>
              <w:top w:val="nil"/>
              <w:left w:val="single" w:sz="4" w:space="0" w:color="auto"/>
              <w:bottom w:val="nil"/>
              <w:right w:val="nil"/>
            </w:tcBorders>
            <w:noWrap/>
            <w:vAlign w:val="center"/>
            <w:hideMark/>
          </w:tcPr>
          <w:p w14:paraId="62CB938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6E7D25A" w14:textId="77777777" w:rsidR="00007A97" w:rsidRPr="00007A97" w:rsidRDefault="00007A97" w:rsidP="00007A97">
            <w:pPr>
              <w:ind w:firstLineChars="300" w:firstLine="540"/>
              <w:rPr>
                <w:rFonts w:ascii="Arial" w:hAnsi="Arial" w:cs="Arial"/>
                <w:color w:val="000000"/>
                <w:sz w:val="18"/>
                <w:szCs w:val="18"/>
                <w:lang w:eastAsia="ko-KR"/>
              </w:rPr>
            </w:pPr>
            <w:r w:rsidRPr="00007A97">
              <w:rPr>
                <w:rFonts w:ascii="Arial" w:hAnsi="Arial" w:cs="Arial"/>
                <w:color w:val="000000"/>
                <w:sz w:val="18"/>
                <w:szCs w:val="18"/>
                <w:lang w:eastAsia="ko-KR"/>
              </w:rPr>
              <w:t>(b) civil division</w:t>
            </w:r>
          </w:p>
        </w:tc>
        <w:tc>
          <w:tcPr>
            <w:tcW w:w="617" w:type="pct"/>
            <w:tcBorders>
              <w:top w:val="nil"/>
              <w:left w:val="single" w:sz="4" w:space="0" w:color="auto"/>
              <w:bottom w:val="nil"/>
              <w:right w:val="nil"/>
            </w:tcBorders>
            <w:vAlign w:val="center"/>
            <w:hideMark/>
          </w:tcPr>
          <w:p w14:paraId="767D898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1,122.7</w:t>
            </w:r>
          </w:p>
        </w:tc>
        <w:tc>
          <w:tcPr>
            <w:tcW w:w="616" w:type="pct"/>
            <w:tcBorders>
              <w:top w:val="nil"/>
              <w:left w:val="nil"/>
              <w:bottom w:val="nil"/>
              <w:right w:val="nil"/>
            </w:tcBorders>
            <w:vAlign w:val="center"/>
            <w:hideMark/>
          </w:tcPr>
          <w:p w14:paraId="4912012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370.5</w:t>
            </w:r>
          </w:p>
        </w:tc>
        <w:tc>
          <w:tcPr>
            <w:tcW w:w="615" w:type="pct"/>
            <w:tcBorders>
              <w:top w:val="nil"/>
              <w:left w:val="nil"/>
              <w:bottom w:val="nil"/>
              <w:right w:val="single" w:sz="4" w:space="0" w:color="auto"/>
            </w:tcBorders>
            <w:vAlign w:val="center"/>
            <w:hideMark/>
          </w:tcPr>
          <w:p w14:paraId="52C2C11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123.5</w:t>
            </w:r>
          </w:p>
        </w:tc>
      </w:tr>
      <w:tr w:rsidR="00F41C4E" w:rsidRPr="00007A97" w14:paraId="38E3868B" w14:textId="77777777" w:rsidTr="00F41C4E">
        <w:trPr>
          <w:trHeight w:val="570"/>
        </w:trPr>
        <w:tc>
          <w:tcPr>
            <w:tcW w:w="352" w:type="pct"/>
            <w:tcBorders>
              <w:top w:val="single" w:sz="4" w:space="0" w:color="auto"/>
              <w:left w:val="single" w:sz="4" w:space="0" w:color="auto"/>
              <w:bottom w:val="nil"/>
              <w:right w:val="nil"/>
            </w:tcBorders>
            <w:noWrap/>
            <w:vAlign w:val="center"/>
            <w:hideMark/>
          </w:tcPr>
          <w:p w14:paraId="117FA12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w:t>
            </w:r>
          </w:p>
        </w:tc>
        <w:tc>
          <w:tcPr>
            <w:tcW w:w="2800" w:type="pct"/>
            <w:tcBorders>
              <w:top w:val="single" w:sz="4" w:space="0" w:color="auto"/>
              <w:left w:val="single" w:sz="4" w:space="0" w:color="auto"/>
              <w:bottom w:val="nil"/>
              <w:right w:val="nil"/>
            </w:tcBorders>
            <w:vAlign w:val="center"/>
            <w:hideMark/>
          </w:tcPr>
          <w:p w14:paraId="685643C3"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lodging a statement of grounds in accordance with clause 56 of Schedule 1 to the Act, unless accompanied by a written notice under subclause (5) of that clause</w:t>
            </w:r>
          </w:p>
        </w:tc>
        <w:tc>
          <w:tcPr>
            <w:tcW w:w="617" w:type="pct"/>
            <w:tcBorders>
              <w:top w:val="single" w:sz="4" w:space="0" w:color="auto"/>
              <w:left w:val="single" w:sz="4" w:space="0" w:color="auto"/>
              <w:bottom w:val="nil"/>
              <w:right w:val="nil"/>
            </w:tcBorders>
            <w:vAlign w:val="center"/>
            <w:hideMark/>
          </w:tcPr>
          <w:p w14:paraId="50726D9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59.5</w:t>
            </w:r>
          </w:p>
        </w:tc>
        <w:tc>
          <w:tcPr>
            <w:tcW w:w="616" w:type="pct"/>
            <w:tcBorders>
              <w:top w:val="single" w:sz="4" w:space="0" w:color="auto"/>
              <w:left w:val="nil"/>
              <w:bottom w:val="nil"/>
              <w:right w:val="nil"/>
            </w:tcBorders>
            <w:vAlign w:val="center"/>
            <w:hideMark/>
          </w:tcPr>
          <w:p w14:paraId="50E2832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19.6</w:t>
            </w:r>
          </w:p>
        </w:tc>
        <w:tc>
          <w:tcPr>
            <w:tcW w:w="615" w:type="pct"/>
            <w:tcBorders>
              <w:top w:val="single" w:sz="4" w:space="0" w:color="auto"/>
              <w:left w:val="nil"/>
              <w:bottom w:val="nil"/>
              <w:right w:val="single" w:sz="4" w:space="0" w:color="auto"/>
            </w:tcBorders>
            <w:vAlign w:val="center"/>
            <w:hideMark/>
          </w:tcPr>
          <w:p w14:paraId="1CCE7EC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w:t>
            </w:r>
          </w:p>
        </w:tc>
      </w:tr>
      <w:tr w:rsidR="00F41C4E" w:rsidRPr="00007A97" w14:paraId="385AC75C" w14:textId="77777777" w:rsidTr="00F41C4E">
        <w:trPr>
          <w:trHeight w:val="690"/>
        </w:trPr>
        <w:tc>
          <w:tcPr>
            <w:tcW w:w="352" w:type="pct"/>
            <w:tcBorders>
              <w:top w:val="single" w:sz="4" w:space="0" w:color="auto"/>
              <w:left w:val="single" w:sz="4" w:space="0" w:color="auto"/>
              <w:bottom w:val="nil"/>
              <w:right w:val="nil"/>
            </w:tcBorders>
            <w:noWrap/>
            <w:vAlign w:val="center"/>
            <w:hideMark/>
          </w:tcPr>
          <w:p w14:paraId="0BAD56F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22</w:t>
            </w:r>
          </w:p>
        </w:tc>
        <w:tc>
          <w:tcPr>
            <w:tcW w:w="2800" w:type="pct"/>
            <w:tcBorders>
              <w:top w:val="single" w:sz="4" w:space="0" w:color="auto"/>
              <w:left w:val="single" w:sz="4" w:space="0" w:color="auto"/>
              <w:bottom w:val="nil"/>
              <w:right w:val="nil"/>
            </w:tcBorders>
            <w:vAlign w:val="center"/>
            <w:hideMark/>
          </w:tcPr>
          <w:p w14:paraId="13ED2A3A"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an election to have a proceeding heard as a major case under regulation 7(2)</w:t>
            </w:r>
          </w:p>
        </w:tc>
        <w:tc>
          <w:tcPr>
            <w:tcW w:w="617" w:type="pct"/>
            <w:tcBorders>
              <w:top w:val="single" w:sz="4" w:space="0" w:color="auto"/>
              <w:left w:val="single" w:sz="4" w:space="0" w:color="auto"/>
              <w:bottom w:val="single" w:sz="4" w:space="0" w:color="auto"/>
              <w:right w:val="nil"/>
            </w:tcBorders>
            <w:vAlign w:val="center"/>
            <w:hideMark/>
          </w:tcPr>
          <w:p w14:paraId="0C79C24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6,138.6</w:t>
            </w:r>
          </w:p>
        </w:tc>
        <w:tc>
          <w:tcPr>
            <w:tcW w:w="616" w:type="pct"/>
            <w:tcBorders>
              <w:top w:val="single" w:sz="4" w:space="0" w:color="auto"/>
              <w:left w:val="nil"/>
              <w:bottom w:val="single" w:sz="4" w:space="0" w:color="auto"/>
              <w:right w:val="nil"/>
            </w:tcBorders>
            <w:vAlign w:val="center"/>
            <w:hideMark/>
          </w:tcPr>
          <w:p w14:paraId="361EAAA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6,138.6</w:t>
            </w:r>
          </w:p>
        </w:tc>
        <w:tc>
          <w:tcPr>
            <w:tcW w:w="615" w:type="pct"/>
            <w:tcBorders>
              <w:top w:val="single" w:sz="4" w:space="0" w:color="auto"/>
              <w:left w:val="nil"/>
              <w:bottom w:val="single" w:sz="4" w:space="0" w:color="auto"/>
              <w:right w:val="single" w:sz="4" w:space="0" w:color="auto"/>
            </w:tcBorders>
            <w:vAlign w:val="center"/>
            <w:hideMark/>
          </w:tcPr>
          <w:p w14:paraId="5186B85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6,138.6</w:t>
            </w:r>
          </w:p>
        </w:tc>
      </w:tr>
      <w:tr w:rsidR="00F41C4E" w:rsidRPr="00007A97" w14:paraId="11194EF1" w14:textId="77777777" w:rsidTr="00F41C4E">
        <w:trPr>
          <w:trHeight w:val="780"/>
        </w:trPr>
        <w:tc>
          <w:tcPr>
            <w:tcW w:w="352" w:type="pct"/>
            <w:tcBorders>
              <w:top w:val="single" w:sz="4" w:space="0" w:color="auto"/>
              <w:left w:val="single" w:sz="4" w:space="0" w:color="auto"/>
              <w:bottom w:val="nil"/>
              <w:right w:val="nil"/>
            </w:tcBorders>
            <w:noWrap/>
            <w:vAlign w:val="center"/>
            <w:hideMark/>
          </w:tcPr>
          <w:p w14:paraId="0D9EE18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23</w:t>
            </w:r>
          </w:p>
        </w:tc>
        <w:tc>
          <w:tcPr>
            <w:tcW w:w="2800" w:type="pct"/>
            <w:tcBorders>
              <w:top w:val="single" w:sz="4" w:space="0" w:color="auto"/>
              <w:left w:val="single" w:sz="4" w:space="0" w:color="auto"/>
              <w:bottom w:val="nil"/>
              <w:right w:val="nil"/>
            </w:tcBorders>
            <w:vAlign w:val="center"/>
            <w:hideMark/>
          </w:tcPr>
          <w:p w14:paraId="233EA800"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an application for an injunction or stay on enforcement of orders under section 149 of the Act, except if the proceeding is under the </w:t>
            </w:r>
            <w:r w:rsidRPr="00007A97">
              <w:rPr>
                <w:rFonts w:ascii="Arial" w:hAnsi="Arial" w:cs="Arial"/>
                <w:b/>
                <w:bCs/>
                <w:color w:val="000000"/>
                <w:sz w:val="18"/>
                <w:szCs w:val="18"/>
                <w:lang w:eastAsia="ko-KR"/>
              </w:rPr>
              <w:t>Residential Tenancies Act 1997</w:t>
            </w:r>
            <w:r w:rsidRPr="00007A97">
              <w:rPr>
                <w:rFonts w:ascii="Arial" w:hAnsi="Arial" w:cs="Arial"/>
                <w:color w:val="000000"/>
                <w:sz w:val="18"/>
                <w:szCs w:val="18"/>
                <w:lang w:eastAsia="ko-KR"/>
              </w:rPr>
              <w:t xml:space="preserve">. </w:t>
            </w:r>
          </w:p>
        </w:tc>
        <w:tc>
          <w:tcPr>
            <w:tcW w:w="617" w:type="pct"/>
            <w:tcBorders>
              <w:top w:val="nil"/>
              <w:left w:val="single" w:sz="4" w:space="0" w:color="auto"/>
              <w:bottom w:val="nil"/>
              <w:right w:val="nil"/>
            </w:tcBorders>
            <w:vAlign w:val="center"/>
            <w:hideMark/>
          </w:tcPr>
          <w:p w14:paraId="35BFC51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781.3</w:t>
            </w:r>
          </w:p>
        </w:tc>
        <w:tc>
          <w:tcPr>
            <w:tcW w:w="616" w:type="pct"/>
            <w:tcBorders>
              <w:top w:val="nil"/>
              <w:left w:val="nil"/>
              <w:bottom w:val="nil"/>
              <w:right w:val="nil"/>
            </w:tcBorders>
            <w:vAlign w:val="center"/>
            <w:hideMark/>
          </w:tcPr>
          <w:p w14:paraId="18F7F87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257.8</w:t>
            </w:r>
          </w:p>
        </w:tc>
        <w:tc>
          <w:tcPr>
            <w:tcW w:w="615" w:type="pct"/>
            <w:tcBorders>
              <w:top w:val="nil"/>
              <w:left w:val="nil"/>
              <w:bottom w:val="nil"/>
              <w:right w:val="single" w:sz="4" w:space="0" w:color="auto"/>
            </w:tcBorders>
            <w:vAlign w:val="center"/>
            <w:hideMark/>
          </w:tcPr>
          <w:p w14:paraId="7C02C3A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85.9</w:t>
            </w:r>
          </w:p>
        </w:tc>
      </w:tr>
      <w:tr w:rsidR="00F41C4E" w:rsidRPr="00007A97" w14:paraId="05B18C1A" w14:textId="77777777" w:rsidTr="00F41C4E">
        <w:trPr>
          <w:trHeight w:val="645"/>
        </w:trPr>
        <w:tc>
          <w:tcPr>
            <w:tcW w:w="352" w:type="pct"/>
            <w:tcBorders>
              <w:top w:val="single" w:sz="4" w:space="0" w:color="auto"/>
              <w:left w:val="single" w:sz="4" w:space="0" w:color="auto"/>
              <w:bottom w:val="nil"/>
              <w:right w:val="nil"/>
            </w:tcBorders>
            <w:noWrap/>
            <w:vAlign w:val="center"/>
            <w:hideMark/>
          </w:tcPr>
          <w:p w14:paraId="12F6228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24</w:t>
            </w:r>
          </w:p>
        </w:tc>
        <w:tc>
          <w:tcPr>
            <w:tcW w:w="2800" w:type="pct"/>
            <w:tcBorders>
              <w:top w:val="single" w:sz="4" w:space="0" w:color="auto"/>
              <w:left w:val="single" w:sz="4" w:space="0" w:color="auto"/>
              <w:bottom w:val="nil"/>
              <w:right w:val="nil"/>
            </w:tcBorders>
            <w:vAlign w:val="center"/>
            <w:hideMark/>
          </w:tcPr>
          <w:p w14:paraId="079790FA"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 xml:space="preserve">For an application for an injunction to be heard urgently (payable, in addition to the relevant fee for commencement of the proceeding and application for an injunction), except if the proceeding is allocated to the residential tenancies division </w:t>
            </w:r>
          </w:p>
        </w:tc>
        <w:tc>
          <w:tcPr>
            <w:tcW w:w="617" w:type="pct"/>
            <w:tcBorders>
              <w:top w:val="single" w:sz="4" w:space="0" w:color="auto"/>
              <w:left w:val="single" w:sz="4" w:space="0" w:color="auto"/>
              <w:bottom w:val="nil"/>
              <w:right w:val="nil"/>
            </w:tcBorders>
            <w:vAlign w:val="center"/>
            <w:hideMark/>
          </w:tcPr>
          <w:p w14:paraId="5CA18AE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781.3</w:t>
            </w:r>
          </w:p>
        </w:tc>
        <w:tc>
          <w:tcPr>
            <w:tcW w:w="616" w:type="pct"/>
            <w:tcBorders>
              <w:top w:val="single" w:sz="4" w:space="0" w:color="auto"/>
              <w:left w:val="nil"/>
              <w:bottom w:val="nil"/>
              <w:right w:val="nil"/>
            </w:tcBorders>
            <w:vAlign w:val="center"/>
            <w:hideMark/>
          </w:tcPr>
          <w:p w14:paraId="3C5BAA9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257.8</w:t>
            </w:r>
          </w:p>
        </w:tc>
        <w:tc>
          <w:tcPr>
            <w:tcW w:w="615" w:type="pct"/>
            <w:tcBorders>
              <w:top w:val="single" w:sz="4" w:space="0" w:color="auto"/>
              <w:left w:val="nil"/>
              <w:bottom w:val="nil"/>
              <w:right w:val="single" w:sz="4" w:space="0" w:color="auto"/>
            </w:tcBorders>
            <w:vAlign w:val="center"/>
            <w:hideMark/>
          </w:tcPr>
          <w:p w14:paraId="23AB824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85.9</w:t>
            </w:r>
          </w:p>
        </w:tc>
      </w:tr>
      <w:tr w:rsidR="00F41C4E" w:rsidRPr="00007A97" w14:paraId="48737D53" w14:textId="77777777" w:rsidTr="00F41C4E">
        <w:trPr>
          <w:trHeight w:val="540"/>
        </w:trPr>
        <w:tc>
          <w:tcPr>
            <w:tcW w:w="352" w:type="pct"/>
            <w:tcBorders>
              <w:top w:val="single" w:sz="4" w:space="0" w:color="auto"/>
              <w:left w:val="single" w:sz="4" w:space="0" w:color="auto"/>
              <w:bottom w:val="nil"/>
              <w:right w:val="nil"/>
            </w:tcBorders>
            <w:noWrap/>
            <w:vAlign w:val="center"/>
            <w:hideMark/>
          </w:tcPr>
          <w:p w14:paraId="07587EA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lastRenderedPageBreak/>
              <w:t>25</w:t>
            </w:r>
          </w:p>
        </w:tc>
        <w:tc>
          <w:tcPr>
            <w:tcW w:w="2800" w:type="pct"/>
            <w:tcBorders>
              <w:top w:val="single" w:sz="4" w:space="0" w:color="auto"/>
              <w:left w:val="single" w:sz="4" w:space="0" w:color="auto"/>
              <w:bottom w:val="nil"/>
              <w:right w:val="nil"/>
            </w:tcBorders>
            <w:vAlign w:val="center"/>
            <w:hideMark/>
          </w:tcPr>
          <w:p w14:paraId="69000297"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issuing of a warrant in a proceeding allocated to the residential tenancies division</w:t>
            </w:r>
          </w:p>
        </w:tc>
        <w:tc>
          <w:tcPr>
            <w:tcW w:w="617" w:type="pct"/>
            <w:tcBorders>
              <w:top w:val="single" w:sz="4" w:space="0" w:color="auto"/>
              <w:left w:val="single" w:sz="4" w:space="0" w:color="auto"/>
              <w:bottom w:val="nil"/>
              <w:right w:val="nil"/>
            </w:tcBorders>
            <w:vAlign w:val="center"/>
            <w:hideMark/>
          </w:tcPr>
          <w:p w14:paraId="40705BF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409.2</w:t>
            </w:r>
          </w:p>
        </w:tc>
        <w:tc>
          <w:tcPr>
            <w:tcW w:w="616" w:type="pct"/>
            <w:tcBorders>
              <w:top w:val="single" w:sz="4" w:space="0" w:color="auto"/>
              <w:left w:val="nil"/>
              <w:bottom w:val="nil"/>
              <w:right w:val="nil"/>
            </w:tcBorders>
            <w:vAlign w:val="center"/>
            <w:hideMark/>
          </w:tcPr>
          <w:p w14:paraId="31849E9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135.0</w:t>
            </w:r>
          </w:p>
        </w:tc>
        <w:tc>
          <w:tcPr>
            <w:tcW w:w="615" w:type="pct"/>
            <w:tcBorders>
              <w:top w:val="single" w:sz="4" w:space="0" w:color="auto"/>
              <w:left w:val="nil"/>
              <w:bottom w:val="nil"/>
              <w:right w:val="single" w:sz="4" w:space="0" w:color="auto"/>
            </w:tcBorders>
            <w:vAlign w:val="center"/>
            <w:hideMark/>
          </w:tcPr>
          <w:p w14:paraId="47C4155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153E48B5" w14:textId="77777777" w:rsidTr="00F41C4E">
        <w:trPr>
          <w:trHeight w:val="780"/>
        </w:trPr>
        <w:tc>
          <w:tcPr>
            <w:tcW w:w="352" w:type="pct"/>
            <w:tcBorders>
              <w:top w:val="single" w:sz="4" w:space="0" w:color="auto"/>
              <w:left w:val="single" w:sz="4" w:space="0" w:color="auto"/>
              <w:bottom w:val="nil"/>
              <w:right w:val="nil"/>
            </w:tcBorders>
            <w:noWrap/>
            <w:vAlign w:val="center"/>
            <w:hideMark/>
          </w:tcPr>
          <w:p w14:paraId="119BC76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26</w:t>
            </w:r>
          </w:p>
        </w:tc>
        <w:tc>
          <w:tcPr>
            <w:tcW w:w="2800" w:type="pct"/>
            <w:tcBorders>
              <w:top w:val="single" w:sz="4" w:space="0" w:color="auto"/>
              <w:left w:val="single" w:sz="4" w:space="0" w:color="auto"/>
              <w:bottom w:val="nil"/>
              <w:right w:val="nil"/>
            </w:tcBorders>
            <w:vAlign w:val="center"/>
            <w:hideMark/>
          </w:tcPr>
          <w:p w14:paraId="203C68C5"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a compulsory conference including for case management of expert witness evidence for a proceeding for which a fee is payable under Part 1 of this Schedule on commencement, for each day or part of a day</w:t>
            </w:r>
          </w:p>
        </w:tc>
        <w:tc>
          <w:tcPr>
            <w:tcW w:w="617" w:type="pct"/>
            <w:tcBorders>
              <w:top w:val="single" w:sz="4" w:space="0" w:color="auto"/>
              <w:left w:val="single" w:sz="4" w:space="0" w:color="auto"/>
              <w:bottom w:val="nil"/>
              <w:right w:val="nil"/>
            </w:tcBorders>
            <w:vAlign w:val="center"/>
            <w:hideMark/>
          </w:tcPr>
          <w:p w14:paraId="488C1E9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1,281.6</w:t>
            </w:r>
          </w:p>
        </w:tc>
        <w:tc>
          <w:tcPr>
            <w:tcW w:w="616" w:type="pct"/>
            <w:tcBorders>
              <w:top w:val="single" w:sz="4" w:space="0" w:color="auto"/>
              <w:left w:val="nil"/>
              <w:bottom w:val="nil"/>
              <w:right w:val="nil"/>
            </w:tcBorders>
            <w:vAlign w:val="center"/>
            <w:hideMark/>
          </w:tcPr>
          <w:p w14:paraId="427D61B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422.9</w:t>
            </w:r>
          </w:p>
        </w:tc>
        <w:tc>
          <w:tcPr>
            <w:tcW w:w="615" w:type="pct"/>
            <w:tcBorders>
              <w:top w:val="single" w:sz="4" w:space="0" w:color="auto"/>
              <w:left w:val="nil"/>
              <w:bottom w:val="nil"/>
              <w:right w:val="single" w:sz="4" w:space="0" w:color="auto"/>
            </w:tcBorders>
            <w:vAlign w:val="center"/>
            <w:hideMark/>
          </w:tcPr>
          <w:p w14:paraId="5F1A766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141.0</w:t>
            </w:r>
          </w:p>
        </w:tc>
      </w:tr>
      <w:tr w:rsidR="00F41C4E" w:rsidRPr="00007A97" w14:paraId="321B125C" w14:textId="77777777" w:rsidTr="00F41C4E">
        <w:trPr>
          <w:trHeight w:val="510"/>
        </w:trPr>
        <w:tc>
          <w:tcPr>
            <w:tcW w:w="352" w:type="pct"/>
            <w:tcBorders>
              <w:top w:val="single" w:sz="4" w:space="0" w:color="auto"/>
              <w:left w:val="single" w:sz="4" w:space="0" w:color="auto"/>
              <w:bottom w:val="nil"/>
              <w:right w:val="nil"/>
            </w:tcBorders>
            <w:noWrap/>
            <w:vAlign w:val="center"/>
            <w:hideMark/>
          </w:tcPr>
          <w:p w14:paraId="11780D1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27</w:t>
            </w:r>
          </w:p>
        </w:tc>
        <w:tc>
          <w:tcPr>
            <w:tcW w:w="2800" w:type="pct"/>
            <w:tcBorders>
              <w:top w:val="single" w:sz="4" w:space="0" w:color="auto"/>
              <w:left w:val="single" w:sz="4" w:space="0" w:color="auto"/>
              <w:bottom w:val="nil"/>
              <w:right w:val="nil"/>
            </w:tcBorders>
            <w:vAlign w:val="center"/>
            <w:hideMark/>
          </w:tcPr>
          <w:p w14:paraId="4599F953"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a mediation for a proceeding for which a fee is payable under Part 1 of this Schedule on commencement, for each day or part of a day</w:t>
            </w:r>
          </w:p>
        </w:tc>
        <w:tc>
          <w:tcPr>
            <w:tcW w:w="617" w:type="pct"/>
            <w:tcBorders>
              <w:top w:val="single" w:sz="4" w:space="0" w:color="auto"/>
              <w:left w:val="single" w:sz="4" w:space="0" w:color="auto"/>
              <w:bottom w:val="nil"/>
              <w:right w:val="nil"/>
            </w:tcBorders>
            <w:vAlign w:val="center"/>
            <w:hideMark/>
          </w:tcPr>
          <w:p w14:paraId="3EFECF2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897.1</w:t>
            </w:r>
          </w:p>
        </w:tc>
        <w:tc>
          <w:tcPr>
            <w:tcW w:w="616" w:type="pct"/>
            <w:tcBorders>
              <w:top w:val="single" w:sz="4" w:space="0" w:color="auto"/>
              <w:left w:val="nil"/>
              <w:bottom w:val="nil"/>
              <w:right w:val="nil"/>
            </w:tcBorders>
            <w:vAlign w:val="center"/>
            <w:hideMark/>
          </w:tcPr>
          <w:p w14:paraId="505ECC0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296.0</w:t>
            </w:r>
          </w:p>
        </w:tc>
        <w:tc>
          <w:tcPr>
            <w:tcW w:w="615" w:type="pct"/>
            <w:tcBorders>
              <w:top w:val="single" w:sz="4" w:space="0" w:color="auto"/>
              <w:left w:val="nil"/>
              <w:bottom w:val="nil"/>
              <w:right w:val="single" w:sz="4" w:space="0" w:color="auto"/>
            </w:tcBorders>
            <w:vAlign w:val="center"/>
            <w:hideMark/>
          </w:tcPr>
          <w:p w14:paraId="5FC560A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98.7</w:t>
            </w:r>
          </w:p>
        </w:tc>
      </w:tr>
      <w:tr w:rsidR="009B659C" w:rsidRPr="00007A97" w14:paraId="74C6ED63" w14:textId="77777777" w:rsidTr="009B659C">
        <w:trPr>
          <w:trHeight w:val="372"/>
        </w:trPr>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171680" w14:textId="5FB2ED81" w:rsidR="009B659C" w:rsidRPr="009B659C" w:rsidRDefault="009B659C" w:rsidP="009B659C">
            <w:pPr>
              <w:rPr>
                <w:rFonts w:ascii="Arial" w:hAnsi="Arial" w:cs="Arial"/>
                <w:color w:val="000000"/>
                <w:sz w:val="18"/>
                <w:szCs w:val="18"/>
                <w:lang w:eastAsia="ko-KR"/>
              </w:rPr>
            </w:pPr>
            <w:r w:rsidRPr="009B659C">
              <w:rPr>
                <w:rFonts w:ascii="Arial" w:hAnsi="Arial" w:cs="Arial"/>
                <w:b/>
                <w:bCs/>
                <w:color w:val="000000"/>
                <w:sz w:val="18"/>
                <w:szCs w:val="18"/>
                <w:lang w:eastAsia="ko-KR"/>
              </w:rPr>
              <w:t>Part 3—Hearing fee</w:t>
            </w:r>
          </w:p>
        </w:tc>
      </w:tr>
      <w:tr w:rsidR="00F41C4E" w:rsidRPr="00007A97" w14:paraId="543F3AD3" w14:textId="77777777" w:rsidTr="00F41C4E">
        <w:trPr>
          <w:trHeight w:val="645"/>
        </w:trPr>
        <w:tc>
          <w:tcPr>
            <w:tcW w:w="352" w:type="pct"/>
            <w:tcBorders>
              <w:top w:val="single" w:sz="4" w:space="0" w:color="auto"/>
              <w:left w:val="single" w:sz="4" w:space="0" w:color="auto"/>
              <w:bottom w:val="nil"/>
              <w:right w:val="nil"/>
            </w:tcBorders>
            <w:noWrap/>
            <w:vAlign w:val="center"/>
            <w:hideMark/>
          </w:tcPr>
          <w:p w14:paraId="0E8DD45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28</w:t>
            </w:r>
          </w:p>
        </w:tc>
        <w:tc>
          <w:tcPr>
            <w:tcW w:w="2800" w:type="pct"/>
            <w:tcBorders>
              <w:top w:val="single" w:sz="4" w:space="0" w:color="auto"/>
              <w:left w:val="single" w:sz="4" w:space="0" w:color="auto"/>
              <w:bottom w:val="nil"/>
              <w:right w:val="nil"/>
            </w:tcBorders>
            <w:vAlign w:val="center"/>
            <w:hideMark/>
          </w:tcPr>
          <w:p w14:paraId="721804AA"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hearing a proceeding for which a fee is payable under Part 1 of this Schedule on commencement, for each day or part of a day, if the proceeding is —</w:t>
            </w:r>
          </w:p>
        </w:tc>
        <w:tc>
          <w:tcPr>
            <w:tcW w:w="617" w:type="pct"/>
            <w:tcBorders>
              <w:top w:val="single" w:sz="4" w:space="0" w:color="auto"/>
              <w:left w:val="single" w:sz="4" w:space="0" w:color="auto"/>
              <w:bottom w:val="nil"/>
              <w:right w:val="nil"/>
            </w:tcBorders>
            <w:vAlign w:val="center"/>
            <w:hideMark/>
          </w:tcPr>
          <w:p w14:paraId="1E77DFA7" w14:textId="77777777" w:rsidR="00007A97" w:rsidRPr="00007A97" w:rsidRDefault="00007A97" w:rsidP="00007A97">
            <w:pPr>
              <w:rPr>
                <w:rFonts w:ascii="Arial" w:hAnsi="Arial" w:cs="Arial"/>
                <w:color w:val="000000"/>
                <w:sz w:val="18"/>
                <w:szCs w:val="18"/>
                <w:lang w:eastAsia="ko-KR"/>
              </w:rPr>
            </w:pPr>
          </w:p>
        </w:tc>
        <w:tc>
          <w:tcPr>
            <w:tcW w:w="616" w:type="pct"/>
            <w:tcBorders>
              <w:top w:val="single" w:sz="4" w:space="0" w:color="auto"/>
              <w:left w:val="nil"/>
              <w:bottom w:val="nil"/>
              <w:right w:val="nil"/>
            </w:tcBorders>
            <w:vAlign w:val="center"/>
            <w:hideMark/>
          </w:tcPr>
          <w:p w14:paraId="77CBC0BD" w14:textId="77777777" w:rsidR="00007A97" w:rsidRPr="00007A97" w:rsidRDefault="00007A97" w:rsidP="00007A97">
            <w:pPr>
              <w:jc w:val="center"/>
              <w:rPr>
                <w:rFonts w:ascii="Times New Roman" w:hAnsi="Times New Roman"/>
                <w:lang w:eastAsia="ko-KR"/>
              </w:rPr>
            </w:pPr>
          </w:p>
        </w:tc>
        <w:tc>
          <w:tcPr>
            <w:tcW w:w="615" w:type="pct"/>
            <w:tcBorders>
              <w:top w:val="single" w:sz="4" w:space="0" w:color="auto"/>
              <w:left w:val="nil"/>
              <w:bottom w:val="nil"/>
              <w:right w:val="single" w:sz="4" w:space="0" w:color="auto"/>
            </w:tcBorders>
            <w:vAlign w:val="center"/>
            <w:hideMark/>
          </w:tcPr>
          <w:p w14:paraId="5EADFFE7" w14:textId="77777777" w:rsidR="00007A97" w:rsidRPr="00007A97" w:rsidRDefault="00007A97" w:rsidP="00007A97">
            <w:pPr>
              <w:jc w:val="center"/>
              <w:rPr>
                <w:rFonts w:ascii="Times New Roman" w:hAnsi="Times New Roman"/>
                <w:lang w:eastAsia="ko-KR"/>
              </w:rPr>
            </w:pPr>
          </w:p>
        </w:tc>
      </w:tr>
      <w:tr w:rsidR="00F41C4E" w:rsidRPr="00007A97" w14:paraId="7138672B" w14:textId="77777777" w:rsidTr="00F41C4E">
        <w:trPr>
          <w:trHeight w:val="285"/>
        </w:trPr>
        <w:tc>
          <w:tcPr>
            <w:tcW w:w="352" w:type="pct"/>
            <w:tcBorders>
              <w:top w:val="nil"/>
              <w:left w:val="single" w:sz="4" w:space="0" w:color="auto"/>
              <w:bottom w:val="nil"/>
              <w:right w:val="nil"/>
            </w:tcBorders>
            <w:noWrap/>
            <w:vAlign w:val="center"/>
            <w:hideMark/>
          </w:tcPr>
          <w:p w14:paraId="18C09EC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098D266"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 xml:space="preserve">(a) a complex case that is allocated to the administrative division </w:t>
            </w:r>
          </w:p>
        </w:tc>
        <w:tc>
          <w:tcPr>
            <w:tcW w:w="617" w:type="pct"/>
            <w:tcBorders>
              <w:top w:val="nil"/>
              <w:left w:val="single" w:sz="4" w:space="0" w:color="auto"/>
              <w:bottom w:val="nil"/>
              <w:right w:val="nil"/>
            </w:tcBorders>
            <w:vAlign w:val="center"/>
            <w:hideMark/>
          </w:tcPr>
          <w:p w14:paraId="71CC682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4,676.6</w:t>
            </w:r>
          </w:p>
        </w:tc>
        <w:tc>
          <w:tcPr>
            <w:tcW w:w="616" w:type="pct"/>
            <w:tcBorders>
              <w:top w:val="nil"/>
              <w:left w:val="nil"/>
              <w:bottom w:val="nil"/>
              <w:right w:val="nil"/>
            </w:tcBorders>
            <w:vAlign w:val="center"/>
            <w:hideMark/>
          </w:tcPr>
          <w:p w14:paraId="49C5470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1,543.3</w:t>
            </w:r>
          </w:p>
        </w:tc>
        <w:tc>
          <w:tcPr>
            <w:tcW w:w="615" w:type="pct"/>
            <w:tcBorders>
              <w:top w:val="nil"/>
              <w:left w:val="nil"/>
              <w:bottom w:val="nil"/>
              <w:right w:val="single" w:sz="4" w:space="0" w:color="auto"/>
            </w:tcBorders>
            <w:vAlign w:val="center"/>
            <w:hideMark/>
          </w:tcPr>
          <w:p w14:paraId="30420EA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514.4</w:t>
            </w:r>
          </w:p>
        </w:tc>
      </w:tr>
      <w:tr w:rsidR="00F41C4E" w:rsidRPr="00007A97" w14:paraId="74C7AAD5" w14:textId="77777777" w:rsidTr="00F41C4E">
        <w:trPr>
          <w:trHeight w:val="285"/>
        </w:trPr>
        <w:tc>
          <w:tcPr>
            <w:tcW w:w="352" w:type="pct"/>
            <w:tcBorders>
              <w:top w:val="nil"/>
              <w:left w:val="single" w:sz="4" w:space="0" w:color="auto"/>
              <w:bottom w:val="nil"/>
              <w:right w:val="nil"/>
            </w:tcBorders>
            <w:noWrap/>
            <w:vAlign w:val="center"/>
            <w:hideMark/>
          </w:tcPr>
          <w:p w14:paraId="1BDAC24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25CCA2E"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(b) a complex case that is allocated to the planning and environment division</w:t>
            </w:r>
          </w:p>
        </w:tc>
        <w:tc>
          <w:tcPr>
            <w:tcW w:w="617" w:type="pct"/>
            <w:tcBorders>
              <w:top w:val="nil"/>
              <w:left w:val="single" w:sz="4" w:space="0" w:color="auto"/>
              <w:bottom w:val="nil"/>
              <w:right w:val="nil"/>
            </w:tcBorders>
            <w:vAlign w:val="center"/>
            <w:hideMark/>
          </w:tcPr>
          <w:p w14:paraId="2CC5281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4,676.6</w:t>
            </w:r>
          </w:p>
        </w:tc>
        <w:tc>
          <w:tcPr>
            <w:tcW w:w="616" w:type="pct"/>
            <w:tcBorders>
              <w:top w:val="nil"/>
              <w:left w:val="nil"/>
              <w:bottom w:val="nil"/>
              <w:right w:val="nil"/>
            </w:tcBorders>
            <w:vAlign w:val="center"/>
            <w:hideMark/>
          </w:tcPr>
          <w:p w14:paraId="22A0E5D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1,543.3</w:t>
            </w:r>
          </w:p>
        </w:tc>
        <w:tc>
          <w:tcPr>
            <w:tcW w:w="615" w:type="pct"/>
            <w:tcBorders>
              <w:top w:val="nil"/>
              <w:left w:val="nil"/>
              <w:bottom w:val="nil"/>
              <w:right w:val="single" w:sz="4" w:space="0" w:color="auto"/>
            </w:tcBorders>
            <w:vAlign w:val="center"/>
            <w:hideMark/>
          </w:tcPr>
          <w:p w14:paraId="119DFB8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514.4</w:t>
            </w:r>
          </w:p>
        </w:tc>
      </w:tr>
      <w:tr w:rsidR="00F41C4E" w:rsidRPr="00007A97" w14:paraId="70399D8A" w14:textId="77777777" w:rsidTr="00F41C4E">
        <w:trPr>
          <w:trHeight w:val="285"/>
        </w:trPr>
        <w:tc>
          <w:tcPr>
            <w:tcW w:w="352" w:type="pct"/>
            <w:tcBorders>
              <w:top w:val="nil"/>
              <w:left w:val="single" w:sz="4" w:space="0" w:color="auto"/>
              <w:bottom w:val="nil"/>
              <w:right w:val="nil"/>
            </w:tcBorders>
            <w:noWrap/>
            <w:vAlign w:val="center"/>
            <w:hideMark/>
          </w:tcPr>
          <w:p w14:paraId="2AF1951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0F10918"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(c) a major case that is allocated to the planning and environment division</w:t>
            </w:r>
          </w:p>
        </w:tc>
        <w:tc>
          <w:tcPr>
            <w:tcW w:w="617" w:type="pct"/>
            <w:tcBorders>
              <w:top w:val="nil"/>
              <w:left w:val="single" w:sz="4" w:space="0" w:color="auto"/>
              <w:bottom w:val="nil"/>
              <w:right w:val="nil"/>
            </w:tcBorders>
            <w:vAlign w:val="center"/>
            <w:hideMark/>
          </w:tcPr>
          <w:p w14:paraId="09F6959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4,676.6</w:t>
            </w:r>
          </w:p>
        </w:tc>
        <w:tc>
          <w:tcPr>
            <w:tcW w:w="616" w:type="pct"/>
            <w:tcBorders>
              <w:top w:val="nil"/>
              <w:left w:val="nil"/>
              <w:bottom w:val="nil"/>
              <w:right w:val="nil"/>
            </w:tcBorders>
            <w:vAlign w:val="center"/>
            <w:hideMark/>
          </w:tcPr>
          <w:p w14:paraId="53D6953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4,676.6</w:t>
            </w:r>
          </w:p>
        </w:tc>
        <w:tc>
          <w:tcPr>
            <w:tcW w:w="615" w:type="pct"/>
            <w:tcBorders>
              <w:top w:val="nil"/>
              <w:left w:val="nil"/>
              <w:bottom w:val="nil"/>
              <w:right w:val="single" w:sz="4" w:space="0" w:color="auto"/>
            </w:tcBorders>
            <w:vAlign w:val="center"/>
            <w:hideMark/>
          </w:tcPr>
          <w:p w14:paraId="6A26DEA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4,676.6</w:t>
            </w:r>
          </w:p>
        </w:tc>
      </w:tr>
      <w:tr w:rsidR="00F41C4E" w:rsidRPr="00007A97" w14:paraId="0A950915" w14:textId="77777777" w:rsidTr="00F41C4E">
        <w:trPr>
          <w:trHeight w:val="285"/>
        </w:trPr>
        <w:tc>
          <w:tcPr>
            <w:tcW w:w="352" w:type="pct"/>
            <w:tcBorders>
              <w:top w:val="nil"/>
              <w:left w:val="single" w:sz="4" w:space="0" w:color="auto"/>
              <w:bottom w:val="nil"/>
              <w:right w:val="nil"/>
            </w:tcBorders>
            <w:noWrap/>
            <w:vAlign w:val="center"/>
            <w:hideMark/>
          </w:tcPr>
          <w:p w14:paraId="6D5D994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ACE83ED"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(d) a complex case that is allocated to the civil division or the human rights division</w:t>
            </w:r>
          </w:p>
        </w:tc>
        <w:tc>
          <w:tcPr>
            <w:tcW w:w="617" w:type="pct"/>
            <w:tcBorders>
              <w:top w:val="nil"/>
              <w:left w:val="single" w:sz="4" w:space="0" w:color="auto"/>
              <w:bottom w:val="nil"/>
              <w:right w:val="nil"/>
            </w:tcBorders>
            <w:vAlign w:val="center"/>
            <w:hideMark/>
          </w:tcPr>
          <w:p w14:paraId="1FA7DF0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3,434.7</w:t>
            </w:r>
          </w:p>
        </w:tc>
        <w:tc>
          <w:tcPr>
            <w:tcW w:w="616" w:type="pct"/>
            <w:tcBorders>
              <w:top w:val="nil"/>
              <w:left w:val="nil"/>
              <w:bottom w:val="nil"/>
              <w:right w:val="nil"/>
            </w:tcBorders>
            <w:vAlign w:val="center"/>
            <w:hideMark/>
          </w:tcPr>
          <w:p w14:paraId="062512A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1,133.4</w:t>
            </w:r>
          </w:p>
        </w:tc>
        <w:tc>
          <w:tcPr>
            <w:tcW w:w="615" w:type="pct"/>
            <w:tcBorders>
              <w:top w:val="nil"/>
              <w:left w:val="nil"/>
              <w:bottom w:val="nil"/>
              <w:right w:val="single" w:sz="4" w:space="0" w:color="auto"/>
            </w:tcBorders>
            <w:vAlign w:val="center"/>
            <w:hideMark/>
          </w:tcPr>
          <w:p w14:paraId="5748453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377.8</w:t>
            </w:r>
          </w:p>
        </w:tc>
      </w:tr>
      <w:tr w:rsidR="00F41C4E" w:rsidRPr="00007A97" w14:paraId="202A330C" w14:textId="77777777" w:rsidTr="00F41C4E">
        <w:trPr>
          <w:trHeight w:val="510"/>
        </w:trPr>
        <w:tc>
          <w:tcPr>
            <w:tcW w:w="352" w:type="pct"/>
            <w:tcBorders>
              <w:top w:val="nil"/>
              <w:left w:val="single" w:sz="4" w:space="0" w:color="auto"/>
              <w:bottom w:val="nil"/>
              <w:right w:val="nil"/>
            </w:tcBorders>
            <w:noWrap/>
            <w:vAlign w:val="center"/>
            <w:hideMark/>
          </w:tcPr>
          <w:p w14:paraId="128A2EE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A35A683" w14:textId="77777777" w:rsidR="00007A97" w:rsidRPr="00007A97" w:rsidRDefault="00007A97" w:rsidP="00D41DC2">
            <w:pPr>
              <w:rPr>
                <w:rFonts w:ascii="Arial" w:hAnsi="Arial" w:cs="Arial"/>
                <w:color w:val="000000"/>
                <w:sz w:val="18"/>
                <w:szCs w:val="18"/>
                <w:lang w:eastAsia="ko-KR"/>
              </w:rPr>
            </w:pPr>
            <w:r w:rsidRPr="00007A97">
              <w:rPr>
                <w:rFonts w:ascii="Arial" w:hAnsi="Arial" w:cs="Arial"/>
                <w:color w:val="000000"/>
                <w:sz w:val="18"/>
                <w:szCs w:val="18"/>
                <w:lang w:eastAsia="ko-KR"/>
              </w:rPr>
              <w:t>(e) for a claim that is not for a sum, or is for an unspecified sum, or is for a sum more than $15 000    —</w:t>
            </w:r>
          </w:p>
        </w:tc>
        <w:tc>
          <w:tcPr>
            <w:tcW w:w="617" w:type="pct"/>
            <w:tcBorders>
              <w:top w:val="nil"/>
              <w:left w:val="single" w:sz="4" w:space="0" w:color="auto"/>
              <w:bottom w:val="nil"/>
              <w:right w:val="nil"/>
            </w:tcBorders>
            <w:vAlign w:val="center"/>
            <w:hideMark/>
          </w:tcPr>
          <w:p w14:paraId="5741C695"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116C178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7AD03264" w14:textId="77777777" w:rsidR="00007A97" w:rsidRPr="00007A97" w:rsidRDefault="00007A97" w:rsidP="00007A97">
            <w:pPr>
              <w:jc w:val="center"/>
              <w:rPr>
                <w:rFonts w:ascii="Times New Roman" w:hAnsi="Times New Roman"/>
                <w:lang w:eastAsia="ko-KR"/>
              </w:rPr>
            </w:pPr>
          </w:p>
        </w:tc>
      </w:tr>
      <w:tr w:rsidR="00F41C4E" w:rsidRPr="00007A97" w14:paraId="4F3D2B22" w14:textId="77777777" w:rsidTr="00F41C4E">
        <w:trPr>
          <w:trHeight w:val="285"/>
        </w:trPr>
        <w:tc>
          <w:tcPr>
            <w:tcW w:w="352" w:type="pct"/>
            <w:tcBorders>
              <w:top w:val="nil"/>
              <w:left w:val="single" w:sz="4" w:space="0" w:color="auto"/>
              <w:bottom w:val="nil"/>
              <w:right w:val="nil"/>
            </w:tcBorders>
            <w:noWrap/>
            <w:vAlign w:val="center"/>
            <w:hideMark/>
          </w:tcPr>
          <w:p w14:paraId="0DF50BA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0CCC0924"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(i) day one, for a proceeding that is—</w:t>
            </w:r>
          </w:p>
        </w:tc>
        <w:tc>
          <w:tcPr>
            <w:tcW w:w="617" w:type="pct"/>
            <w:tcBorders>
              <w:top w:val="nil"/>
              <w:left w:val="single" w:sz="4" w:space="0" w:color="auto"/>
              <w:bottom w:val="nil"/>
              <w:right w:val="nil"/>
            </w:tcBorders>
            <w:vAlign w:val="center"/>
            <w:hideMark/>
          </w:tcPr>
          <w:p w14:paraId="0A8761E7" w14:textId="77777777" w:rsidR="00007A97" w:rsidRPr="00007A97" w:rsidRDefault="00007A97" w:rsidP="00007A97">
            <w:pPr>
              <w:ind w:firstLineChars="900" w:firstLine="162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06C39AC3"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914D507" w14:textId="77777777" w:rsidR="00007A97" w:rsidRPr="00007A97" w:rsidRDefault="00007A97" w:rsidP="00007A97">
            <w:pPr>
              <w:jc w:val="center"/>
              <w:rPr>
                <w:rFonts w:ascii="Times New Roman" w:hAnsi="Times New Roman"/>
                <w:lang w:eastAsia="ko-KR"/>
              </w:rPr>
            </w:pPr>
          </w:p>
        </w:tc>
      </w:tr>
      <w:tr w:rsidR="00F41C4E" w:rsidRPr="00007A97" w14:paraId="1F29A696" w14:textId="77777777" w:rsidTr="00D41DC2">
        <w:trPr>
          <w:trHeight w:val="204"/>
        </w:trPr>
        <w:tc>
          <w:tcPr>
            <w:tcW w:w="352" w:type="pct"/>
            <w:tcBorders>
              <w:top w:val="nil"/>
              <w:left w:val="single" w:sz="4" w:space="0" w:color="auto"/>
              <w:bottom w:val="nil"/>
              <w:right w:val="nil"/>
            </w:tcBorders>
            <w:noWrap/>
            <w:vAlign w:val="center"/>
            <w:hideMark/>
          </w:tcPr>
          <w:p w14:paraId="78AC9D0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1111020B" w14:textId="77777777" w:rsidR="00007A97" w:rsidRPr="00007A97" w:rsidRDefault="00007A97" w:rsidP="00D41DC2">
            <w:pPr>
              <w:ind w:left="720"/>
              <w:rPr>
                <w:rFonts w:ascii="Arial" w:hAnsi="Arial" w:cs="Arial"/>
                <w:color w:val="000000"/>
                <w:sz w:val="18"/>
                <w:szCs w:val="18"/>
                <w:lang w:eastAsia="ko-KR"/>
              </w:rPr>
            </w:pPr>
            <w:r w:rsidRPr="00007A97">
              <w:rPr>
                <w:rFonts w:ascii="Arial" w:hAnsi="Arial" w:cs="Arial"/>
                <w:color w:val="000000"/>
                <w:sz w:val="18"/>
                <w:szCs w:val="18"/>
                <w:lang w:eastAsia="ko-KR"/>
              </w:rPr>
              <w:t xml:space="preserve">(A) under the </w:t>
            </w:r>
            <w:r w:rsidRPr="00007A97">
              <w:rPr>
                <w:rFonts w:ascii="Arial" w:hAnsi="Arial" w:cs="Arial"/>
                <w:b/>
                <w:bCs/>
                <w:color w:val="000000"/>
                <w:sz w:val="18"/>
                <w:szCs w:val="18"/>
                <w:lang w:eastAsia="ko-KR"/>
              </w:rPr>
              <w:t>Owners Corporations Act 2006</w:t>
            </w:r>
            <w:r w:rsidRPr="00007A97">
              <w:rPr>
                <w:rFonts w:ascii="Arial" w:hAnsi="Arial" w:cs="Arial"/>
                <w:color w:val="000000"/>
                <w:sz w:val="18"/>
                <w:szCs w:val="18"/>
                <w:lang w:eastAsia="ko-KR"/>
              </w:rPr>
              <w:t>, except section 191; or</w:t>
            </w:r>
          </w:p>
        </w:tc>
        <w:tc>
          <w:tcPr>
            <w:tcW w:w="617" w:type="pct"/>
            <w:tcBorders>
              <w:top w:val="nil"/>
              <w:left w:val="single" w:sz="4" w:space="0" w:color="auto"/>
              <w:bottom w:val="nil"/>
              <w:right w:val="nil"/>
            </w:tcBorders>
            <w:vAlign w:val="center"/>
            <w:hideMark/>
          </w:tcPr>
          <w:p w14:paraId="54881412" w14:textId="77777777" w:rsidR="00007A97" w:rsidRPr="00007A97" w:rsidRDefault="00007A97" w:rsidP="00007A97">
            <w:pPr>
              <w:ind w:firstLineChars="1300" w:firstLine="23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0376D999"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1867B02" w14:textId="77777777" w:rsidR="00007A97" w:rsidRPr="00007A97" w:rsidRDefault="00007A97" w:rsidP="00007A97">
            <w:pPr>
              <w:jc w:val="center"/>
              <w:rPr>
                <w:rFonts w:ascii="Times New Roman" w:hAnsi="Times New Roman"/>
                <w:lang w:eastAsia="ko-KR"/>
              </w:rPr>
            </w:pPr>
          </w:p>
        </w:tc>
      </w:tr>
      <w:tr w:rsidR="00F41C4E" w:rsidRPr="00007A97" w14:paraId="71856AA5" w14:textId="77777777" w:rsidTr="00F41C4E">
        <w:trPr>
          <w:trHeight w:val="285"/>
        </w:trPr>
        <w:tc>
          <w:tcPr>
            <w:tcW w:w="352" w:type="pct"/>
            <w:tcBorders>
              <w:top w:val="nil"/>
              <w:left w:val="single" w:sz="4" w:space="0" w:color="auto"/>
              <w:bottom w:val="nil"/>
              <w:right w:val="nil"/>
            </w:tcBorders>
            <w:noWrap/>
            <w:vAlign w:val="center"/>
            <w:hideMark/>
          </w:tcPr>
          <w:p w14:paraId="1BE89E7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612FAC7"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(B) allocated to the residential tenancies division</w:t>
            </w:r>
          </w:p>
        </w:tc>
        <w:tc>
          <w:tcPr>
            <w:tcW w:w="617" w:type="pct"/>
            <w:tcBorders>
              <w:top w:val="nil"/>
              <w:left w:val="single" w:sz="4" w:space="0" w:color="auto"/>
              <w:bottom w:val="nil"/>
              <w:right w:val="nil"/>
            </w:tcBorders>
            <w:vAlign w:val="center"/>
            <w:hideMark/>
          </w:tcPr>
          <w:p w14:paraId="612B7C7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c>
          <w:tcPr>
            <w:tcW w:w="616" w:type="pct"/>
            <w:tcBorders>
              <w:top w:val="nil"/>
              <w:left w:val="nil"/>
              <w:bottom w:val="nil"/>
              <w:right w:val="nil"/>
            </w:tcBorders>
            <w:vAlign w:val="center"/>
            <w:hideMark/>
          </w:tcPr>
          <w:p w14:paraId="5C5202F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c>
          <w:tcPr>
            <w:tcW w:w="615" w:type="pct"/>
            <w:tcBorders>
              <w:top w:val="nil"/>
              <w:left w:val="nil"/>
              <w:bottom w:val="nil"/>
              <w:right w:val="single" w:sz="4" w:space="0" w:color="auto"/>
            </w:tcBorders>
            <w:vAlign w:val="center"/>
            <w:hideMark/>
          </w:tcPr>
          <w:p w14:paraId="5148D0F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3635CCB8" w14:textId="77777777" w:rsidTr="00F41C4E">
        <w:trPr>
          <w:trHeight w:val="285"/>
        </w:trPr>
        <w:tc>
          <w:tcPr>
            <w:tcW w:w="352" w:type="pct"/>
            <w:tcBorders>
              <w:top w:val="nil"/>
              <w:left w:val="single" w:sz="4" w:space="0" w:color="auto"/>
              <w:bottom w:val="nil"/>
              <w:right w:val="nil"/>
            </w:tcBorders>
            <w:noWrap/>
            <w:vAlign w:val="center"/>
            <w:hideMark/>
          </w:tcPr>
          <w:p w14:paraId="265930C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6B03CD8"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(ii) day one, otherwise than provided in subparagraph (i)</w:t>
            </w:r>
          </w:p>
        </w:tc>
        <w:tc>
          <w:tcPr>
            <w:tcW w:w="617" w:type="pct"/>
            <w:tcBorders>
              <w:top w:val="nil"/>
              <w:left w:val="single" w:sz="4" w:space="0" w:color="auto"/>
              <w:bottom w:val="nil"/>
              <w:right w:val="nil"/>
            </w:tcBorders>
            <w:vAlign w:val="center"/>
            <w:hideMark/>
          </w:tcPr>
          <w:p w14:paraId="721B176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679.2</w:t>
            </w:r>
          </w:p>
        </w:tc>
        <w:tc>
          <w:tcPr>
            <w:tcW w:w="616" w:type="pct"/>
            <w:tcBorders>
              <w:top w:val="nil"/>
              <w:left w:val="nil"/>
              <w:bottom w:val="nil"/>
              <w:right w:val="nil"/>
            </w:tcBorders>
            <w:vAlign w:val="center"/>
            <w:hideMark/>
          </w:tcPr>
          <w:p w14:paraId="145E1B6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224.1</w:t>
            </w:r>
          </w:p>
        </w:tc>
        <w:tc>
          <w:tcPr>
            <w:tcW w:w="615" w:type="pct"/>
            <w:tcBorders>
              <w:top w:val="nil"/>
              <w:left w:val="nil"/>
              <w:bottom w:val="nil"/>
              <w:right w:val="single" w:sz="4" w:space="0" w:color="auto"/>
            </w:tcBorders>
            <w:vAlign w:val="center"/>
            <w:hideMark/>
          </w:tcPr>
          <w:p w14:paraId="794DBC1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74.7</w:t>
            </w:r>
          </w:p>
        </w:tc>
      </w:tr>
      <w:tr w:rsidR="00F41C4E" w:rsidRPr="00007A97" w14:paraId="62CA1B4B" w14:textId="77777777" w:rsidTr="00F41C4E">
        <w:trPr>
          <w:trHeight w:val="285"/>
        </w:trPr>
        <w:tc>
          <w:tcPr>
            <w:tcW w:w="352" w:type="pct"/>
            <w:tcBorders>
              <w:top w:val="nil"/>
              <w:left w:val="single" w:sz="4" w:space="0" w:color="auto"/>
              <w:bottom w:val="nil"/>
              <w:right w:val="nil"/>
            </w:tcBorders>
            <w:noWrap/>
            <w:vAlign w:val="center"/>
            <w:hideMark/>
          </w:tcPr>
          <w:p w14:paraId="48FB8D2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563EB7C"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(iii) days 2 to 4</w:t>
            </w:r>
          </w:p>
        </w:tc>
        <w:tc>
          <w:tcPr>
            <w:tcW w:w="617" w:type="pct"/>
            <w:tcBorders>
              <w:top w:val="nil"/>
              <w:left w:val="single" w:sz="4" w:space="0" w:color="auto"/>
              <w:bottom w:val="nil"/>
              <w:right w:val="nil"/>
            </w:tcBorders>
            <w:vAlign w:val="center"/>
            <w:hideMark/>
          </w:tcPr>
          <w:p w14:paraId="154DE2B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679.2</w:t>
            </w:r>
          </w:p>
        </w:tc>
        <w:tc>
          <w:tcPr>
            <w:tcW w:w="616" w:type="pct"/>
            <w:tcBorders>
              <w:top w:val="nil"/>
              <w:left w:val="nil"/>
              <w:bottom w:val="nil"/>
              <w:right w:val="nil"/>
            </w:tcBorders>
            <w:vAlign w:val="center"/>
            <w:hideMark/>
          </w:tcPr>
          <w:p w14:paraId="67FF6B4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224.1</w:t>
            </w:r>
          </w:p>
        </w:tc>
        <w:tc>
          <w:tcPr>
            <w:tcW w:w="615" w:type="pct"/>
            <w:tcBorders>
              <w:top w:val="nil"/>
              <w:left w:val="nil"/>
              <w:bottom w:val="nil"/>
              <w:right w:val="single" w:sz="4" w:space="0" w:color="auto"/>
            </w:tcBorders>
            <w:vAlign w:val="center"/>
            <w:hideMark/>
          </w:tcPr>
          <w:p w14:paraId="4CC2A89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74.7</w:t>
            </w:r>
          </w:p>
        </w:tc>
      </w:tr>
      <w:tr w:rsidR="00F41C4E" w:rsidRPr="00007A97" w14:paraId="0FFB5093" w14:textId="77777777" w:rsidTr="00F41C4E">
        <w:trPr>
          <w:trHeight w:val="285"/>
        </w:trPr>
        <w:tc>
          <w:tcPr>
            <w:tcW w:w="352" w:type="pct"/>
            <w:tcBorders>
              <w:top w:val="nil"/>
              <w:left w:val="single" w:sz="4" w:space="0" w:color="auto"/>
              <w:bottom w:val="nil"/>
              <w:right w:val="nil"/>
            </w:tcBorders>
            <w:noWrap/>
            <w:vAlign w:val="center"/>
            <w:hideMark/>
          </w:tcPr>
          <w:p w14:paraId="7E85EAC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728DC384"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(iv) days 5 to 9</w:t>
            </w:r>
          </w:p>
        </w:tc>
        <w:tc>
          <w:tcPr>
            <w:tcW w:w="617" w:type="pct"/>
            <w:tcBorders>
              <w:top w:val="nil"/>
              <w:left w:val="single" w:sz="4" w:space="0" w:color="auto"/>
              <w:bottom w:val="nil"/>
              <w:right w:val="nil"/>
            </w:tcBorders>
            <w:vAlign w:val="center"/>
            <w:hideMark/>
          </w:tcPr>
          <w:p w14:paraId="4392815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1,358.3</w:t>
            </w:r>
          </w:p>
        </w:tc>
        <w:tc>
          <w:tcPr>
            <w:tcW w:w="616" w:type="pct"/>
            <w:tcBorders>
              <w:top w:val="nil"/>
              <w:left w:val="nil"/>
              <w:bottom w:val="nil"/>
              <w:right w:val="nil"/>
            </w:tcBorders>
            <w:vAlign w:val="center"/>
            <w:hideMark/>
          </w:tcPr>
          <w:p w14:paraId="667886B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448.3</w:t>
            </w:r>
          </w:p>
        </w:tc>
        <w:tc>
          <w:tcPr>
            <w:tcW w:w="615" w:type="pct"/>
            <w:tcBorders>
              <w:top w:val="nil"/>
              <w:left w:val="nil"/>
              <w:bottom w:val="nil"/>
              <w:right w:val="single" w:sz="4" w:space="0" w:color="auto"/>
            </w:tcBorders>
            <w:vAlign w:val="center"/>
            <w:hideMark/>
          </w:tcPr>
          <w:p w14:paraId="38D64AA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149.4</w:t>
            </w:r>
          </w:p>
        </w:tc>
      </w:tr>
      <w:tr w:rsidR="00F41C4E" w:rsidRPr="00007A97" w14:paraId="3092CBCB" w14:textId="77777777" w:rsidTr="00F41C4E">
        <w:trPr>
          <w:trHeight w:val="285"/>
        </w:trPr>
        <w:tc>
          <w:tcPr>
            <w:tcW w:w="352" w:type="pct"/>
            <w:tcBorders>
              <w:top w:val="nil"/>
              <w:left w:val="single" w:sz="4" w:space="0" w:color="auto"/>
              <w:bottom w:val="nil"/>
              <w:right w:val="nil"/>
            </w:tcBorders>
            <w:noWrap/>
            <w:vAlign w:val="center"/>
            <w:hideMark/>
          </w:tcPr>
          <w:p w14:paraId="374ED1B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5CF7FA4"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(v) day 10 and any subsequent day</w:t>
            </w:r>
          </w:p>
        </w:tc>
        <w:tc>
          <w:tcPr>
            <w:tcW w:w="617" w:type="pct"/>
            <w:tcBorders>
              <w:top w:val="nil"/>
              <w:left w:val="single" w:sz="4" w:space="0" w:color="auto"/>
              <w:bottom w:val="nil"/>
              <w:right w:val="nil"/>
            </w:tcBorders>
            <w:vAlign w:val="center"/>
            <w:hideMark/>
          </w:tcPr>
          <w:p w14:paraId="6460989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2,037.5</w:t>
            </w:r>
          </w:p>
        </w:tc>
        <w:tc>
          <w:tcPr>
            <w:tcW w:w="616" w:type="pct"/>
            <w:tcBorders>
              <w:top w:val="nil"/>
              <w:left w:val="nil"/>
              <w:bottom w:val="nil"/>
              <w:right w:val="nil"/>
            </w:tcBorders>
            <w:vAlign w:val="center"/>
            <w:hideMark/>
          </w:tcPr>
          <w:p w14:paraId="68CA7C7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672.4</w:t>
            </w:r>
          </w:p>
        </w:tc>
        <w:tc>
          <w:tcPr>
            <w:tcW w:w="615" w:type="pct"/>
            <w:tcBorders>
              <w:top w:val="nil"/>
              <w:left w:val="nil"/>
              <w:bottom w:val="nil"/>
              <w:right w:val="single" w:sz="4" w:space="0" w:color="auto"/>
            </w:tcBorders>
            <w:vAlign w:val="center"/>
            <w:hideMark/>
          </w:tcPr>
          <w:p w14:paraId="3B1505F8"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224.1</w:t>
            </w:r>
          </w:p>
        </w:tc>
      </w:tr>
      <w:tr w:rsidR="00F41C4E" w:rsidRPr="00007A97" w14:paraId="237370BE" w14:textId="77777777" w:rsidTr="00F41C4E">
        <w:trPr>
          <w:trHeight w:val="285"/>
        </w:trPr>
        <w:tc>
          <w:tcPr>
            <w:tcW w:w="352" w:type="pct"/>
            <w:tcBorders>
              <w:top w:val="nil"/>
              <w:left w:val="single" w:sz="4" w:space="0" w:color="auto"/>
              <w:bottom w:val="nil"/>
              <w:right w:val="nil"/>
            </w:tcBorders>
            <w:noWrap/>
            <w:vAlign w:val="center"/>
            <w:hideMark/>
          </w:tcPr>
          <w:p w14:paraId="0AA0F64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5C14B8DD"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(f) for review of a decision made by a decision</w:t>
            </w:r>
            <w:r w:rsidRPr="00007A97">
              <w:rPr>
                <w:rFonts w:ascii="Arial" w:hAnsi="Arial" w:cs="Arial"/>
                <w:color w:val="000000"/>
                <w:sz w:val="18"/>
                <w:szCs w:val="18"/>
                <w:lang w:eastAsia="ko-KR"/>
              </w:rPr>
              <w:noBreakHyphen/>
              <w:t>maker—</w:t>
            </w:r>
          </w:p>
        </w:tc>
        <w:tc>
          <w:tcPr>
            <w:tcW w:w="617" w:type="pct"/>
            <w:tcBorders>
              <w:top w:val="nil"/>
              <w:left w:val="single" w:sz="4" w:space="0" w:color="auto"/>
              <w:bottom w:val="nil"/>
              <w:right w:val="nil"/>
            </w:tcBorders>
            <w:vAlign w:val="center"/>
            <w:hideMark/>
          </w:tcPr>
          <w:p w14:paraId="2204E388" w14:textId="77777777" w:rsidR="00007A97" w:rsidRPr="00007A97" w:rsidRDefault="00007A97" w:rsidP="00007A97">
            <w:pPr>
              <w:ind w:firstLineChars="300" w:firstLine="5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3099ABC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1260B7AF" w14:textId="77777777" w:rsidR="00007A97" w:rsidRPr="00007A97" w:rsidRDefault="00007A97" w:rsidP="00007A97">
            <w:pPr>
              <w:jc w:val="center"/>
              <w:rPr>
                <w:rFonts w:ascii="Times New Roman" w:hAnsi="Times New Roman"/>
                <w:lang w:eastAsia="ko-KR"/>
              </w:rPr>
            </w:pPr>
          </w:p>
        </w:tc>
      </w:tr>
      <w:tr w:rsidR="00F41C4E" w:rsidRPr="00007A97" w14:paraId="16CAD36F" w14:textId="77777777" w:rsidTr="00F41C4E">
        <w:trPr>
          <w:trHeight w:val="285"/>
        </w:trPr>
        <w:tc>
          <w:tcPr>
            <w:tcW w:w="352" w:type="pct"/>
            <w:tcBorders>
              <w:top w:val="nil"/>
              <w:left w:val="single" w:sz="4" w:space="0" w:color="auto"/>
              <w:bottom w:val="nil"/>
              <w:right w:val="nil"/>
            </w:tcBorders>
            <w:noWrap/>
            <w:vAlign w:val="center"/>
            <w:hideMark/>
          </w:tcPr>
          <w:p w14:paraId="1EB8FD6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9DDD366"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(i) day one, for a proceeding that is—</w:t>
            </w:r>
          </w:p>
        </w:tc>
        <w:tc>
          <w:tcPr>
            <w:tcW w:w="617" w:type="pct"/>
            <w:tcBorders>
              <w:top w:val="nil"/>
              <w:left w:val="single" w:sz="4" w:space="0" w:color="auto"/>
              <w:bottom w:val="nil"/>
              <w:right w:val="nil"/>
            </w:tcBorders>
            <w:vAlign w:val="center"/>
            <w:hideMark/>
          </w:tcPr>
          <w:p w14:paraId="0E03C361" w14:textId="77777777" w:rsidR="00007A97" w:rsidRPr="00007A97" w:rsidRDefault="00007A97" w:rsidP="00007A97">
            <w:pPr>
              <w:ind w:firstLineChars="900" w:firstLine="162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416B131D"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43C92630" w14:textId="77777777" w:rsidR="00007A97" w:rsidRPr="00007A97" w:rsidRDefault="00007A97" w:rsidP="00007A97">
            <w:pPr>
              <w:jc w:val="center"/>
              <w:rPr>
                <w:rFonts w:ascii="Times New Roman" w:hAnsi="Times New Roman"/>
                <w:lang w:eastAsia="ko-KR"/>
              </w:rPr>
            </w:pPr>
          </w:p>
        </w:tc>
      </w:tr>
      <w:tr w:rsidR="00F41C4E" w:rsidRPr="00007A97" w14:paraId="2F08B456" w14:textId="77777777" w:rsidTr="00F41C4E">
        <w:trPr>
          <w:trHeight w:val="285"/>
        </w:trPr>
        <w:tc>
          <w:tcPr>
            <w:tcW w:w="352" w:type="pct"/>
            <w:tcBorders>
              <w:top w:val="nil"/>
              <w:left w:val="single" w:sz="4" w:space="0" w:color="auto"/>
              <w:bottom w:val="nil"/>
              <w:right w:val="nil"/>
            </w:tcBorders>
            <w:noWrap/>
            <w:vAlign w:val="center"/>
            <w:hideMark/>
          </w:tcPr>
          <w:p w14:paraId="7E1E148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3074D25"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(A) a VicSmart proceeding; or</w:t>
            </w:r>
          </w:p>
        </w:tc>
        <w:tc>
          <w:tcPr>
            <w:tcW w:w="617" w:type="pct"/>
            <w:tcBorders>
              <w:top w:val="nil"/>
              <w:left w:val="single" w:sz="4" w:space="0" w:color="auto"/>
              <w:bottom w:val="nil"/>
              <w:right w:val="nil"/>
            </w:tcBorders>
            <w:vAlign w:val="center"/>
            <w:hideMark/>
          </w:tcPr>
          <w:p w14:paraId="2A27823F" w14:textId="77777777" w:rsidR="00007A97" w:rsidRPr="00007A97" w:rsidRDefault="00007A97" w:rsidP="00007A97">
            <w:pPr>
              <w:ind w:firstLineChars="1300" w:firstLine="2340"/>
              <w:rPr>
                <w:rFonts w:ascii="Arial" w:hAnsi="Arial" w:cs="Arial"/>
                <w:color w:val="000000"/>
                <w:sz w:val="18"/>
                <w:szCs w:val="18"/>
                <w:lang w:eastAsia="ko-KR"/>
              </w:rPr>
            </w:pPr>
          </w:p>
        </w:tc>
        <w:tc>
          <w:tcPr>
            <w:tcW w:w="616" w:type="pct"/>
            <w:tcBorders>
              <w:top w:val="nil"/>
              <w:left w:val="nil"/>
              <w:bottom w:val="nil"/>
              <w:right w:val="nil"/>
            </w:tcBorders>
            <w:vAlign w:val="center"/>
            <w:hideMark/>
          </w:tcPr>
          <w:p w14:paraId="48BC83C0" w14:textId="77777777" w:rsidR="00007A97" w:rsidRPr="00007A97" w:rsidRDefault="00007A97" w:rsidP="00007A97">
            <w:pPr>
              <w:jc w:val="center"/>
              <w:rPr>
                <w:rFonts w:ascii="Times New Roman" w:hAnsi="Times New Roman"/>
                <w:lang w:eastAsia="ko-KR"/>
              </w:rPr>
            </w:pPr>
          </w:p>
        </w:tc>
        <w:tc>
          <w:tcPr>
            <w:tcW w:w="615" w:type="pct"/>
            <w:tcBorders>
              <w:top w:val="nil"/>
              <w:left w:val="nil"/>
              <w:bottom w:val="nil"/>
              <w:right w:val="single" w:sz="4" w:space="0" w:color="auto"/>
            </w:tcBorders>
            <w:vAlign w:val="center"/>
            <w:hideMark/>
          </w:tcPr>
          <w:p w14:paraId="031746ED" w14:textId="77777777" w:rsidR="00007A97" w:rsidRPr="00007A97" w:rsidRDefault="00007A97" w:rsidP="00007A97">
            <w:pPr>
              <w:jc w:val="center"/>
              <w:rPr>
                <w:rFonts w:ascii="Times New Roman" w:hAnsi="Times New Roman"/>
                <w:lang w:eastAsia="ko-KR"/>
              </w:rPr>
            </w:pPr>
          </w:p>
        </w:tc>
      </w:tr>
      <w:tr w:rsidR="00F41C4E" w:rsidRPr="00007A97" w14:paraId="20B81884" w14:textId="77777777" w:rsidTr="00F41C4E">
        <w:trPr>
          <w:trHeight w:val="450"/>
        </w:trPr>
        <w:tc>
          <w:tcPr>
            <w:tcW w:w="352" w:type="pct"/>
            <w:tcBorders>
              <w:top w:val="nil"/>
              <w:left w:val="single" w:sz="4" w:space="0" w:color="auto"/>
              <w:bottom w:val="nil"/>
              <w:right w:val="nil"/>
            </w:tcBorders>
            <w:noWrap/>
            <w:vAlign w:val="center"/>
            <w:hideMark/>
          </w:tcPr>
          <w:p w14:paraId="7BFB109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9B8A7C1"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 xml:space="preserve">(B) a proceeding under section 80 of the </w:t>
            </w:r>
            <w:r w:rsidRPr="00007A97">
              <w:rPr>
                <w:rFonts w:ascii="Arial" w:hAnsi="Arial" w:cs="Arial"/>
                <w:b/>
                <w:bCs/>
                <w:color w:val="000000"/>
                <w:sz w:val="18"/>
                <w:szCs w:val="18"/>
                <w:lang w:eastAsia="ko-KR"/>
              </w:rPr>
              <w:t>Planning and Environment Act 1987</w:t>
            </w:r>
          </w:p>
        </w:tc>
        <w:tc>
          <w:tcPr>
            <w:tcW w:w="617" w:type="pct"/>
            <w:tcBorders>
              <w:top w:val="nil"/>
              <w:left w:val="single" w:sz="4" w:space="0" w:color="auto"/>
              <w:bottom w:val="nil"/>
              <w:right w:val="nil"/>
            </w:tcBorders>
            <w:vAlign w:val="center"/>
            <w:hideMark/>
          </w:tcPr>
          <w:p w14:paraId="6C087FC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c>
          <w:tcPr>
            <w:tcW w:w="616" w:type="pct"/>
            <w:tcBorders>
              <w:top w:val="nil"/>
              <w:left w:val="nil"/>
              <w:bottom w:val="nil"/>
              <w:right w:val="nil"/>
            </w:tcBorders>
            <w:vAlign w:val="center"/>
            <w:hideMark/>
          </w:tcPr>
          <w:p w14:paraId="1D1B38B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c>
          <w:tcPr>
            <w:tcW w:w="615" w:type="pct"/>
            <w:tcBorders>
              <w:top w:val="nil"/>
              <w:left w:val="nil"/>
              <w:bottom w:val="nil"/>
              <w:right w:val="single" w:sz="4" w:space="0" w:color="auto"/>
            </w:tcBorders>
            <w:vAlign w:val="center"/>
            <w:hideMark/>
          </w:tcPr>
          <w:p w14:paraId="385B46CE"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nil</w:t>
            </w:r>
          </w:p>
        </w:tc>
      </w:tr>
      <w:tr w:rsidR="00F41C4E" w:rsidRPr="00007A97" w14:paraId="12CA8207" w14:textId="77777777" w:rsidTr="00F41C4E">
        <w:trPr>
          <w:trHeight w:val="285"/>
        </w:trPr>
        <w:tc>
          <w:tcPr>
            <w:tcW w:w="352" w:type="pct"/>
            <w:tcBorders>
              <w:top w:val="nil"/>
              <w:left w:val="single" w:sz="4" w:space="0" w:color="auto"/>
              <w:bottom w:val="nil"/>
              <w:right w:val="nil"/>
            </w:tcBorders>
            <w:noWrap/>
            <w:vAlign w:val="center"/>
            <w:hideMark/>
          </w:tcPr>
          <w:p w14:paraId="519144F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D0F765F"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(ii) day one, otherwise than provided in subparagraph (i)</w:t>
            </w:r>
          </w:p>
        </w:tc>
        <w:tc>
          <w:tcPr>
            <w:tcW w:w="617" w:type="pct"/>
            <w:tcBorders>
              <w:top w:val="nil"/>
              <w:left w:val="single" w:sz="4" w:space="0" w:color="auto"/>
              <w:bottom w:val="nil"/>
              <w:right w:val="nil"/>
            </w:tcBorders>
            <w:vAlign w:val="center"/>
            <w:hideMark/>
          </w:tcPr>
          <w:p w14:paraId="653CEEA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679.2</w:t>
            </w:r>
          </w:p>
        </w:tc>
        <w:tc>
          <w:tcPr>
            <w:tcW w:w="616" w:type="pct"/>
            <w:tcBorders>
              <w:top w:val="nil"/>
              <w:left w:val="nil"/>
              <w:bottom w:val="nil"/>
              <w:right w:val="nil"/>
            </w:tcBorders>
            <w:vAlign w:val="center"/>
            <w:hideMark/>
          </w:tcPr>
          <w:p w14:paraId="6D9C7C3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224.1</w:t>
            </w:r>
          </w:p>
        </w:tc>
        <w:tc>
          <w:tcPr>
            <w:tcW w:w="615" w:type="pct"/>
            <w:tcBorders>
              <w:top w:val="nil"/>
              <w:left w:val="nil"/>
              <w:bottom w:val="nil"/>
              <w:right w:val="single" w:sz="4" w:space="0" w:color="auto"/>
            </w:tcBorders>
            <w:vAlign w:val="center"/>
            <w:hideMark/>
          </w:tcPr>
          <w:p w14:paraId="275569D9"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74.7</w:t>
            </w:r>
          </w:p>
        </w:tc>
      </w:tr>
      <w:tr w:rsidR="00F41C4E" w:rsidRPr="00007A97" w14:paraId="747570D8" w14:textId="77777777" w:rsidTr="00F41C4E">
        <w:trPr>
          <w:trHeight w:val="285"/>
        </w:trPr>
        <w:tc>
          <w:tcPr>
            <w:tcW w:w="352" w:type="pct"/>
            <w:tcBorders>
              <w:top w:val="nil"/>
              <w:left w:val="single" w:sz="4" w:space="0" w:color="auto"/>
              <w:bottom w:val="nil"/>
              <w:right w:val="nil"/>
            </w:tcBorders>
            <w:noWrap/>
            <w:vAlign w:val="center"/>
            <w:hideMark/>
          </w:tcPr>
          <w:p w14:paraId="7DEAF1F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3952D154"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(iii) days 2 to 4</w:t>
            </w:r>
          </w:p>
        </w:tc>
        <w:tc>
          <w:tcPr>
            <w:tcW w:w="617" w:type="pct"/>
            <w:tcBorders>
              <w:top w:val="nil"/>
              <w:left w:val="single" w:sz="4" w:space="0" w:color="auto"/>
              <w:bottom w:val="nil"/>
              <w:right w:val="nil"/>
            </w:tcBorders>
            <w:vAlign w:val="center"/>
            <w:hideMark/>
          </w:tcPr>
          <w:p w14:paraId="3935499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679.2</w:t>
            </w:r>
          </w:p>
        </w:tc>
        <w:tc>
          <w:tcPr>
            <w:tcW w:w="616" w:type="pct"/>
            <w:tcBorders>
              <w:top w:val="nil"/>
              <w:left w:val="nil"/>
              <w:bottom w:val="nil"/>
              <w:right w:val="nil"/>
            </w:tcBorders>
            <w:vAlign w:val="center"/>
            <w:hideMark/>
          </w:tcPr>
          <w:p w14:paraId="4C545FDF"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224.1</w:t>
            </w:r>
          </w:p>
        </w:tc>
        <w:tc>
          <w:tcPr>
            <w:tcW w:w="615" w:type="pct"/>
            <w:tcBorders>
              <w:top w:val="nil"/>
              <w:left w:val="nil"/>
              <w:bottom w:val="nil"/>
              <w:right w:val="single" w:sz="4" w:space="0" w:color="auto"/>
            </w:tcBorders>
            <w:vAlign w:val="center"/>
            <w:hideMark/>
          </w:tcPr>
          <w:p w14:paraId="5BEED53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74.7</w:t>
            </w:r>
          </w:p>
        </w:tc>
      </w:tr>
      <w:tr w:rsidR="00F41C4E" w:rsidRPr="00007A97" w14:paraId="22B9EBF9" w14:textId="77777777" w:rsidTr="00F41C4E">
        <w:trPr>
          <w:trHeight w:val="285"/>
        </w:trPr>
        <w:tc>
          <w:tcPr>
            <w:tcW w:w="352" w:type="pct"/>
            <w:tcBorders>
              <w:top w:val="nil"/>
              <w:left w:val="single" w:sz="4" w:space="0" w:color="auto"/>
              <w:bottom w:val="nil"/>
              <w:right w:val="nil"/>
            </w:tcBorders>
            <w:noWrap/>
            <w:vAlign w:val="center"/>
            <w:hideMark/>
          </w:tcPr>
          <w:p w14:paraId="5877099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69B73706"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(iv) days 5 to 9</w:t>
            </w:r>
          </w:p>
        </w:tc>
        <w:tc>
          <w:tcPr>
            <w:tcW w:w="617" w:type="pct"/>
            <w:tcBorders>
              <w:top w:val="nil"/>
              <w:left w:val="single" w:sz="4" w:space="0" w:color="auto"/>
              <w:bottom w:val="nil"/>
              <w:right w:val="nil"/>
            </w:tcBorders>
            <w:vAlign w:val="center"/>
            <w:hideMark/>
          </w:tcPr>
          <w:p w14:paraId="34C6CD3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1,358.3</w:t>
            </w:r>
          </w:p>
        </w:tc>
        <w:tc>
          <w:tcPr>
            <w:tcW w:w="616" w:type="pct"/>
            <w:tcBorders>
              <w:top w:val="nil"/>
              <w:left w:val="nil"/>
              <w:bottom w:val="nil"/>
              <w:right w:val="nil"/>
            </w:tcBorders>
            <w:vAlign w:val="center"/>
            <w:hideMark/>
          </w:tcPr>
          <w:p w14:paraId="49BC011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448.3</w:t>
            </w:r>
          </w:p>
        </w:tc>
        <w:tc>
          <w:tcPr>
            <w:tcW w:w="615" w:type="pct"/>
            <w:tcBorders>
              <w:top w:val="nil"/>
              <w:left w:val="nil"/>
              <w:bottom w:val="nil"/>
              <w:right w:val="single" w:sz="4" w:space="0" w:color="auto"/>
            </w:tcBorders>
            <w:vAlign w:val="center"/>
            <w:hideMark/>
          </w:tcPr>
          <w:p w14:paraId="4C81983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149.4</w:t>
            </w:r>
          </w:p>
        </w:tc>
      </w:tr>
      <w:tr w:rsidR="00F41C4E" w:rsidRPr="00007A97" w14:paraId="65CCB5A4" w14:textId="77777777" w:rsidTr="009B659C">
        <w:trPr>
          <w:trHeight w:val="184"/>
        </w:trPr>
        <w:tc>
          <w:tcPr>
            <w:tcW w:w="352" w:type="pct"/>
            <w:tcBorders>
              <w:top w:val="nil"/>
              <w:left w:val="single" w:sz="4" w:space="0" w:color="auto"/>
              <w:bottom w:val="nil"/>
              <w:right w:val="nil"/>
            </w:tcBorders>
            <w:noWrap/>
            <w:vAlign w:val="center"/>
            <w:hideMark/>
          </w:tcPr>
          <w:p w14:paraId="519E6F7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 xml:space="preserve"> </w:t>
            </w:r>
          </w:p>
        </w:tc>
        <w:tc>
          <w:tcPr>
            <w:tcW w:w="2800" w:type="pct"/>
            <w:tcBorders>
              <w:top w:val="nil"/>
              <w:left w:val="single" w:sz="4" w:space="0" w:color="auto"/>
              <w:bottom w:val="nil"/>
              <w:right w:val="nil"/>
            </w:tcBorders>
            <w:vAlign w:val="center"/>
            <w:hideMark/>
          </w:tcPr>
          <w:p w14:paraId="462646E6" w14:textId="77777777" w:rsidR="00007A97" w:rsidRPr="00007A97" w:rsidRDefault="00007A97" w:rsidP="00AF29F4">
            <w:pPr>
              <w:ind w:left="720"/>
              <w:rPr>
                <w:rFonts w:ascii="Arial" w:hAnsi="Arial" w:cs="Arial"/>
                <w:color w:val="000000"/>
                <w:sz w:val="18"/>
                <w:szCs w:val="18"/>
                <w:lang w:eastAsia="ko-KR"/>
              </w:rPr>
            </w:pPr>
            <w:r w:rsidRPr="00007A97">
              <w:rPr>
                <w:rFonts w:ascii="Arial" w:hAnsi="Arial" w:cs="Arial"/>
                <w:color w:val="000000"/>
                <w:sz w:val="18"/>
                <w:szCs w:val="18"/>
                <w:lang w:eastAsia="ko-KR"/>
              </w:rPr>
              <w:t>(v) day 10 and any subsequent day</w:t>
            </w:r>
          </w:p>
        </w:tc>
        <w:tc>
          <w:tcPr>
            <w:tcW w:w="617" w:type="pct"/>
            <w:tcBorders>
              <w:top w:val="nil"/>
              <w:left w:val="single" w:sz="4" w:space="0" w:color="auto"/>
              <w:bottom w:val="nil"/>
              <w:right w:val="nil"/>
            </w:tcBorders>
            <w:vAlign w:val="center"/>
            <w:hideMark/>
          </w:tcPr>
          <w:p w14:paraId="457AC144"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2,037.5</w:t>
            </w:r>
          </w:p>
        </w:tc>
        <w:tc>
          <w:tcPr>
            <w:tcW w:w="616" w:type="pct"/>
            <w:tcBorders>
              <w:top w:val="nil"/>
              <w:left w:val="nil"/>
              <w:bottom w:val="single" w:sz="4" w:space="0" w:color="auto"/>
              <w:right w:val="nil"/>
            </w:tcBorders>
            <w:vAlign w:val="center"/>
            <w:hideMark/>
          </w:tcPr>
          <w:p w14:paraId="1155342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672.4</w:t>
            </w:r>
          </w:p>
        </w:tc>
        <w:tc>
          <w:tcPr>
            <w:tcW w:w="615" w:type="pct"/>
            <w:tcBorders>
              <w:top w:val="nil"/>
              <w:left w:val="nil"/>
              <w:bottom w:val="nil"/>
              <w:right w:val="single" w:sz="4" w:space="0" w:color="auto"/>
            </w:tcBorders>
            <w:vAlign w:val="center"/>
            <w:hideMark/>
          </w:tcPr>
          <w:p w14:paraId="0CBDBB7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224.1</w:t>
            </w:r>
          </w:p>
        </w:tc>
      </w:tr>
      <w:tr w:rsidR="009B659C" w:rsidRPr="00007A97" w14:paraId="428C0915" w14:textId="77777777" w:rsidTr="009B659C">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3035C8" w14:textId="6677F303" w:rsidR="009B659C" w:rsidRPr="009B659C" w:rsidRDefault="009B659C" w:rsidP="009B659C">
            <w:pPr>
              <w:rPr>
                <w:rFonts w:ascii="Arial" w:hAnsi="Arial" w:cs="Arial"/>
                <w:color w:val="000000"/>
                <w:sz w:val="18"/>
                <w:szCs w:val="18"/>
                <w:lang w:eastAsia="ko-KR"/>
              </w:rPr>
            </w:pPr>
            <w:r w:rsidRPr="009B659C">
              <w:rPr>
                <w:rFonts w:ascii="Arial" w:hAnsi="Arial" w:cs="Arial"/>
                <w:color w:val="000000"/>
                <w:sz w:val="18"/>
                <w:szCs w:val="18"/>
                <w:lang w:eastAsia="ko-KR"/>
              </w:rPr>
              <w:t xml:space="preserve"> </w:t>
            </w:r>
            <w:r w:rsidRPr="009B659C">
              <w:rPr>
                <w:rFonts w:ascii="Arial" w:hAnsi="Arial" w:cs="Arial"/>
                <w:b/>
                <w:bCs/>
                <w:color w:val="000000"/>
                <w:sz w:val="18"/>
                <w:szCs w:val="18"/>
                <w:lang w:eastAsia="ko-KR"/>
              </w:rPr>
              <w:t>Part 4—Administrative fee</w:t>
            </w:r>
          </w:p>
        </w:tc>
      </w:tr>
      <w:tr w:rsidR="00F41C4E" w:rsidRPr="00007A97" w14:paraId="7C0ECA2D" w14:textId="77777777" w:rsidTr="00F41C4E">
        <w:trPr>
          <w:trHeight w:val="285"/>
        </w:trPr>
        <w:tc>
          <w:tcPr>
            <w:tcW w:w="352" w:type="pct"/>
            <w:tcBorders>
              <w:top w:val="single" w:sz="4" w:space="0" w:color="auto"/>
              <w:left w:val="single" w:sz="4" w:space="0" w:color="auto"/>
              <w:bottom w:val="nil"/>
              <w:right w:val="nil"/>
            </w:tcBorders>
            <w:noWrap/>
            <w:vAlign w:val="center"/>
            <w:hideMark/>
          </w:tcPr>
          <w:p w14:paraId="114532C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29</w:t>
            </w:r>
          </w:p>
        </w:tc>
        <w:tc>
          <w:tcPr>
            <w:tcW w:w="2800" w:type="pct"/>
            <w:tcBorders>
              <w:top w:val="single" w:sz="4" w:space="0" w:color="auto"/>
              <w:left w:val="single" w:sz="4" w:space="0" w:color="auto"/>
              <w:bottom w:val="nil"/>
              <w:right w:val="nil"/>
            </w:tcBorders>
            <w:vAlign w:val="center"/>
            <w:hideMark/>
          </w:tcPr>
          <w:p w14:paraId="26BA1FCA"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purposes of section 144(4) of the Act</w:t>
            </w:r>
          </w:p>
        </w:tc>
        <w:tc>
          <w:tcPr>
            <w:tcW w:w="617" w:type="pct"/>
            <w:tcBorders>
              <w:top w:val="single" w:sz="4" w:space="0" w:color="auto"/>
              <w:left w:val="nil"/>
              <w:bottom w:val="single" w:sz="4" w:space="0" w:color="auto"/>
              <w:right w:val="nil"/>
            </w:tcBorders>
            <w:vAlign w:val="center"/>
            <w:hideMark/>
          </w:tcPr>
          <w:p w14:paraId="4D6248E5"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301.3</w:t>
            </w:r>
          </w:p>
        </w:tc>
        <w:tc>
          <w:tcPr>
            <w:tcW w:w="616" w:type="pct"/>
            <w:tcBorders>
              <w:top w:val="single" w:sz="4" w:space="0" w:color="auto"/>
              <w:left w:val="nil"/>
              <w:bottom w:val="single" w:sz="4" w:space="0" w:color="auto"/>
              <w:right w:val="nil"/>
            </w:tcBorders>
            <w:vAlign w:val="center"/>
            <w:hideMark/>
          </w:tcPr>
          <w:p w14:paraId="4E93621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301.3</w:t>
            </w:r>
          </w:p>
        </w:tc>
        <w:tc>
          <w:tcPr>
            <w:tcW w:w="615" w:type="pct"/>
            <w:tcBorders>
              <w:top w:val="single" w:sz="4" w:space="0" w:color="auto"/>
              <w:left w:val="nil"/>
              <w:bottom w:val="single" w:sz="4" w:space="0" w:color="auto"/>
              <w:right w:val="single" w:sz="4" w:space="0" w:color="auto"/>
            </w:tcBorders>
            <w:vAlign w:val="center"/>
            <w:hideMark/>
          </w:tcPr>
          <w:p w14:paraId="0726F196"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33.1</w:t>
            </w:r>
          </w:p>
        </w:tc>
      </w:tr>
      <w:tr w:rsidR="00F41C4E" w:rsidRPr="00007A97" w14:paraId="241A0131" w14:textId="77777777" w:rsidTr="00F41C4E">
        <w:trPr>
          <w:trHeight w:val="285"/>
        </w:trPr>
        <w:tc>
          <w:tcPr>
            <w:tcW w:w="352" w:type="pct"/>
            <w:tcBorders>
              <w:top w:val="single" w:sz="4" w:space="0" w:color="auto"/>
              <w:left w:val="single" w:sz="4" w:space="0" w:color="auto"/>
              <w:bottom w:val="nil"/>
              <w:right w:val="nil"/>
            </w:tcBorders>
            <w:noWrap/>
            <w:vAlign w:val="center"/>
            <w:hideMark/>
          </w:tcPr>
          <w:p w14:paraId="5E6F138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30</w:t>
            </w:r>
          </w:p>
        </w:tc>
        <w:tc>
          <w:tcPr>
            <w:tcW w:w="2800" w:type="pct"/>
            <w:tcBorders>
              <w:top w:val="single" w:sz="4" w:space="0" w:color="auto"/>
              <w:left w:val="single" w:sz="4" w:space="0" w:color="auto"/>
              <w:bottom w:val="nil"/>
              <w:right w:val="nil"/>
            </w:tcBorders>
            <w:vAlign w:val="center"/>
            <w:hideMark/>
          </w:tcPr>
          <w:p w14:paraId="664C6978"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purposes of section 145(2) of the Act</w:t>
            </w:r>
          </w:p>
        </w:tc>
        <w:tc>
          <w:tcPr>
            <w:tcW w:w="617" w:type="pct"/>
            <w:tcBorders>
              <w:top w:val="nil"/>
              <w:left w:val="nil"/>
              <w:bottom w:val="single" w:sz="4" w:space="0" w:color="auto"/>
              <w:right w:val="nil"/>
            </w:tcBorders>
            <w:vAlign w:val="center"/>
            <w:hideMark/>
          </w:tcPr>
          <w:p w14:paraId="1C771B7B"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193.5</w:t>
            </w:r>
          </w:p>
        </w:tc>
        <w:tc>
          <w:tcPr>
            <w:tcW w:w="616" w:type="pct"/>
            <w:tcBorders>
              <w:top w:val="nil"/>
              <w:left w:val="nil"/>
              <w:bottom w:val="single" w:sz="4" w:space="0" w:color="auto"/>
              <w:right w:val="nil"/>
            </w:tcBorders>
            <w:vAlign w:val="center"/>
            <w:hideMark/>
          </w:tcPr>
          <w:p w14:paraId="2065ECF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193.5</w:t>
            </w:r>
          </w:p>
        </w:tc>
        <w:tc>
          <w:tcPr>
            <w:tcW w:w="615" w:type="pct"/>
            <w:tcBorders>
              <w:top w:val="nil"/>
              <w:left w:val="nil"/>
              <w:bottom w:val="single" w:sz="4" w:space="0" w:color="auto"/>
              <w:right w:val="single" w:sz="4" w:space="0" w:color="auto"/>
            </w:tcBorders>
            <w:vAlign w:val="center"/>
            <w:hideMark/>
          </w:tcPr>
          <w:p w14:paraId="01408AD0"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21.3</w:t>
            </w:r>
          </w:p>
        </w:tc>
      </w:tr>
      <w:tr w:rsidR="00F41C4E" w:rsidRPr="00007A97" w14:paraId="0DDEB0BB" w14:textId="77777777" w:rsidTr="00F41C4E">
        <w:trPr>
          <w:trHeight w:val="285"/>
        </w:trPr>
        <w:tc>
          <w:tcPr>
            <w:tcW w:w="352" w:type="pct"/>
            <w:tcBorders>
              <w:top w:val="single" w:sz="4" w:space="0" w:color="auto"/>
              <w:left w:val="single" w:sz="4" w:space="0" w:color="auto"/>
              <w:bottom w:val="nil"/>
              <w:right w:val="nil"/>
            </w:tcBorders>
            <w:noWrap/>
            <w:vAlign w:val="center"/>
            <w:hideMark/>
          </w:tcPr>
          <w:p w14:paraId="14AC6E0D"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31</w:t>
            </w:r>
          </w:p>
        </w:tc>
        <w:tc>
          <w:tcPr>
            <w:tcW w:w="2800" w:type="pct"/>
            <w:tcBorders>
              <w:top w:val="single" w:sz="4" w:space="0" w:color="auto"/>
              <w:left w:val="single" w:sz="4" w:space="0" w:color="auto"/>
              <w:bottom w:val="nil"/>
              <w:right w:val="nil"/>
            </w:tcBorders>
            <w:vAlign w:val="center"/>
            <w:hideMark/>
          </w:tcPr>
          <w:p w14:paraId="36069F02"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purposes of section 146(3) of the Act</w:t>
            </w:r>
          </w:p>
        </w:tc>
        <w:tc>
          <w:tcPr>
            <w:tcW w:w="617" w:type="pct"/>
            <w:tcBorders>
              <w:top w:val="nil"/>
              <w:left w:val="nil"/>
              <w:bottom w:val="single" w:sz="4" w:space="0" w:color="auto"/>
              <w:right w:val="nil"/>
            </w:tcBorders>
            <w:vAlign w:val="center"/>
            <w:hideMark/>
          </w:tcPr>
          <w:p w14:paraId="370EED5A"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301.3</w:t>
            </w:r>
          </w:p>
        </w:tc>
        <w:tc>
          <w:tcPr>
            <w:tcW w:w="616" w:type="pct"/>
            <w:tcBorders>
              <w:top w:val="nil"/>
              <w:left w:val="nil"/>
              <w:bottom w:val="single" w:sz="4" w:space="0" w:color="auto"/>
              <w:right w:val="nil"/>
            </w:tcBorders>
            <w:vAlign w:val="center"/>
            <w:hideMark/>
          </w:tcPr>
          <w:p w14:paraId="52B45AC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301.3</w:t>
            </w:r>
          </w:p>
        </w:tc>
        <w:tc>
          <w:tcPr>
            <w:tcW w:w="615" w:type="pct"/>
            <w:tcBorders>
              <w:top w:val="nil"/>
              <w:left w:val="nil"/>
              <w:bottom w:val="single" w:sz="4" w:space="0" w:color="auto"/>
              <w:right w:val="single" w:sz="4" w:space="0" w:color="auto"/>
            </w:tcBorders>
            <w:vAlign w:val="center"/>
            <w:hideMark/>
          </w:tcPr>
          <w:p w14:paraId="6C0B7043"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33.1</w:t>
            </w:r>
          </w:p>
        </w:tc>
      </w:tr>
      <w:tr w:rsidR="00F41C4E" w:rsidRPr="00007A97" w14:paraId="30BCDB96" w14:textId="77777777" w:rsidTr="00F41C4E">
        <w:trPr>
          <w:trHeight w:val="285"/>
        </w:trPr>
        <w:tc>
          <w:tcPr>
            <w:tcW w:w="352" w:type="pct"/>
            <w:tcBorders>
              <w:top w:val="single" w:sz="4" w:space="0" w:color="auto"/>
              <w:left w:val="single" w:sz="4" w:space="0" w:color="auto"/>
              <w:bottom w:val="single" w:sz="4" w:space="0" w:color="auto"/>
              <w:right w:val="nil"/>
            </w:tcBorders>
            <w:noWrap/>
            <w:vAlign w:val="center"/>
            <w:hideMark/>
          </w:tcPr>
          <w:p w14:paraId="332EA91C"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32</w:t>
            </w:r>
          </w:p>
        </w:tc>
        <w:tc>
          <w:tcPr>
            <w:tcW w:w="2800" w:type="pct"/>
            <w:tcBorders>
              <w:top w:val="single" w:sz="4" w:space="0" w:color="auto"/>
              <w:left w:val="single" w:sz="4" w:space="0" w:color="auto"/>
              <w:bottom w:val="single" w:sz="4" w:space="0" w:color="auto"/>
              <w:right w:val="nil"/>
            </w:tcBorders>
            <w:vAlign w:val="center"/>
            <w:hideMark/>
          </w:tcPr>
          <w:p w14:paraId="201A7356" w14:textId="77777777" w:rsidR="00007A97" w:rsidRPr="00007A97" w:rsidRDefault="00007A97" w:rsidP="00007A97">
            <w:pPr>
              <w:rPr>
                <w:rFonts w:ascii="Arial" w:hAnsi="Arial" w:cs="Arial"/>
                <w:color w:val="000000"/>
                <w:sz w:val="18"/>
                <w:szCs w:val="18"/>
                <w:lang w:eastAsia="ko-KR"/>
              </w:rPr>
            </w:pPr>
            <w:r w:rsidRPr="00007A97">
              <w:rPr>
                <w:rFonts w:ascii="Arial" w:hAnsi="Arial" w:cs="Arial"/>
                <w:color w:val="000000"/>
                <w:sz w:val="18"/>
                <w:szCs w:val="18"/>
                <w:lang w:eastAsia="ko-KR"/>
              </w:rPr>
              <w:t>For the issue of a summons under the Act or any enabling enactment.</w:t>
            </w:r>
          </w:p>
        </w:tc>
        <w:tc>
          <w:tcPr>
            <w:tcW w:w="617" w:type="pct"/>
            <w:tcBorders>
              <w:top w:val="nil"/>
              <w:left w:val="nil"/>
              <w:bottom w:val="single" w:sz="4" w:space="0" w:color="auto"/>
              <w:right w:val="nil"/>
            </w:tcBorders>
            <w:vAlign w:val="center"/>
            <w:hideMark/>
          </w:tcPr>
          <w:p w14:paraId="31C76DC1"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59.5</w:t>
            </w:r>
          </w:p>
        </w:tc>
        <w:tc>
          <w:tcPr>
            <w:tcW w:w="616" w:type="pct"/>
            <w:tcBorders>
              <w:top w:val="nil"/>
              <w:left w:val="nil"/>
              <w:bottom w:val="single" w:sz="4" w:space="0" w:color="auto"/>
              <w:right w:val="nil"/>
            </w:tcBorders>
            <w:vAlign w:val="center"/>
            <w:hideMark/>
          </w:tcPr>
          <w:p w14:paraId="4ACA51D7"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59.5</w:t>
            </w:r>
          </w:p>
        </w:tc>
        <w:tc>
          <w:tcPr>
            <w:tcW w:w="615" w:type="pct"/>
            <w:tcBorders>
              <w:top w:val="nil"/>
              <w:left w:val="nil"/>
              <w:bottom w:val="single" w:sz="4" w:space="0" w:color="auto"/>
              <w:right w:val="single" w:sz="4" w:space="0" w:color="auto"/>
            </w:tcBorders>
            <w:vAlign w:val="center"/>
            <w:hideMark/>
          </w:tcPr>
          <w:p w14:paraId="4EB27EF2" w14:textId="77777777" w:rsidR="00007A97" w:rsidRPr="00007A97" w:rsidRDefault="00007A97" w:rsidP="00007A97">
            <w:pPr>
              <w:jc w:val="center"/>
              <w:rPr>
                <w:rFonts w:ascii="Arial" w:hAnsi="Arial" w:cs="Arial"/>
                <w:color w:val="000000"/>
                <w:sz w:val="18"/>
                <w:szCs w:val="18"/>
                <w:lang w:eastAsia="ko-KR"/>
              </w:rPr>
            </w:pPr>
            <w:r w:rsidRPr="00007A97">
              <w:rPr>
                <w:rFonts w:ascii="Arial" w:hAnsi="Arial" w:cs="Arial"/>
                <w:color w:val="000000"/>
                <w:sz w:val="18"/>
                <w:szCs w:val="18"/>
                <w:lang w:eastAsia="ko-KR"/>
              </w:rPr>
              <w:t>6.5</w:t>
            </w:r>
          </w:p>
        </w:tc>
      </w:tr>
    </w:tbl>
    <w:p w14:paraId="41A64C95" w14:textId="77777777" w:rsidR="00EC671C" w:rsidRDefault="00EC671C">
      <w:pPr>
        <w:rPr>
          <w:rFonts w:ascii="Arial" w:eastAsia="Times" w:hAnsi="Arial"/>
          <w:sz w:val="22"/>
        </w:rPr>
      </w:pPr>
    </w:p>
    <w:p w14:paraId="2B8FA7E8" w14:textId="77777777" w:rsidR="00EC671C" w:rsidRDefault="00EC671C">
      <w:pPr>
        <w:rPr>
          <w:rFonts w:ascii="Arial" w:eastAsia="Times" w:hAnsi="Arial"/>
          <w:sz w:val="22"/>
        </w:rPr>
      </w:pPr>
      <w:r>
        <w:rPr>
          <w:rFonts w:ascii="Arial" w:eastAsia="Times" w:hAnsi="Arial"/>
          <w:sz w:val="22"/>
        </w:rPr>
        <w:br w:type="page"/>
      </w:r>
    </w:p>
    <w:p w14:paraId="50167FAF" w14:textId="5B20711B" w:rsidR="00F13014" w:rsidRDefault="003E642C" w:rsidP="00703834">
      <w:pPr>
        <w:pStyle w:val="Heading1"/>
      </w:pPr>
      <w:bookmarkStart w:id="141" w:name="_Appendix_D"/>
      <w:bookmarkStart w:id="142" w:name="_Toc216179733"/>
      <w:bookmarkEnd w:id="141"/>
      <w:r>
        <w:lastRenderedPageBreak/>
        <w:t xml:space="preserve">Appendix </w:t>
      </w:r>
      <w:r w:rsidR="002055D8">
        <w:t>D</w:t>
      </w:r>
      <w:r w:rsidR="00534658" w:rsidRPr="00534658">
        <w:t xml:space="preserve"> – </w:t>
      </w:r>
      <w:r w:rsidR="00FB4FDA" w:rsidRPr="00FB4FDA">
        <w:t>Guardianship and Administration (Fees) Regulations</w:t>
      </w:r>
      <w:bookmarkEnd w:id="142"/>
      <w:r w:rsidR="00C74513">
        <w:t xml:space="preserve"> </w:t>
      </w:r>
    </w:p>
    <w:p w14:paraId="5BED01F7" w14:textId="2620925A" w:rsidR="004277D4" w:rsidRDefault="004277D4" w:rsidP="00560F85">
      <w:pPr>
        <w:pStyle w:val="DJCSbody"/>
        <w:spacing w:after="80"/>
        <w:ind w:left="0"/>
        <w:rPr>
          <w:b/>
          <w:bCs/>
        </w:rPr>
      </w:pPr>
      <w:r w:rsidRPr="005160E7">
        <w:rPr>
          <w:b/>
          <w:bCs/>
        </w:rPr>
        <w:t xml:space="preserve">Mid-term </w:t>
      </w:r>
      <w:r w:rsidR="00191A2F">
        <w:rPr>
          <w:b/>
          <w:bCs/>
        </w:rPr>
        <w:t>evaluation</w:t>
      </w:r>
      <w:r w:rsidRPr="005160E7">
        <w:rPr>
          <w:b/>
          <w:bCs/>
        </w:rPr>
        <w:t xml:space="preserve"> of Guardianship and Administration (Fees) Regulations</w:t>
      </w:r>
    </w:p>
    <w:p w14:paraId="14EB6E8D" w14:textId="564A3F3F" w:rsidR="00F56616" w:rsidRDefault="00F56616" w:rsidP="00560F85">
      <w:pPr>
        <w:pStyle w:val="DJCSbody"/>
        <w:spacing w:after="80"/>
        <w:ind w:left="0"/>
        <w:rPr>
          <w:iCs/>
        </w:rPr>
      </w:pPr>
      <w:r>
        <w:t>DJCS committed to undertaking a mid-term evaluation of the Guardianship and Administration (Fees) Regulations 2022 (GA Regulations)</w:t>
      </w:r>
      <w:r w:rsidR="00D449D9">
        <w:t xml:space="preserve"> when these regulations were last remade</w:t>
      </w:r>
      <w:r>
        <w:t xml:space="preserve">. The </w:t>
      </w:r>
      <w:r w:rsidR="00B1102B">
        <w:t>2022</w:t>
      </w:r>
      <w:r>
        <w:t xml:space="preserve"> RIS for the GA Regulations</w:t>
      </w:r>
      <w:r w:rsidR="00BF785E">
        <w:t xml:space="preserve"> proposed that they be reviewed as a component of the larger </w:t>
      </w:r>
      <w:r w:rsidR="008B2D0D">
        <w:t xml:space="preserve">process </w:t>
      </w:r>
      <w:r w:rsidR="00D834AE">
        <w:t xml:space="preserve">for reviewing the </w:t>
      </w:r>
      <w:r w:rsidR="008B2D0D">
        <w:t>Regulations</w:t>
      </w:r>
      <w:r w:rsidR="00DB1C59">
        <w:t>,</w:t>
      </w:r>
      <w:r w:rsidR="00603D94">
        <w:t xml:space="preserve"> to enable </w:t>
      </w:r>
      <w:r w:rsidR="001416F9">
        <w:t xml:space="preserve">the impacts to VCAT’s operations from the introduction of the </w:t>
      </w:r>
      <w:r w:rsidR="003D1452" w:rsidRPr="003D1452">
        <w:rPr>
          <w:i/>
        </w:rPr>
        <w:t>Guardianship and Administration Act 2019</w:t>
      </w:r>
      <w:r w:rsidR="003D1452">
        <w:rPr>
          <w:i/>
        </w:rPr>
        <w:t xml:space="preserve"> </w:t>
      </w:r>
      <w:r w:rsidR="00E61520">
        <w:rPr>
          <w:iCs/>
        </w:rPr>
        <w:t xml:space="preserve">to be </w:t>
      </w:r>
      <w:r w:rsidR="00EA4B95">
        <w:rPr>
          <w:iCs/>
        </w:rPr>
        <w:t xml:space="preserve">distinguished </w:t>
      </w:r>
      <w:r w:rsidR="00E61520">
        <w:rPr>
          <w:iCs/>
        </w:rPr>
        <w:t xml:space="preserve">from the operational impacts of the COVID-19 pandemic. </w:t>
      </w:r>
    </w:p>
    <w:p w14:paraId="02E5EC13" w14:textId="387AECBE" w:rsidR="00F509AB" w:rsidRDefault="00F509AB" w:rsidP="00560F85">
      <w:pPr>
        <w:pStyle w:val="DJCSbody"/>
        <w:spacing w:after="80"/>
        <w:ind w:left="0"/>
      </w:pPr>
      <w:r>
        <w:t xml:space="preserve">The 2022 RIS stated that the evaluation criteria for the mid-term review </w:t>
      </w:r>
      <w:r w:rsidR="00081664">
        <w:t xml:space="preserve">of the GA Regulations </w:t>
      </w:r>
      <w:r>
        <w:t>would include:</w:t>
      </w:r>
    </w:p>
    <w:p w14:paraId="499E3978" w14:textId="77777777" w:rsidR="00F509AB" w:rsidRPr="003C634E" w:rsidRDefault="00F509AB" w:rsidP="00560F85">
      <w:pPr>
        <w:pStyle w:val="DJCSbullet1"/>
        <w:spacing w:after="80"/>
      </w:pPr>
      <w:r w:rsidRPr="003C634E">
        <w:t>Supporting VCAT’s role in Victoria’s civil justice system</w:t>
      </w:r>
    </w:p>
    <w:p w14:paraId="560F7CA6" w14:textId="77777777" w:rsidR="00F509AB" w:rsidRPr="003C634E" w:rsidRDefault="00F509AB" w:rsidP="00560F85">
      <w:pPr>
        <w:pStyle w:val="DJCSbullet1"/>
        <w:spacing w:after="80"/>
      </w:pPr>
      <w:r w:rsidRPr="003C634E">
        <w:t xml:space="preserve">Access to justice </w:t>
      </w:r>
    </w:p>
    <w:p w14:paraId="2B2DC4CC" w14:textId="77777777" w:rsidR="00F509AB" w:rsidRPr="003C634E" w:rsidRDefault="00F509AB" w:rsidP="00560F85">
      <w:pPr>
        <w:pStyle w:val="DJCSbullet1"/>
        <w:spacing w:after="80"/>
      </w:pPr>
      <w:r w:rsidRPr="003C634E">
        <w:t xml:space="preserve">Improving equity between VCAT users </w:t>
      </w:r>
    </w:p>
    <w:p w14:paraId="3CB8B9A8" w14:textId="7CD612AB" w:rsidR="00F509AB" w:rsidRPr="00F509AB" w:rsidRDefault="00F509AB" w:rsidP="00560F85">
      <w:pPr>
        <w:pStyle w:val="DJCSbullet1"/>
        <w:spacing w:after="80"/>
      </w:pPr>
      <w:r w:rsidRPr="003C634E">
        <w:t>Efficiency at VCAT</w:t>
      </w:r>
      <w:r>
        <w:t>.</w:t>
      </w:r>
    </w:p>
    <w:p w14:paraId="35C17764" w14:textId="128F8CBF" w:rsidR="005332C0" w:rsidRDefault="005332C0" w:rsidP="00560F85">
      <w:pPr>
        <w:pStyle w:val="DJCSbody"/>
        <w:spacing w:after="80"/>
        <w:ind w:left="0"/>
        <w:rPr>
          <w:iCs/>
        </w:rPr>
      </w:pPr>
      <w:r>
        <w:rPr>
          <w:iCs/>
        </w:rPr>
        <w:t xml:space="preserve">DJCS has commenced reviewing the GA Regulations and will engage with key stakeholders to determine any appropriate changes and finalise the mid-term evaluation. DJCS is not seeking feedback </w:t>
      </w:r>
      <w:r w:rsidR="00F509AB">
        <w:rPr>
          <w:iCs/>
        </w:rPr>
        <w:t xml:space="preserve">through this Engage Victoria process </w:t>
      </w:r>
      <w:r>
        <w:rPr>
          <w:iCs/>
        </w:rPr>
        <w:t>on the GA Regulation</w:t>
      </w:r>
      <w:r w:rsidR="00F509AB">
        <w:rPr>
          <w:iCs/>
        </w:rPr>
        <w:t>s</w:t>
      </w:r>
      <w:r w:rsidR="00504D60">
        <w:rPr>
          <w:iCs/>
        </w:rPr>
        <w:t>, although</w:t>
      </w:r>
      <w:r w:rsidR="008064D2">
        <w:rPr>
          <w:iCs/>
        </w:rPr>
        <w:t xml:space="preserve"> a summary of the review will be included</w:t>
      </w:r>
      <w:r w:rsidR="006C5D1A">
        <w:rPr>
          <w:iCs/>
        </w:rPr>
        <w:t xml:space="preserve"> when </w:t>
      </w:r>
      <w:r w:rsidR="00F06E38">
        <w:rPr>
          <w:iCs/>
        </w:rPr>
        <w:t>concluding</w:t>
      </w:r>
      <w:r w:rsidR="006C5D1A">
        <w:rPr>
          <w:iCs/>
        </w:rPr>
        <w:t xml:space="preserve"> the </w:t>
      </w:r>
      <w:r w:rsidR="00F06E38">
        <w:rPr>
          <w:iCs/>
        </w:rPr>
        <w:t xml:space="preserve">broader VCAT (Fees) Regulations </w:t>
      </w:r>
      <w:r w:rsidR="00B5663B">
        <w:rPr>
          <w:iCs/>
        </w:rPr>
        <w:t xml:space="preserve">consultation </w:t>
      </w:r>
      <w:r w:rsidR="00492B9D">
        <w:rPr>
          <w:iCs/>
        </w:rPr>
        <w:t>through</w:t>
      </w:r>
      <w:r w:rsidR="00B5663B">
        <w:rPr>
          <w:iCs/>
        </w:rPr>
        <w:t xml:space="preserve"> a published Statement of Reasons.</w:t>
      </w:r>
    </w:p>
    <w:p w14:paraId="30616823" w14:textId="6F872A2A" w:rsidR="00582636" w:rsidRPr="00E61520" w:rsidRDefault="00582636" w:rsidP="00F56616">
      <w:pPr>
        <w:pStyle w:val="DJCSbody"/>
        <w:ind w:left="0"/>
        <w:rPr>
          <w:iCs/>
        </w:rPr>
      </w:pPr>
    </w:p>
    <w:p w14:paraId="61745099" w14:textId="77777777" w:rsidR="00F13014" w:rsidRDefault="00F13014" w:rsidP="00F56616">
      <w:pPr>
        <w:pStyle w:val="DJCSbody"/>
        <w:ind w:left="0"/>
      </w:pPr>
    </w:p>
    <w:p w14:paraId="254A45A7" w14:textId="77777777" w:rsidR="00F13014" w:rsidRPr="00F13014" w:rsidRDefault="00F13014" w:rsidP="00F13014"/>
    <w:p w14:paraId="2E24E99F" w14:textId="3C039359" w:rsidR="00F13014" w:rsidRDefault="00F13014">
      <w:pPr>
        <w:rPr>
          <w:rFonts w:ascii="Arial" w:eastAsia="Times" w:hAnsi="Arial"/>
          <w:sz w:val="22"/>
        </w:rPr>
      </w:pPr>
    </w:p>
    <w:p w14:paraId="3D3A9160" w14:textId="77777777" w:rsidR="00F10335" w:rsidRDefault="00F51E5E" w:rsidP="00703834">
      <w:pPr>
        <w:pStyle w:val="DJCSbody"/>
        <w:ind w:left="0"/>
        <w:sectPr w:rsidR="00F10335" w:rsidSect="00C5670C">
          <w:pgSz w:w="11906" w:h="16838" w:code="9"/>
          <w:pgMar w:top="1871" w:right="707" w:bottom="1588" w:left="851" w:header="283" w:footer="680" w:gutter="0"/>
          <w:cols w:space="720"/>
          <w:docGrid w:linePitch="360"/>
        </w:sectPr>
      </w:pPr>
      <w:r>
        <w:br w:type="page"/>
      </w:r>
    </w:p>
    <w:p w14:paraId="6D21952E" w14:textId="2F698020" w:rsidR="00F51E5E" w:rsidRDefault="00F51E5E" w:rsidP="00F51E5E">
      <w:pPr>
        <w:pStyle w:val="Heading1"/>
      </w:pPr>
      <w:bookmarkStart w:id="143" w:name="_Appendix_E_–"/>
      <w:bookmarkStart w:id="144" w:name="_Toc216179734"/>
      <w:bookmarkEnd w:id="143"/>
      <w:r>
        <w:lastRenderedPageBreak/>
        <w:t xml:space="preserve">Appendix </w:t>
      </w:r>
      <w:r w:rsidR="002055D8">
        <w:t>E</w:t>
      </w:r>
      <w:r w:rsidR="009C650F">
        <w:t xml:space="preserve"> </w:t>
      </w:r>
      <w:r w:rsidR="00C41FD7">
        <w:t xml:space="preserve">– </w:t>
      </w:r>
      <w:r w:rsidR="009C650F">
        <w:t xml:space="preserve">Interjurisdictional </w:t>
      </w:r>
      <w:r w:rsidR="00F67D25">
        <w:t>C</w:t>
      </w:r>
      <w:r w:rsidR="009C650F">
        <w:t>omparison</w:t>
      </w:r>
      <w:r w:rsidR="002A777A">
        <w:t xml:space="preserve"> </w:t>
      </w:r>
      <w:r w:rsidR="009C650F">
        <w:t xml:space="preserve">of </w:t>
      </w:r>
      <w:r w:rsidR="00F67D25">
        <w:t>F</w:t>
      </w:r>
      <w:r w:rsidR="009C650F">
        <w:t>ees</w:t>
      </w:r>
      <w:bookmarkEnd w:id="144"/>
    </w:p>
    <w:p w14:paraId="4B9059D4" w14:textId="4175FC2B" w:rsidR="00E16D08" w:rsidRPr="00E16D08" w:rsidRDefault="00E16D08" w:rsidP="00E16D08">
      <w:pPr>
        <w:pStyle w:val="DJCStablecaption"/>
        <w:ind w:left="0"/>
        <w:rPr>
          <w:rFonts w:eastAsia="Times"/>
        </w:rPr>
      </w:pPr>
      <w:r w:rsidRPr="00C329DD">
        <w:t>Table 2</w:t>
      </w:r>
      <w:r>
        <w:t>5</w:t>
      </w:r>
      <w:r w:rsidRPr="00C329DD">
        <w:t xml:space="preserve">: </w:t>
      </w:r>
      <w:r>
        <w:t>Comparison of Tribunal Fees across comparable jurisdictions</w:t>
      </w:r>
    </w:p>
    <w:tbl>
      <w:tblPr>
        <w:tblW w:w="13739" w:type="dxa"/>
        <w:tblLook w:val="04A0" w:firstRow="1" w:lastRow="0" w:firstColumn="1" w:lastColumn="0" w:noHBand="0" w:noVBand="1"/>
      </w:tblPr>
      <w:tblGrid>
        <w:gridCol w:w="1306"/>
        <w:gridCol w:w="1010"/>
        <w:gridCol w:w="844"/>
        <w:gridCol w:w="885"/>
        <w:gridCol w:w="1010"/>
        <w:gridCol w:w="844"/>
        <w:gridCol w:w="885"/>
        <w:gridCol w:w="1223"/>
        <w:gridCol w:w="808"/>
        <w:gridCol w:w="823"/>
        <w:gridCol w:w="1018"/>
        <w:gridCol w:w="1300"/>
        <w:gridCol w:w="881"/>
        <w:gridCol w:w="902"/>
      </w:tblGrid>
      <w:tr w:rsidR="00F10335" w:rsidRPr="003E009A" w14:paraId="15D0B88E" w14:textId="77777777" w:rsidTr="00335F31">
        <w:trPr>
          <w:trHeight w:val="317"/>
        </w:trPr>
        <w:tc>
          <w:tcPr>
            <w:tcW w:w="6784" w:type="dxa"/>
            <w:gridSpan w:val="7"/>
            <w:vMerge w:val="restart"/>
            <w:tcBorders>
              <w:top w:val="single" w:sz="8" w:space="0" w:color="auto"/>
              <w:left w:val="single" w:sz="8" w:space="0" w:color="auto"/>
              <w:bottom w:val="single" w:sz="8" w:space="0" w:color="000000"/>
              <w:right w:val="single" w:sz="8" w:space="0" w:color="000000"/>
            </w:tcBorders>
            <w:shd w:val="clear" w:color="000000" w:fill="005D92"/>
            <w:vAlign w:val="center"/>
            <w:hideMark/>
          </w:tcPr>
          <w:p w14:paraId="4321364D" w14:textId="77777777" w:rsidR="00F10335" w:rsidRPr="003E009A" w:rsidRDefault="00F10335">
            <w:pPr>
              <w:ind w:firstLineChars="100" w:firstLine="141"/>
              <w:rPr>
                <w:rFonts w:ascii="Arial" w:hAnsi="Arial" w:cs="Arial"/>
                <w:b/>
                <w:bCs/>
                <w:color w:val="FFFFFF"/>
                <w:sz w:val="14"/>
                <w:szCs w:val="14"/>
                <w:lang w:eastAsia="en-AU"/>
              </w:rPr>
            </w:pPr>
            <w:r w:rsidRPr="003E009A">
              <w:rPr>
                <w:rFonts w:ascii="Arial" w:hAnsi="Arial" w:cs="Arial"/>
                <w:b/>
                <w:bCs/>
                <w:color w:val="FFFFFF"/>
                <w:sz w:val="14"/>
                <w:szCs w:val="14"/>
                <w:lang w:eastAsia="en-AU"/>
              </w:rPr>
              <w:t>Victoria</w:t>
            </w:r>
            <w:r>
              <w:rPr>
                <w:rFonts w:ascii="Arial" w:hAnsi="Arial" w:cs="Arial"/>
                <w:b/>
                <w:bCs/>
                <w:color w:val="FFFFFF"/>
                <w:sz w:val="14"/>
                <w:szCs w:val="14"/>
                <w:lang w:eastAsia="en-AU"/>
              </w:rPr>
              <w:t xml:space="preserve"> - </w:t>
            </w:r>
            <w:r w:rsidRPr="003E009A">
              <w:rPr>
                <w:rFonts w:ascii="Arial" w:hAnsi="Arial" w:cs="Arial"/>
                <w:b/>
                <w:bCs/>
                <w:color w:val="FFFFFF"/>
                <w:sz w:val="14"/>
                <w:szCs w:val="14"/>
                <w:lang w:eastAsia="en-AU"/>
              </w:rPr>
              <w:t>Victorian Civil and Administrative Tribunal</w:t>
            </w:r>
          </w:p>
        </w:tc>
        <w:tc>
          <w:tcPr>
            <w:tcW w:w="6955" w:type="dxa"/>
            <w:gridSpan w:val="7"/>
            <w:tcBorders>
              <w:top w:val="single" w:sz="8" w:space="0" w:color="auto"/>
              <w:left w:val="nil"/>
              <w:bottom w:val="single" w:sz="4" w:space="0" w:color="FFFFFF"/>
              <w:right w:val="single" w:sz="8" w:space="0" w:color="000000"/>
            </w:tcBorders>
            <w:shd w:val="clear" w:color="000000" w:fill="262626"/>
            <w:vAlign w:val="center"/>
            <w:hideMark/>
          </w:tcPr>
          <w:p w14:paraId="6C2D02C9" w14:textId="77777777" w:rsidR="00F10335" w:rsidRPr="003E009A" w:rsidRDefault="00F10335">
            <w:pPr>
              <w:ind w:firstLineChars="100" w:firstLine="141"/>
              <w:rPr>
                <w:rFonts w:ascii="Arial" w:hAnsi="Arial" w:cs="Arial"/>
                <w:b/>
                <w:bCs/>
                <w:color w:val="FFFFFF"/>
                <w:sz w:val="14"/>
                <w:szCs w:val="14"/>
                <w:lang w:eastAsia="en-AU"/>
              </w:rPr>
            </w:pPr>
            <w:r w:rsidRPr="003E009A">
              <w:rPr>
                <w:rFonts w:ascii="Arial" w:hAnsi="Arial" w:cs="Arial"/>
                <w:b/>
                <w:bCs/>
                <w:color w:val="FFFFFF"/>
                <w:sz w:val="14"/>
                <w:szCs w:val="14"/>
                <w:lang w:eastAsia="en-AU"/>
              </w:rPr>
              <w:t>Comparable jurisdictions</w:t>
            </w:r>
          </w:p>
        </w:tc>
      </w:tr>
      <w:tr w:rsidR="00F10335" w:rsidRPr="003E009A" w14:paraId="4C392F8C" w14:textId="77777777" w:rsidTr="00335F31">
        <w:trPr>
          <w:trHeight w:val="341"/>
        </w:trPr>
        <w:tc>
          <w:tcPr>
            <w:tcW w:w="6784" w:type="dxa"/>
            <w:gridSpan w:val="7"/>
            <w:vMerge/>
            <w:tcBorders>
              <w:top w:val="single" w:sz="8" w:space="0" w:color="auto"/>
              <w:left w:val="single" w:sz="8" w:space="0" w:color="auto"/>
              <w:bottom w:val="single" w:sz="8" w:space="0" w:color="000000"/>
              <w:right w:val="single" w:sz="8" w:space="0" w:color="000000"/>
            </w:tcBorders>
            <w:vAlign w:val="center"/>
            <w:hideMark/>
          </w:tcPr>
          <w:p w14:paraId="0344E9D8" w14:textId="77777777" w:rsidR="00F10335" w:rsidRPr="003E009A" w:rsidRDefault="00F10335">
            <w:pPr>
              <w:rPr>
                <w:rFonts w:ascii="Arial" w:hAnsi="Arial" w:cs="Arial"/>
                <w:b/>
                <w:bCs/>
                <w:color w:val="FFFFFF"/>
                <w:sz w:val="14"/>
                <w:szCs w:val="14"/>
                <w:lang w:eastAsia="en-AU"/>
              </w:rPr>
            </w:pPr>
          </w:p>
        </w:tc>
        <w:tc>
          <w:tcPr>
            <w:tcW w:w="3872" w:type="dxa"/>
            <w:gridSpan w:val="4"/>
            <w:tcBorders>
              <w:top w:val="single" w:sz="4" w:space="0" w:color="FFFFFF"/>
              <w:left w:val="nil"/>
              <w:bottom w:val="single" w:sz="8" w:space="0" w:color="auto"/>
              <w:right w:val="single" w:sz="4" w:space="0" w:color="FFFFFF"/>
            </w:tcBorders>
            <w:shd w:val="clear" w:color="000000" w:fill="262626"/>
            <w:vAlign w:val="center"/>
            <w:hideMark/>
          </w:tcPr>
          <w:p w14:paraId="05CBB72C" w14:textId="77777777" w:rsidR="00F10335" w:rsidRPr="003E009A" w:rsidRDefault="00F10335">
            <w:pPr>
              <w:ind w:firstLineChars="100" w:firstLine="141"/>
              <w:rPr>
                <w:rFonts w:ascii="Arial" w:hAnsi="Arial" w:cs="Arial"/>
                <w:b/>
                <w:bCs/>
                <w:color w:val="FFFFFF"/>
                <w:sz w:val="14"/>
                <w:szCs w:val="14"/>
                <w:lang w:eastAsia="en-AU"/>
              </w:rPr>
            </w:pPr>
            <w:r w:rsidRPr="003E009A">
              <w:rPr>
                <w:rFonts w:ascii="Arial" w:hAnsi="Arial" w:cs="Arial"/>
                <w:b/>
                <w:bCs/>
                <w:color w:val="FFFFFF"/>
                <w:sz w:val="14"/>
                <w:szCs w:val="14"/>
                <w:lang w:eastAsia="en-AU"/>
              </w:rPr>
              <w:t>New South Wales</w:t>
            </w:r>
          </w:p>
        </w:tc>
        <w:tc>
          <w:tcPr>
            <w:tcW w:w="3083" w:type="dxa"/>
            <w:gridSpan w:val="3"/>
            <w:tcBorders>
              <w:top w:val="nil"/>
              <w:left w:val="nil"/>
              <w:bottom w:val="single" w:sz="8" w:space="0" w:color="auto"/>
              <w:right w:val="single" w:sz="8" w:space="0" w:color="000000"/>
            </w:tcBorders>
            <w:shd w:val="clear" w:color="000000" w:fill="262626"/>
            <w:vAlign w:val="center"/>
            <w:hideMark/>
          </w:tcPr>
          <w:p w14:paraId="733ED333" w14:textId="77777777" w:rsidR="00F10335" w:rsidRPr="003E009A" w:rsidRDefault="00F10335">
            <w:pPr>
              <w:ind w:firstLineChars="100" w:firstLine="141"/>
              <w:rPr>
                <w:rFonts w:ascii="Arial" w:hAnsi="Arial" w:cs="Arial"/>
                <w:b/>
                <w:bCs/>
                <w:color w:val="FFFFFF"/>
                <w:sz w:val="14"/>
                <w:szCs w:val="14"/>
                <w:lang w:eastAsia="en-AU"/>
              </w:rPr>
            </w:pPr>
            <w:r w:rsidRPr="003E009A">
              <w:rPr>
                <w:rFonts w:ascii="Arial" w:hAnsi="Arial" w:cs="Arial"/>
                <w:b/>
                <w:bCs/>
                <w:color w:val="FFFFFF"/>
                <w:sz w:val="14"/>
                <w:szCs w:val="14"/>
                <w:lang w:eastAsia="en-AU"/>
              </w:rPr>
              <w:t>Queensland</w:t>
            </w:r>
          </w:p>
        </w:tc>
      </w:tr>
      <w:tr w:rsidR="00FE2E11" w:rsidRPr="003E009A" w14:paraId="0EB5867E" w14:textId="77777777" w:rsidTr="00335F31">
        <w:trPr>
          <w:trHeight w:val="550"/>
        </w:trPr>
        <w:tc>
          <w:tcPr>
            <w:tcW w:w="4045" w:type="dxa"/>
            <w:gridSpan w:val="4"/>
            <w:tcBorders>
              <w:top w:val="single" w:sz="8" w:space="0" w:color="auto"/>
              <w:left w:val="single" w:sz="8" w:space="0" w:color="auto"/>
              <w:bottom w:val="single" w:sz="4" w:space="0" w:color="auto"/>
              <w:right w:val="single" w:sz="8" w:space="0" w:color="000000"/>
            </w:tcBorders>
            <w:shd w:val="clear" w:color="000000" w:fill="D1EFFF"/>
            <w:vAlign w:val="center"/>
            <w:hideMark/>
          </w:tcPr>
          <w:p w14:paraId="48E1EB4B"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Current</w:t>
            </w:r>
          </w:p>
        </w:tc>
        <w:tc>
          <w:tcPr>
            <w:tcW w:w="2739" w:type="dxa"/>
            <w:gridSpan w:val="3"/>
            <w:tcBorders>
              <w:top w:val="single" w:sz="8" w:space="0" w:color="auto"/>
              <w:left w:val="nil"/>
              <w:bottom w:val="single" w:sz="4" w:space="0" w:color="auto"/>
              <w:right w:val="nil"/>
            </w:tcBorders>
            <w:shd w:val="clear" w:color="000000" w:fill="9BDBFF"/>
            <w:vAlign w:val="center"/>
            <w:hideMark/>
          </w:tcPr>
          <w:p w14:paraId="1E0C897E" w14:textId="2D9F821F" w:rsidR="00F10335" w:rsidRPr="003E009A" w:rsidRDefault="008C52B3">
            <w:pPr>
              <w:jc w:val="center"/>
              <w:rPr>
                <w:rFonts w:ascii="Arial" w:hAnsi="Arial" w:cs="Arial"/>
                <w:b/>
                <w:bCs/>
                <w:color w:val="000000"/>
                <w:sz w:val="14"/>
                <w:szCs w:val="14"/>
                <w:lang w:eastAsia="en-AU"/>
              </w:rPr>
            </w:pPr>
            <w:r>
              <w:rPr>
                <w:rFonts w:ascii="Arial" w:hAnsi="Arial" w:cs="Arial"/>
                <w:b/>
                <w:bCs/>
                <w:color w:val="000000"/>
                <w:sz w:val="14"/>
                <w:szCs w:val="14"/>
                <w:lang w:eastAsia="en-AU"/>
              </w:rPr>
              <w:t>Preferred Option</w:t>
            </w:r>
          </w:p>
        </w:tc>
        <w:tc>
          <w:tcPr>
            <w:tcW w:w="3872" w:type="dxa"/>
            <w:gridSpan w:val="4"/>
            <w:tcBorders>
              <w:top w:val="single" w:sz="8" w:space="0" w:color="auto"/>
              <w:left w:val="single" w:sz="8" w:space="0" w:color="auto"/>
              <w:bottom w:val="single" w:sz="4" w:space="0" w:color="auto"/>
              <w:right w:val="single" w:sz="8" w:space="0" w:color="000000"/>
            </w:tcBorders>
            <w:shd w:val="clear" w:color="000000" w:fill="A6A6A6"/>
            <w:vAlign w:val="center"/>
            <w:hideMark/>
          </w:tcPr>
          <w:p w14:paraId="62037A2B"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NSW Civil and</w:t>
            </w:r>
            <w:r>
              <w:rPr>
                <w:rFonts w:ascii="Arial" w:hAnsi="Arial" w:cs="Arial"/>
                <w:b/>
                <w:bCs/>
                <w:color w:val="000000"/>
                <w:sz w:val="14"/>
                <w:szCs w:val="14"/>
                <w:lang w:eastAsia="en-AU"/>
              </w:rPr>
              <w:t xml:space="preserve"> </w:t>
            </w:r>
            <w:r w:rsidRPr="003E009A">
              <w:rPr>
                <w:rFonts w:ascii="Arial" w:hAnsi="Arial" w:cs="Arial"/>
                <w:b/>
                <w:bCs/>
                <w:color w:val="000000"/>
                <w:sz w:val="14"/>
                <w:szCs w:val="14"/>
                <w:lang w:eastAsia="en-AU"/>
              </w:rPr>
              <w:t>Administrative Tribunal</w:t>
            </w:r>
          </w:p>
        </w:tc>
        <w:tc>
          <w:tcPr>
            <w:tcW w:w="3083" w:type="dxa"/>
            <w:gridSpan w:val="3"/>
            <w:tcBorders>
              <w:top w:val="single" w:sz="8" w:space="0" w:color="auto"/>
              <w:left w:val="nil"/>
              <w:bottom w:val="single" w:sz="4" w:space="0" w:color="auto"/>
              <w:right w:val="single" w:sz="8" w:space="0" w:color="000000"/>
            </w:tcBorders>
            <w:shd w:val="clear" w:color="000000" w:fill="A6A6A6"/>
            <w:vAlign w:val="center"/>
            <w:hideMark/>
          </w:tcPr>
          <w:p w14:paraId="3A72A3D4"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Queensland Civil and Administrative Tribunal</w:t>
            </w:r>
          </w:p>
        </w:tc>
      </w:tr>
      <w:tr w:rsidR="00335F31" w:rsidRPr="003E009A" w14:paraId="6C8F3EFA" w14:textId="77777777" w:rsidTr="00335F31">
        <w:trPr>
          <w:trHeight w:val="726"/>
        </w:trPr>
        <w:tc>
          <w:tcPr>
            <w:tcW w:w="4045"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3E7D753B" w14:textId="77777777" w:rsidR="00F10335" w:rsidRPr="003E009A" w:rsidRDefault="00F10335">
            <w:pPr>
              <w:jc w:val="center"/>
              <w:rPr>
                <w:rFonts w:ascii="Arial" w:hAnsi="Arial" w:cs="Arial"/>
                <w:b/>
                <w:bCs/>
                <w:i/>
                <w:iCs/>
                <w:color w:val="000000"/>
                <w:sz w:val="14"/>
                <w:szCs w:val="14"/>
                <w:lang w:eastAsia="en-AU"/>
              </w:rPr>
            </w:pPr>
            <w:r w:rsidRPr="003E009A">
              <w:rPr>
                <w:rFonts w:ascii="Arial" w:hAnsi="Arial" w:cs="Arial"/>
                <w:b/>
                <w:bCs/>
                <w:i/>
                <w:iCs/>
                <w:color w:val="000000"/>
                <w:sz w:val="14"/>
                <w:szCs w:val="14"/>
                <w:lang w:eastAsia="en-AU"/>
              </w:rPr>
              <w:t>Administrative Division</w:t>
            </w:r>
          </w:p>
        </w:tc>
        <w:tc>
          <w:tcPr>
            <w:tcW w:w="2739" w:type="dxa"/>
            <w:gridSpan w:val="3"/>
            <w:tcBorders>
              <w:top w:val="single" w:sz="4" w:space="0" w:color="auto"/>
              <w:left w:val="nil"/>
              <w:bottom w:val="single" w:sz="4" w:space="0" w:color="auto"/>
              <w:right w:val="nil"/>
            </w:tcBorders>
            <w:shd w:val="clear" w:color="000000" w:fill="D9D9D9"/>
            <w:vAlign w:val="center"/>
            <w:hideMark/>
          </w:tcPr>
          <w:p w14:paraId="6E072023"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 xml:space="preserve">Comparable proceeding types within </w:t>
            </w:r>
            <w:r w:rsidRPr="003E009A">
              <w:rPr>
                <w:rFonts w:ascii="Arial" w:hAnsi="Arial" w:cs="Arial"/>
                <w:b/>
                <w:bCs/>
                <w:color w:val="000000"/>
                <w:sz w:val="14"/>
                <w:szCs w:val="14"/>
                <w:lang w:eastAsia="en-AU"/>
              </w:rPr>
              <w:br/>
            </w:r>
            <w:r w:rsidRPr="003E009A">
              <w:rPr>
                <w:rFonts w:ascii="Arial" w:hAnsi="Arial" w:cs="Arial"/>
                <w:b/>
                <w:bCs/>
                <w:color w:val="000000"/>
                <w:sz w:val="12"/>
                <w:szCs w:val="12"/>
                <w:lang w:eastAsia="en-AU"/>
              </w:rPr>
              <w:t>People's Rights &amp; Responsibilities Div</w:t>
            </w:r>
            <w:r w:rsidRPr="003E009A">
              <w:rPr>
                <w:rFonts w:ascii="Arial" w:hAnsi="Arial" w:cs="Arial"/>
                <w:b/>
                <w:bCs/>
                <w:color w:val="000000"/>
                <w:sz w:val="14"/>
                <w:szCs w:val="14"/>
                <w:lang w:eastAsia="en-AU"/>
              </w:rPr>
              <w:br/>
              <w:t>Land &amp; Environment Divisions</w:t>
            </w:r>
          </w:p>
        </w:tc>
        <w:tc>
          <w:tcPr>
            <w:tcW w:w="3872"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2268D867"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 xml:space="preserve">Comparable proceeding types within </w:t>
            </w:r>
            <w:r w:rsidRPr="003E009A">
              <w:rPr>
                <w:rFonts w:ascii="Arial" w:hAnsi="Arial" w:cs="Arial"/>
                <w:b/>
                <w:bCs/>
                <w:color w:val="000000"/>
                <w:sz w:val="14"/>
                <w:szCs w:val="14"/>
                <w:lang w:eastAsia="en-AU"/>
              </w:rPr>
              <w:br/>
            </w:r>
            <w:r w:rsidRPr="003E009A">
              <w:rPr>
                <w:rFonts w:ascii="Arial" w:hAnsi="Arial" w:cs="Arial"/>
                <w:b/>
                <w:bCs/>
                <w:i/>
                <w:iCs/>
                <w:color w:val="000000"/>
                <w:sz w:val="14"/>
                <w:szCs w:val="14"/>
                <w:lang w:eastAsia="en-AU"/>
              </w:rPr>
              <w:t>Administrative &amp; Equal Opportunity Division</w:t>
            </w:r>
          </w:p>
        </w:tc>
        <w:tc>
          <w:tcPr>
            <w:tcW w:w="3083" w:type="dxa"/>
            <w:gridSpan w:val="3"/>
            <w:tcBorders>
              <w:top w:val="single" w:sz="4" w:space="0" w:color="auto"/>
              <w:left w:val="nil"/>
              <w:bottom w:val="single" w:sz="4" w:space="0" w:color="auto"/>
              <w:right w:val="single" w:sz="8" w:space="0" w:color="000000"/>
            </w:tcBorders>
            <w:shd w:val="clear" w:color="000000" w:fill="D9D9D9"/>
            <w:vAlign w:val="center"/>
            <w:hideMark/>
          </w:tcPr>
          <w:p w14:paraId="2B429A4C"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Comparable proceeding types:</w:t>
            </w:r>
            <w:r w:rsidRPr="003E009A">
              <w:rPr>
                <w:rFonts w:ascii="Arial" w:hAnsi="Arial" w:cs="Arial"/>
                <w:b/>
                <w:bCs/>
                <w:color w:val="000000"/>
                <w:sz w:val="14"/>
                <w:szCs w:val="14"/>
                <w:lang w:eastAsia="en-AU"/>
              </w:rPr>
              <w:t xml:space="preserve"> </w:t>
            </w:r>
            <w:r w:rsidRPr="003E009A">
              <w:rPr>
                <w:rFonts w:ascii="Arial" w:hAnsi="Arial" w:cs="Arial"/>
                <w:b/>
                <w:bCs/>
                <w:i/>
                <w:iCs/>
                <w:color w:val="000000"/>
                <w:sz w:val="14"/>
                <w:szCs w:val="14"/>
                <w:lang w:eastAsia="en-AU"/>
              </w:rPr>
              <w:t>Discipline and regulation of professionals; Review of government agency decisions</w:t>
            </w:r>
          </w:p>
        </w:tc>
      </w:tr>
      <w:tr w:rsidR="00F10335" w:rsidRPr="003E009A" w14:paraId="58A9415E" w14:textId="77777777" w:rsidTr="00335F31">
        <w:trPr>
          <w:trHeight w:val="606"/>
        </w:trPr>
        <w:tc>
          <w:tcPr>
            <w:tcW w:w="1306" w:type="dxa"/>
            <w:tcBorders>
              <w:top w:val="nil"/>
              <w:left w:val="single" w:sz="8" w:space="0" w:color="auto"/>
              <w:bottom w:val="single" w:sz="4" w:space="0" w:color="auto"/>
              <w:right w:val="single" w:sz="4" w:space="0" w:color="auto"/>
            </w:tcBorders>
            <w:vAlign w:val="center"/>
            <w:hideMark/>
          </w:tcPr>
          <w:p w14:paraId="1122EC8D" w14:textId="41182A6E" w:rsidR="00F10335" w:rsidRPr="003E009A" w:rsidRDefault="00335F31">
            <w:pPr>
              <w:rPr>
                <w:rFonts w:ascii="Arial" w:hAnsi="Arial" w:cs="Arial"/>
                <w:b/>
                <w:bCs/>
                <w:color w:val="000000"/>
                <w:sz w:val="14"/>
                <w:szCs w:val="14"/>
                <w:lang w:eastAsia="en-AU"/>
              </w:rPr>
            </w:pPr>
            <w:r>
              <w:rPr>
                <w:rFonts w:ascii="Arial" w:hAnsi="Arial" w:cs="Arial"/>
                <w:b/>
                <w:bCs/>
                <w:color w:val="000000"/>
                <w:sz w:val="14"/>
                <w:szCs w:val="14"/>
                <w:lang w:eastAsia="en-AU"/>
              </w:rPr>
              <w:t>FEE TYPES</w:t>
            </w:r>
          </w:p>
        </w:tc>
        <w:tc>
          <w:tcPr>
            <w:tcW w:w="1010" w:type="dxa"/>
            <w:tcBorders>
              <w:top w:val="nil"/>
              <w:left w:val="nil"/>
              <w:bottom w:val="single" w:sz="4" w:space="0" w:color="auto"/>
              <w:right w:val="single" w:sz="4" w:space="0" w:color="auto"/>
            </w:tcBorders>
            <w:shd w:val="clear" w:color="000000" w:fill="EFFFFE"/>
            <w:vAlign w:val="center"/>
            <w:hideMark/>
          </w:tcPr>
          <w:p w14:paraId="03D9A874"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50202BB4"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single" w:sz="8" w:space="0" w:color="auto"/>
            </w:tcBorders>
            <w:shd w:val="clear" w:color="000000" w:fill="F5DEFA"/>
            <w:vAlign w:val="center"/>
            <w:hideMark/>
          </w:tcPr>
          <w:p w14:paraId="7D396FC1"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010" w:type="dxa"/>
            <w:tcBorders>
              <w:top w:val="nil"/>
              <w:left w:val="single" w:sz="4" w:space="0" w:color="auto"/>
              <w:bottom w:val="single" w:sz="4" w:space="0" w:color="auto"/>
              <w:right w:val="single" w:sz="4" w:space="0" w:color="auto"/>
            </w:tcBorders>
            <w:shd w:val="clear" w:color="000000" w:fill="EFFFFE"/>
            <w:vAlign w:val="center"/>
            <w:hideMark/>
          </w:tcPr>
          <w:p w14:paraId="1F813760"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3B3625E2"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single" w:sz="8" w:space="0" w:color="auto"/>
            </w:tcBorders>
            <w:shd w:val="clear" w:color="000000" w:fill="F5DEFA"/>
            <w:vAlign w:val="center"/>
            <w:hideMark/>
          </w:tcPr>
          <w:p w14:paraId="275817EF"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223" w:type="dxa"/>
            <w:tcBorders>
              <w:top w:val="nil"/>
              <w:left w:val="nil"/>
              <w:bottom w:val="single" w:sz="4" w:space="0" w:color="auto"/>
              <w:right w:val="nil"/>
            </w:tcBorders>
            <w:vAlign w:val="center"/>
            <w:hideMark/>
          </w:tcPr>
          <w:p w14:paraId="799AF494" w14:textId="6E16A2C9"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808" w:type="dxa"/>
            <w:tcBorders>
              <w:top w:val="nil"/>
              <w:left w:val="single" w:sz="4" w:space="0" w:color="auto"/>
              <w:bottom w:val="single" w:sz="4" w:space="0" w:color="auto"/>
              <w:right w:val="single" w:sz="4" w:space="0" w:color="auto"/>
            </w:tcBorders>
            <w:shd w:val="clear" w:color="000000" w:fill="EFFFFE"/>
            <w:vAlign w:val="center"/>
            <w:hideMark/>
          </w:tcPr>
          <w:p w14:paraId="48A5B9EA"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Reduced</w:t>
            </w:r>
          </w:p>
        </w:tc>
        <w:tc>
          <w:tcPr>
            <w:tcW w:w="823" w:type="dxa"/>
            <w:tcBorders>
              <w:top w:val="nil"/>
              <w:left w:val="nil"/>
              <w:bottom w:val="single" w:sz="4" w:space="0" w:color="auto"/>
              <w:right w:val="single" w:sz="4" w:space="0" w:color="auto"/>
            </w:tcBorders>
            <w:shd w:val="clear" w:color="000000" w:fill="F7DDDE"/>
            <w:vAlign w:val="center"/>
            <w:hideMark/>
          </w:tcPr>
          <w:p w14:paraId="18DA326F"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1018" w:type="dxa"/>
            <w:tcBorders>
              <w:top w:val="nil"/>
              <w:left w:val="nil"/>
              <w:bottom w:val="single" w:sz="4" w:space="0" w:color="auto"/>
              <w:right w:val="single" w:sz="8" w:space="0" w:color="auto"/>
            </w:tcBorders>
            <w:shd w:val="clear" w:color="000000" w:fill="F5DEFA"/>
            <w:vAlign w:val="center"/>
            <w:hideMark/>
          </w:tcPr>
          <w:p w14:paraId="05CD796F"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Corporation</w:t>
            </w:r>
          </w:p>
        </w:tc>
        <w:tc>
          <w:tcPr>
            <w:tcW w:w="1300" w:type="dxa"/>
            <w:tcBorders>
              <w:top w:val="nil"/>
              <w:left w:val="nil"/>
              <w:bottom w:val="single" w:sz="4" w:space="0" w:color="auto"/>
              <w:right w:val="single" w:sz="4" w:space="0" w:color="auto"/>
            </w:tcBorders>
            <w:vAlign w:val="center"/>
            <w:hideMark/>
          </w:tcPr>
          <w:p w14:paraId="36B85823" w14:textId="4195360D"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776" w:type="dxa"/>
            <w:gridSpan w:val="2"/>
            <w:tcBorders>
              <w:top w:val="single" w:sz="4" w:space="0" w:color="auto"/>
              <w:left w:val="nil"/>
              <w:bottom w:val="single" w:sz="4" w:space="0" w:color="auto"/>
              <w:right w:val="single" w:sz="8" w:space="0" w:color="000000"/>
            </w:tcBorders>
            <w:shd w:val="clear" w:color="000000" w:fill="F7DDDE"/>
            <w:vAlign w:val="center"/>
            <w:hideMark/>
          </w:tcPr>
          <w:p w14:paraId="591A1520"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Single fee payer category</w:t>
            </w:r>
          </w:p>
        </w:tc>
      </w:tr>
      <w:tr w:rsidR="00F10335" w:rsidRPr="003E009A" w14:paraId="04499602" w14:textId="77777777" w:rsidTr="00C329DD">
        <w:trPr>
          <w:trHeight w:val="420"/>
        </w:trPr>
        <w:tc>
          <w:tcPr>
            <w:tcW w:w="1306" w:type="dxa"/>
            <w:tcBorders>
              <w:top w:val="nil"/>
              <w:left w:val="single" w:sz="8" w:space="0" w:color="auto"/>
              <w:bottom w:val="single" w:sz="4" w:space="0" w:color="auto"/>
              <w:right w:val="single" w:sz="4" w:space="0" w:color="auto"/>
            </w:tcBorders>
            <w:vAlign w:val="center"/>
            <w:hideMark/>
          </w:tcPr>
          <w:p w14:paraId="703D9DB2" w14:textId="3CDFE11F"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Commencement</w:t>
            </w:r>
          </w:p>
        </w:tc>
        <w:tc>
          <w:tcPr>
            <w:tcW w:w="1010" w:type="dxa"/>
            <w:tcBorders>
              <w:top w:val="nil"/>
              <w:left w:val="nil"/>
              <w:bottom w:val="single" w:sz="4" w:space="0" w:color="auto"/>
              <w:right w:val="single" w:sz="4" w:space="0" w:color="auto"/>
            </w:tcBorders>
            <w:vAlign w:val="center"/>
            <w:hideMark/>
          </w:tcPr>
          <w:p w14:paraId="06D79ABF"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Nil–$185</w:t>
            </w:r>
          </w:p>
        </w:tc>
        <w:tc>
          <w:tcPr>
            <w:tcW w:w="844" w:type="dxa"/>
            <w:tcBorders>
              <w:top w:val="nil"/>
              <w:left w:val="nil"/>
              <w:bottom w:val="single" w:sz="4" w:space="0" w:color="auto"/>
              <w:right w:val="single" w:sz="4" w:space="0" w:color="auto"/>
            </w:tcBorders>
            <w:vAlign w:val="center"/>
            <w:hideMark/>
          </w:tcPr>
          <w:p w14:paraId="18584637"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Nil–$1,894</w:t>
            </w:r>
          </w:p>
        </w:tc>
        <w:tc>
          <w:tcPr>
            <w:tcW w:w="885" w:type="dxa"/>
            <w:tcBorders>
              <w:top w:val="nil"/>
              <w:left w:val="nil"/>
              <w:bottom w:val="single" w:sz="4" w:space="0" w:color="auto"/>
              <w:right w:val="single" w:sz="8" w:space="0" w:color="auto"/>
            </w:tcBorders>
            <w:vAlign w:val="center"/>
            <w:hideMark/>
          </w:tcPr>
          <w:p w14:paraId="0D8A61A2"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Nil–$2,706</w:t>
            </w:r>
          </w:p>
        </w:tc>
        <w:tc>
          <w:tcPr>
            <w:tcW w:w="1010" w:type="dxa"/>
            <w:tcBorders>
              <w:top w:val="nil"/>
              <w:left w:val="nil"/>
              <w:bottom w:val="single" w:sz="4" w:space="0" w:color="auto"/>
              <w:right w:val="single" w:sz="4" w:space="0" w:color="auto"/>
            </w:tcBorders>
            <w:vAlign w:val="center"/>
            <w:hideMark/>
          </w:tcPr>
          <w:p w14:paraId="10D0396E"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Nil–$224</w:t>
            </w:r>
          </w:p>
        </w:tc>
        <w:tc>
          <w:tcPr>
            <w:tcW w:w="844" w:type="dxa"/>
            <w:tcBorders>
              <w:top w:val="nil"/>
              <w:left w:val="nil"/>
              <w:bottom w:val="single" w:sz="4" w:space="0" w:color="auto"/>
              <w:right w:val="single" w:sz="4" w:space="0" w:color="auto"/>
            </w:tcBorders>
            <w:vAlign w:val="center"/>
            <w:hideMark/>
          </w:tcPr>
          <w:p w14:paraId="1F37DF92"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Nil–$1,657</w:t>
            </w:r>
          </w:p>
        </w:tc>
        <w:tc>
          <w:tcPr>
            <w:tcW w:w="885" w:type="dxa"/>
            <w:tcBorders>
              <w:top w:val="nil"/>
              <w:left w:val="nil"/>
              <w:bottom w:val="single" w:sz="4" w:space="0" w:color="auto"/>
              <w:right w:val="nil"/>
            </w:tcBorders>
            <w:vAlign w:val="center"/>
            <w:hideMark/>
          </w:tcPr>
          <w:p w14:paraId="3D8896C4"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Nil–$5,021</w:t>
            </w:r>
          </w:p>
        </w:tc>
        <w:tc>
          <w:tcPr>
            <w:tcW w:w="1223" w:type="dxa"/>
            <w:tcBorders>
              <w:top w:val="nil"/>
              <w:left w:val="single" w:sz="8" w:space="0" w:color="auto"/>
              <w:bottom w:val="single" w:sz="4" w:space="0" w:color="auto"/>
              <w:right w:val="single" w:sz="4" w:space="0" w:color="auto"/>
            </w:tcBorders>
            <w:vAlign w:val="center"/>
            <w:hideMark/>
          </w:tcPr>
          <w:p w14:paraId="3C0CB5EB" w14:textId="51C6544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Lodg</w:t>
            </w:r>
            <w:r w:rsidR="00C81955">
              <w:rPr>
                <w:rFonts w:ascii="Arial" w:hAnsi="Arial" w:cs="Arial"/>
                <w:b/>
                <w:bCs/>
                <w:color w:val="000000"/>
                <w:sz w:val="14"/>
                <w:szCs w:val="14"/>
                <w:lang w:eastAsia="en-AU"/>
              </w:rPr>
              <w:t>e</w:t>
            </w:r>
            <w:r w:rsidRPr="003E009A">
              <w:rPr>
                <w:rFonts w:ascii="Arial" w:hAnsi="Arial" w:cs="Arial"/>
                <w:b/>
                <w:bCs/>
                <w:color w:val="000000"/>
                <w:sz w:val="14"/>
                <w:szCs w:val="14"/>
                <w:lang w:eastAsia="en-AU"/>
              </w:rPr>
              <w:t>men</w:t>
            </w:r>
            <w:r w:rsidR="00F55471">
              <w:rPr>
                <w:rFonts w:ascii="Arial" w:hAnsi="Arial" w:cs="Arial"/>
                <w:b/>
                <w:bCs/>
                <w:color w:val="000000"/>
                <w:sz w:val="14"/>
                <w:szCs w:val="14"/>
                <w:lang w:eastAsia="en-AU"/>
              </w:rPr>
              <w:t>t</w:t>
            </w:r>
          </w:p>
        </w:tc>
        <w:tc>
          <w:tcPr>
            <w:tcW w:w="808" w:type="dxa"/>
            <w:tcBorders>
              <w:top w:val="nil"/>
              <w:left w:val="nil"/>
              <w:bottom w:val="single" w:sz="4" w:space="0" w:color="auto"/>
              <w:right w:val="single" w:sz="4" w:space="0" w:color="auto"/>
            </w:tcBorders>
            <w:vAlign w:val="center"/>
            <w:hideMark/>
          </w:tcPr>
          <w:p w14:paraId="4EABD49B"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Nil–$130</w:t>
            </w:r>
          </w:p>
        </w:tc>
        <w:tc>
          <w:tcPr>
            <w:tcW w:w="823" w:type="dxa"/>
            <w:tcBorders>
              <w:top w:val="nil"/>
              <w:left w:val="nil"/>
              <w:bottom w:val="single" w:sz="4" w:space="0" w:color="auto"/>
              <w:right w:val="single" w:sz="4" w:space="0" w:color="auto"/>
            </w:tcBorders>
            <w:vAlign w:val="center"/>
            <w:hideMark/>
          </w:tcPr>
          <w:p w14:paraId="31082F27"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Nil–$519</w:t>
            </w:r>
          </w:p>
        </w:tc>
        <w:tc>
          <w:tcPr>
            <w:tcW w:w="1018" w:type="dxa"/>
            <w:tcBorders>
              <w:top w:val="nil"/>
              <w:left w:val="nil"/>
              <w:bottom w:val="single" w:sz="4" w:space="0" w:color="auto"/>
              <w:right w:val="single" w:sz="4" w:space="0" w:color="auto"/>
            </w:tcBorders>
            <w:vAlign w:val="center"/>
            <w:hideMark/>
          </w:tcPr>
          <w:p w14:paraId="2205B3C7"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Nil–$1,038</w:t>
            </w:r>
          </w:p>
        </w:tc>
        <w:tc>
          <w:tcPr>
            <w:tcW w:w="1300" w:type="dxa"/>
            <w:tcBorders>
              <w:top w:val="nil"/>
              <w:left w:val="single" w:sz="8" w:space="0" w:color="auto"/>
              <w:bottom w:val="single" w:sz="4" w:space="0" w:color="auto"/>
              <w:right w:val="single" w:sz="4" w:space="0" w:color="auto"/>
            </w:tcBorders>
            <w:vAlign w:val="center"/>
            <w:hideMark/>
          </w:tcPr>
          <w:p w14:paraId="4FCE8D25" w14:textId="5DBFA73C"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Leave to appe</w:t>
            </w:r>
            <w:r w:rsidR="007E4551">
              <w:rPr>
                <w:rFonts w:ascii="Arial" w:hAnsi="Arial" w:cs="Arial"/>
                <w:b/>
                <w:bCs/>
                <w:color w:val="000000"/>
                <w:sz w:val="14"/>
                <w:szCs w:val="14"/>
                <w:lang w:eastAsia="en-AU"/>
              </w:rPr>
              <w:t>a</w:t>
            </w:r>
            <w:r w:rsidRPr="003E009A">
              <w:rPr>
                <w:rFonts w:ascii="Arial" w:hAnsi="Arial" w:cs="Arial"/>
                <w:b/>
                <w:bCs/>
                <w:color w:val="000000"/>
                <w:sz w:val="14"/>
                <w:szCs w:val="14"/>
                <w:lang w:eastAsia="en-AU"/>
              </w:rPr>
              <w:t>l / Appeal fees</w:t>
            </w:r>
          </w:p>
        </w:tc>
        <w:tc>
          <w:tcPr>
            <w:tcW w:w="1776" w:type="dxa"/>
            <w:gridSpan w:val="2"/>
            <w:tcBorders>
              <w:top w:val="single" w:sz="4" w:space="0" w:color="auto"/>
              <w:left w:val="nil"/>
              <w:bottom w:val="single" w:sz="4" w:space="0" w:color="auto"/>
              <w:right w:val="single" w:sz="8" w:space="0" w:color="000000"/>
            </w:tcBorders>
            <w:vAlign w:val="center"/>
            <w:hideMark/>
          </w:tcPr>
          <w:p w14:paraId="42099298"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$392–$785</w:t>
            </w:r>
          </w:p>
        </w:tc>
      </w:tr>
      <w:tr w:rsidR="000F7AF9" w:rsidRPr="003E009A" w14:paraId="2FB14E55" w14:textId="77777777" w:rsidTr="00C329DD">
        <w:trPr>
          <w:trHeight w:val="426"/>
        </w:trPr>
        <w:tc>
          <w:tcPr>
            <w:tcW w:w="1306" w:type="dxa"/>
            <w:tcBorders>
              <w:top w:val="nil"/>
              <w:left w:val="single" w:sz="8" w:space="0" w:color="auto"/>
              <w:bottom w:val="single" w:sz="4" w:space="0" w:color="auto"/>
              <w:right w:val="single" w:sz="4" w:space="0" w:color="auto"/>
            </w:tcBorders>
            <w:vAlign w:val="center"/>
            <w:hideMark/>
          </w:tcPr>
          <w:p w14:paraId="160C7477" w14:textId="381F99F8"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App</w:t>
            </w:r>
            <w:r w:rsidR="00752F1E">
              <w:rPr>
                <w:rFonts w:ascii="Arial" w:hAnsi="Arial" w:cs="Arial"/>
                <w:b/>
                <w:bCs/>
                <w:color w:val="000000"/>
                <w:sz w:val="14"/>
                <w:szCs w:val="14"/>
                <w:lang w:eastAsia="en-AU"/>
              </w:rPr>
              <w:t>lication &amp;</w:t>
            </w:r>
            <w:r w:rsidRPr="003E009A">
              <w:rPr>
                <w:rFonts w:ascii="Arial" w:hAnsi="Arial" w:cs="Arial"/>
                <w:b/>
                <w:bCs/>
                <w:color w:val="000000"/>
                <w:sz w:val="14"/>
                <w:szCs w:val="14"/>
                <w:lang w:eastAsia="en-AU"/>
              </w:rPr>
              <w:t xml:space="preserve"> other matter</w:t>
            </w:r>
            <w:r w:rsidR="00752F1E">
              <w:rPr>
                <w:rFonts w:ascii="Arial" w:hAnsi="Arial" w:cs="Arial"/>
                <w:b/>
                <w:bCs/>
                <w:color w:val="000000"/>
                <w:sz w:val="14"/>
                <w:szCs w:val="14"/>
                <w:lang w:eastAsia="en-AU"/>
              </w:rPr>
              <w:t>s</w:t>
            </w:r>
          </w:p>
        </w:tc>
        <w:tc>
          <w:tcPr>
            <w:tcW w:w="1010" w:type="dxa"/>
            <w:tcBorders>
              <w:top w:val="nil"/>
              <w:left w:val="nil"/>
              <w:bottom w:val="single" w:sz="4" w:space="0" w:color="auto"/>
              <w:right w:val="single" w:sz="4" w:space="0" w:color="auto"/>
            </w:tcBorders>
            <w:vAlign w:val="center"/>
            <w:hideMark/>
          </w:tcPr>
          <w:p w14:paraId="76DCB35F"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Nil–$185</w:t>
            </w:r>
          </w:p>
        </w:tc>
        <w:tc>
          <w:tcPr>
            <w:tcW w:w="844" w:type="dxa"/>
            <w:tcBorders>
              <w:top w:val="nil"/>
              <w:left w:val="nil"/>
              <w:bottom w:val="single" w:sz="4" w:space="0" w:color="auto"/>
              <w:right w:val="single" w:sz="4" w:space="0" w:color="auto"/>
            </w:tcBorders>
            <w:vAlign w:val="center"/>
            <w:hideMark/>
          </w:tcPr>
          <w:p w14:paraId="0BDA41EB"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$200–$753</w:t>
            </w:r>
          </w:p>
        </w:tc>
        <w:tc>
          <w:tcPr>
            <w:tcW w:w="885" w:type="dxa"/>
            <w:tcBorders>
              <w:top w:val="nil"/>
              <w:left w:val="nil"/>
              <w:bottom w:val="single" w:sz="4" w:space="0" w:color="auto"/>
              <w:right w:val="single" w:sz="8" w:space="0" w:color="auto"/>
            </w:tcBorders>
            <w:vAlign w:val="center"/>
            <w:hideMark/>
          </w:tcPr>
          <w:p w14:paraId="4F1F9855"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$286–$1,076</w:t>
            </w:r>
          </w:p>
        </w:tc>
        <w:tc>
          <w:tcPr>
            <w:tcW w:w="1010" w:type="dxa"/>
            <w:tcBorders>
              <w:top w:val="nil"/>
              <w:left w:val="nil"/>
              <w:bottom w:val="single" w:sz="4" w:space="0" w:color="auto"/>
              <w:right w:val="single" w:sz="4" w:space="0" w:color="auto"/>
            </w:tcBorders>
            <w:vAlign w:val="center"/>
            <w:hideMark/>
          </w:tcPr>
          <w:p w14:paraId="0A23C50E"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$58–$220</w:t>
            </w:r>
          </w:p>
        </w:tc>
        <w:tc>
          <w:tcPr>
            <w:tcW w:w="844" w:type="dxa"/>
            <w:tcBorders>
              <w:top w:val="nil"/>
              <w:left w:val="nil"/>
              <w:bottom w:val="single" w:sz="4" w:space="0" w:color="auto"/>
              <w:right w:val="single" w:sz="4" w:space="0" w:color="auto"/>
            </w:tcBorders>
            <w:vAlign w:val="center"/>
            <w:hideMark/>
          </w:tcPr>
          <w:p w14:paraId="194B6B34"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$175–$659</w:t>
            </w:r>
          </w:p>
        </w:tc>
        <w:tc>
          <w:tcPr>
            <w:tcW w:w="885" w:type="dxa"/>
            <w:tcBorders>
              <w:top w:val="nil"/>
              <w:left w:val="nil"/>
              <w:bottom w:val="single" w:sz="4" w:space="0" w:color="auto"/>
              <w:right w:val="nil"/>
            </w:tcBorders>
            <w:vAlign w:val="center"/>
            <w:hideMark/>
          </w:tcPr>
          <w:p w14:paraId="7D5C5772"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$530–$1,996</w:t>
            </w:r>
          </w:p>
        </w:tc>
        <w:tc>
          <w:tcPr>
            <w:tcW w:w="3872" w:type="dxa"/>
            <w:gridSpan w:val="4"/>
            <w:tcBorders>
              <w:top w:val="single" w:sz="4" w:space="0" w:color="auto"/>
              <w:left w:val="single" w:sz="8" w:space="0" w:color="auto"/>
              <w:bottom w:val="single" w:sz="4" w:space="0" w:color="auto"/>
              <w:right w:val="single" w:sz="8" w:space="0" w:color="000000"/>
            </w:tcBorders>
            <w:shd w:val="clear" w:color="000000" w:fill="F2F2F2"/>
            <w:vAlign w:val="center"/>
            <w:hideMark/>
          </w:tcPr>
          <w:p w14:paraId="5A939B09"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1300" w:type="dxa"/>
            <w:tcBorders>
              <w:top w:val="nil"/>
              <w:left w:val="nil"/>
              <w:bottom w:val="single" w:sz="4" w:space="0" w:color="auto"/>
              <w:right w:val="single" w:sz="4" w:space="0" w:color="auto"/>
            </w:tcBorders>
            <w:vAlign w:val="center"/>
            <w:hideMark/>
          </w:tcPr>
          <w:p w14:paraId="6BAF9464"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Application fees</w:t>
            </w:r>
          </w:p>
        </w:tc>
        <w:tc>
          <w:tcPr>
            <w:tcW w:w="1776" w:type="dxa"/>
            <w:gridSpan w:val="2"/>
            <w:tcBorders>
              <w:top w:val="single" w:sz="4" w:space="0" w:color="auto"/>
              <w:left w:val="nil"/>
              <w:bottom w:val="single" w:sz="4" w:space="0" w:color="auto"/>
              <w:right w:val="single" w:sz="8" w:space="0" w:color="000000"/>
            </w:tcBorders>
            <w:vAlign w:val="center"/>
            <w:hideMark/>
          </w:tcPr>
          <w:p w14:paraId="49DC9E4A"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 xml:space="preserve"> Nil–$392 </w:t>
            </w:r>
          </w:p>
        </w:tc>
      </w:tr>
      <w:tr w:rsidR="000F7AF9" w:rsidRPr="003E009A" w14:paraId="5B5ED74E" w14:textId="77777777" w:rsidTr="00F55471">
        <w:trPr>
          <w:trHeight w:val="419"/>
        </w:trPr>
        <w:tc>
          <w:tcPr>
            <w:tcW w:w="1306" w:type="dxa"/>
            <w:tcBorders>
              <w:top w:val="nil"/>
              <w:left w:val="single" w:sz="8" w:space="0" w:color="auto"/>
              <w:bottom w:val="single" w:sz="4" w:space="0" w:color="auto"/>
              <w:right w:val="single" w:sz="4" w:space="0" w:color="auto"/>
            </w:tcBorders>
            <w:vAlign w:val="center"/>
            <w:hideMark/>
          </w:tcPr>
          <w:p w14:paraId="4016D75D" w14:textId="098867C2"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Hearing</w:t>
            </w:r>
          </w:p>
        </w:tc>
        <w:tc>
          <w:tcPr>
            <w:tcW w:w="1010" w:type="dxa"/>
            <w:tcBorders>
              <w:top w:val="nil"/>
              <w:left w:val="nil"/>
              <w:bottom w:val="single" w:sz="4" w:space="0" w:color="auto"/>
              <w:right w:val="single" w:sz="4" w:space="0" w:color="auto"/>
            </w:tcBorders>
            <w:vAlign w:val="center"/>
            <w:hideMark/>
          </w:tcPr>
          <w:p w14:paraId="4750E560"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Nil–$185</w:t>
            </w:r>
          </w:p>
        </w:tc>
        <w:tc>
          <w:tcPr>
            <w:tcW w:w="844" w:type="dxa"/>
            <w:tcBorders>
              <w:top w:val="nil"/>
              <w:left w:val="nil"/>
              <w:bottom w:val="single" w:sz="4" w:space="0" w:color="auto"/>
              <w:right w:val="single" w:sz="4" w:space="0" w:color="auto"/>
            </w:tcBorders>
            <w:vAlign w:val="center"/>
            <w:hideMark/>
          </w:tcPr>
          <w:p w14:paraId="057C5E82"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Nil–$1,236</w:t>
            </w:r>
          </w:p>
        </w:tc>
        <w:tc>
          <w:tcPr>
            <w:tcW w:w="885" w:type="dxa"/>
            <w:tcBorders>
              <w:top w:val="nil"/>
              <w:left w:val="nil"/>
              <w:bottom w:val="single" w:sz="4" w:space="0" w:color="auto"/>
              <w:right w:val="single" w:sz="8" w:space="0" w:color="auto"/>
            </w:tcBorders>
            <w:vAlign w:val="center"/>
            <w:hideMark/>
          </w:tcPr>
          <w:p w14:paraId="0F425169"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Nil–$1,765</w:t>
            </w:r>
          </w:p>
        </w:tc>
        <w:tc>
          <w:tcPr>
            <w:tcW w:w="1010" w:type="dxa"/>
            <w:tcBorders>
              <w:top w:val="nil"/>
              <w:left w:val="nil"/>
              <w:bottom w:val="single" w:sz="4" w:space="0" w:color="auto"/>
              <w:right w:val="single" w:sz="4" w:space="0" w:color="auto"/>
            </w:tcBorders>
            <w:vAlign w:val="center"/>
            <w:hideMark/>
          </w:tcPr>
          <w:p w14:paraId="7E39D4C0"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Nil–$224</w:t>
            </w:r>
          </w:p>
        </w:tc>
        <w:tc>
          <w:tcPr>
            <w:tcW w:w="844" w:type="dxa"/>
            <w:tcBorders>
              <w:top w:val="nil"/>
              <w:left w:val="nil"/>
              <w:bottom w:val="single" w:sz="4" w:space="0" w:color="auto"/>
              <w:right w:val="single" w:sz="4" w:space="0" w:color="auto"/>
            </w:tcBorders>
            <w:vAlign w:val="center"/>
            <w:hideMark/>
          </w:tcPr>
          <w:p w14:paraId="0BA3BF04"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Nil–$672</w:t>
            </w:r>
          </w:p>
        </w:tc>
        <w:tc>
          <w:tcPr>
            <w:tcW w:w="885" w:type="dxa"/>
            <w:tcBorders>
              <w:top w:val="nil"/>
              <w:left w:val="nil"/>
              <w:bottom w:val="single" w:sz="4" w:space="0" w:color="auto"/>
              <w:right w:val="nil"/>
            </w:tcBorders>
            <w:vAlign w:val="center"/>
            <w:hideMark/>
          </w:tcPr>
          <w:p w14:paraId="23E3BA45"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Nil–$2,038</w:t>
            </w:r>
          </w:p>
        </w:tc>
        <w:tc>
          <w:tcPr>
            <w:tcW w:w="3872" w:type="dxa"/>
            <w:gridSpan w:val="4"/>
            <w:tcBorders>
              <w:top w:val="single" w:sz="4" w:space="0" w:color="auto"/>
              <w:left w:val="single" w:sz="8" w:space="0" w:color="auto"/>
              <w:bottom w:val="single" w:sz="4" w:space="0" w:color="auto"/>
              <w:right w:val="single" w:sz="8" w:space="0" w:color="000000"/>
            </w:tcBorders>
            <w:shd w:val="clear" w:color="000000" w:fill="F2F2F2"/>
            <w:vAlign w:val="center"/>
            <w:hideMark/>
          </w:tcPr>
          <w:p w14:paraId="726DBD48"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3076" w:type="dxa"/>
            <w:gridSpan w:val="3"/>
            <w:tcBorders>
              <w:top w:val="single" w:sz="4" w:space="0" w:color="auto"/>
              <w:left w:val="nil"/>
              <w:bottom w:val="single" w:sz="4" w:space="0" w:color="auto"/>
              <w:right w:val="single" w:sz="8" w:space="0" w:color="000000"/>
            </w:tcBorders>
            <w:shd w:val="clear" w:color="000000" w:fill="F2F2F2"/>
            <w:vAlign w:val="center"/>
            <w:hideMark/>
          </w:tcPr>
          <w:p w14:paraId="770379A6"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r>
      <w:tr w:rsidR="000F7AF9" w:rsidRPr="003E009A" w14:paraId="4D55D1AB" w14:textId="77777777" w:rsidTr="00F55471">
        <w:trPr>
          <w:trHeight w:val="411"/>
        </w:trPr>
        <w:tc>
          <w:tcPr>
            <w:tcW w:w="1306" w:type="dxa"/>
            <w:tcBorders>
              <w:top w:val="nil"/>
              <w:left w:val="single" w:sz="8" w:space="0" w:color="auto"/>
              <w:bottom w:val="single" w:sz="4" w:space="0" w:color="auto"/>
              <w:right w:val="single" w:sz="4" w:space="0" w:color="auto"/>
            </w:tcBorders>
            <w:vAlign w:val="center"/>
            <w:hideMark/>
          </w:tcPr>
          <w:p w14:paraId="6076AADE" w14:textId="51AF947E"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Administrative</w:t>
            </w:r>
          </w:p>
        </w:tc>
        <w:tc>
          <w:tcPr>
            <w:tcW w:w="1010" w:type="dxa"/>
            <w:tcBorders>
              <w:top w:val="nil"/>
              <w:left w:val="nil"/>
              <w:bottom w:val="single" w:sz="4" w:space="0" w:color="auto"/>
              <w:right w:val="single" w:sz="4" w:space="0" w:color="auto"/>
            </w:tcBorders>
            <w:vAlign w:val="center"/>
            <w:hideMark/>
          </w:tcPr>
          <w:p w14:paraId="4385F731"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$0.60–$50</w:t>
            </w:r>
          </w:p>
        </w:tc>
        <w:tc>
          <w:tcPr>
            <w:tcW w:w="1729" w:type="dxa"/>
            <w:gridSpan w:val="2"/>
            <w:tcBorders>
              <w:top w:val="single" w:sz="4" w:space="0" w:color="auto"/>
              <w:left w:val="nil"/>
              <w:bottom w:val="single" w:sz="4" w:space="0" w:color="auto"/>
              <w:right w:val="single" w:sz="8" w:space="0" w:color="000000"/>
            </w:tcBorders>
            <w:vAlign w:val="center"/>
            <w:hideMark/>
          </w:tcPr>
          <w:p w14:paraId="0568E5E6" w14:textId="77777777" w:rsidR="00F10335" w:rsidRPr="003E009A" w:rsidRDefault="00F10335">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$0.60–$136 </w:t>
            </w:r>
          </w:p>
        </w:tc>
        <w:tc>
          <w:tcPr>
            <w:tcW w:w="1010" w:type="dxa"/>
            <w:tcBorders>
              <w:top w:val="nil"/>
              <w:left w:val="single" w:sz="4" w:space="0" w:color="auto"/>
              <w:bottom w:val="single" w:sz="4" w:space="0" w:color="auto"/>
              <w:right w:val="single" w:sz="4" w:space="0" w:color="auto"/>
            </w:tcBorders>
            <w:vAlign w:val="center"/>
            <w:hideMark/>
          </w:tcPr>
          <w:p w14:paraId="24486CE4"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$0.60–$100</w:t>
            </w:r>
          </w:p>
        </w:tc>
        <w:tc>
          <w:tcPr>
            <w:tcW w:w="1729" w:type="dxa"/>
            <w:gridSpan w:val="2"/>
            <w:tcBorders>
              <w:top w:val="single" w:sz="4" w:space="0" w:color="auto"/>
              <w:left w:val="nil"/>
              <w:bottom w:val="single" w:sz="4" w:space="0" w:color="auto"/>
              <w:right w:val="single" w:sz="8" w:space="0" w:color="000000"/>
            </w:tcBorders>
            <w:vAlign w:val="center"/>
            <w:hideMark/>
          </w:tcPr>
          <w:p w14:paraId="0986337C" w14:textId="77777777" w:rsidR="00F10335" w:rsidRPr="003E009A" w:rsidRDefault="00F10335">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$0.60–$301 </w:t>
            </w:r>
          </w:p>
        </w:tc>
        <w:tc>
          <w:tcPr>
            <w:tcW w:w="1223" w:type="dxa"/>
            <w:tcBorders>
              <w:top w:val="nil"/>
              <w:left w:val="nil"/>
              <w:bottom w:val="single" w:sz="4" w:space="0" w:color="auto"/>
              <w:right w:val="single" w:sz="4" w:space="0" w:color="auto"/>
            </w:tcBorders>
            <w:vAlign w:val="center"/>
            <w:hideMark/>
          </w:tcPr>
          <w:p w14:paraId="7C71C88D" w14:textId="719FB46C"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services</w:t>
            </w:r>
          </w:p>
        </w:tc>
        <w:tc>
          <w:tcPr>
            <w:tcW w:w="2649" w:type="dxa"/>
            <w:gridSpan w:val="3"/>
            <w:tcBorders>
              <w:top w:val="single" w:sz="4" w:space="0" w:color="auto"/>
              <w:left w:val="nil"/>
              <w:bottom w:val="single" w:sz="4" w:space="0" w:color="auto"/>
              <w:right w:val="single" w:sz="8" w:space="0" w:color="000000"/>
            </w:tcBorders>
            <w:vAlign w:val="center"/>
            <w:hideMark/>
          </w:tcPr>
          <w:p w14:paraId="3427C561" w14:textId="77777777" w:rsidR="00F10335" w:rsidRPr="003E009A" w:rsidRDefault="00F10335">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$52-$101 </w:t>
            </w:r>
          </w:p>
        </w:tc>
        <w:tc>
          <w:tcPr>
            <w:tcW w:w="1300" w:type="dxa"/>
            <w:tcBorders>
              <w:top w:val="nil"/>
              <w:left w:val="nil"/>
              <w:bottom w:val="single" w:sz="4" w:space="0" w:color="auto"/>
              <w:right w:val="single" w:sz="4" w:space="0" w:color="auto"/>
            </w:tcBorders>
            <w:vAlign w:val="center"/>
            <w:hideMark/>
          </w:tcPr>
          <w:p w14:paraId="74CBF353"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fees</w:t>
            </w:r>
          </w:p>
        </w:tc>
        <w:tc>
          <w:tcPr>
            <w:tcW w:w="1783" w:type="dxa"/>
            <w:gridSpan w:val="2"/>
            <w:tcBorders>
              <w:top w:val="single" w:sz="4" w:space="0" w:color="auto"/>
              <w:left w:val="nil"/>
              <w:bottom w:val="single" w:sz="4" w:space="0" w:color="auto"/>
              <w:right w:val="single" w:sz="8" w:space="0" w:color="000000"/>
            </w:tcBorders>
            <w:vAlign w:val="center"/>
            <w:hideMark/>
          </w:tcPr>
          <w:p w14:paraId="4F42B63B" w14:textId="77777777" w:rsidR="00F10335" w:rsidRPr="003E009A" w:rsidRDefault="00F10335">
            <w:pPr>
              <w:rPr>
                <w:rFonts w:ascii="Arial" w:hAnsi="Arial" w:cs="Arial"/>
                <w:color w:val="000000"/>
                <w:sz w:val="14"/>
                <w:szCs w:val="14"/>
                <w:lang w:eastAsia="en-AU"/>
              </w:rPr>
            </w:pPr>
            <w:r w:rsidRPr="003E009A">
              <w:rPr>
                <w:rFonts w:ascii="Arial" w:hAnsi="Arial" w:cs="Arial"/>
                <w:color w:val="000000"/>
                <w:sz w:val="14"/>
                <w:szCs w:val="14"/>
                <w:lang w:eastAsia="en-AU"/>
              </w:rPr>
              <w:t xml:space="preserve"> $1.40–$228 </w:t>
            </w:r>
          </w:p>
        </w:tc>
      </w:tr>
      <w:tr w:rsidR="00335F31" w:rsidRPr="003E009A" w14:paraId="577F86CF" w14:textId="77777777" w:rsidTr="00C329DD">
        <w:trPr>
          <w:trHeight w:val="687"/>
        </w:trPr>
        <w:tc>
          <w:tcPr>
            <w:tcW w:w="4045"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70597DF6" w14:textId="77777777" w:rsidR="00F10335" w:rsidRPr="003E009A" w:rsidRDefault="00F10335">
            <w:pPr>
              <w:jc w:val="center"/>
              <w:rPr>
                <w:rFonts w:ascii="Arial" w:hAnsi="Arial" w:cs="Arial"/>
                <w:b/>
                <w:bCs/>
                <w:i/>
                <w:iCs/>
                <w:color w:val="000000"/>
                <w:sz w:val="14"/>
                <w:szCs w:val="14"/>
                <w:lang w:eastAsia="en-AU"/>
              </w:rPr>
            </w:pPr>
            <w:r w:rsidRPr="003E009A">
              <w:rPr>
                <w:rFonts w:ascii="Arial" w:hAnsi="Arial" w:cs="Arial"/>
                <w:b/>
                <w:bCs/>
                <w:i/>
                <w:iCs/>
                <w:color w:val="000000"/>
                <w:sz w:val="14"/>
                <w:szCs w:val="14"/>
                <w:lang w:eastAsia="en-AU"/>
              </w:rPr>
              <w:t>Civil Division</w:t>
            </w:r>
          </w:p>
        </w:tc>
        <w:tc>
          <w:tcPr>
            <w:tcW w:w="2739" w:type="dxa"/>
            <w:gridSpan w:val="3"/>
            <w:tcBorders>
              <w:top w:val="single" w:sz="4" w:space="0" w:color="auto"/>
              <w:left w:val="nil"/>
              <w:bottom w:val="single" w:sz="4" w:space="0" w:color="auto"/>
              <w:right w:val="nil"/>
            </w:tcBorders>
            <w:shd w:val="clear" w:color="000000" w:fill="D9D9D9"/>
            <w:vAlign w:val="center"/>
            <w:hideMark/>
          </w:tcPr>
          <w:p w14:paraId="34423556"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Comparable proceeding types within</w:t>
            </w:r>
            <w:r w:rsidRPr="003E009A">
              <w:rPr>
                <w:rFonts w:ascii="Arial" w:hAnsi="Arial" w:cs="Arial"/>
                <w:b/>
                <w:bCs/>
                <w:color w:val="000000"/>
                <w:sz w:val="14"/>
                <w:szCs w:val="14"/>
                <w:lang w:eastAsia="en-AU"/>
              </w:rPr>
              <w:br/>
            </w:r>
            <w:r w:rsidRPr="003E009A">
              <w:rPr>
                <w:rFonts w:ascii="Arial" w:hAnsi="Arial" w:cs="Arial"/>
                <w:b/>
                <w:bCs/>
                <w:i/>
                <w:iCs/>
                <w:color w:val="000000"/>
                <w:sz w:val="14"/>
                <w:szCs w:val="14"/>
                <w:lang w:eastAsia="en-AU"/>
              </w:rPr>
              <w:t>Consumer Division</w:t>
            </w:r>
            <w:r w:rsidRPr="003E009A">
              <w:rPr>
                <w:rFonts w:ascii="Arial" w:hAnsi="Arial" w:cs="Arial"/>
                <w:b/>
                <w:bCs/>
                <w:i/>
                <w:iCs/>
                <w:color w:val="000000"/>
                <w:sz w:val="14"/>
                <w:szCs w:val="14"/>
                <w:lang w:eastAsia="en-AU"/>
              </w:rPr>
              <w:br/>
              <w:t>Land &amp; Environment Division</w:t>
            </w:r>
          </w:p>
        </w:tc>
        <w:tc>
          <w:tcPr>
            <w:tcW w:w="3872"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6B04FE87"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 xml:space="preserve">Comparable proceeding types within </w:t>
            </w:r>
            <w:r w:rsidRPr="003E009A">
              <w:rPr>
                <w:rFonts w:ascii="Arial" w:hAnsi="Arial" w:cs="Arial"/>
                <w:b/>
                <w:bCs/>
                <w:color w:val="000000"/>
                <w:sz w:val="14"/>
                <w:szCs w:val="14"/>
                <w:lang w:eastAsia="en-AU"/>
              </w:rPr>
              <w:br/>
            </w:r>
            <w:r w:rsidRPr="003E009A">
              <w:rPr>
                <w:rFonts w:ascii="Arial" w:hAnsi="Arial" w:cs="Arial"/>
                <w:b/>
                <w:bCs/>
                <w:i/>
                <w:iCs/>
                <w:color w:val="000000"/>
                <w:sz w:val="14"/>
                <w:szCs w:val="14"/>
                <w:lang w:eastAsia="en-AU"/>
              </w:rPr>
              <w:t>Consumer &amp; Commercial Division</w:t>
            </w:r>
          </w:p>
        </w:tc>
        <w:tc>
          <w:tcPr>
            <w:tcW w:w="3083" w:type="dxa"/>
            <w:gridSpan w:val="3"/>
            <w:tcBorders>
              <w:top w:val="single" w:sz="4" w:space="0" w:color="auto"/>
              <w:left w:val="nil"/>
              <w:bottom w:val="single" w:sz="4" w:space="0" w:color="auto"/>
              <w:right w:val="single" w:sz="8" w:space="0" w:color="000000"/>
            </w:tcBorders>
            <w:shd w:val="clear" w:color="000000" w:fill="D9D9D9"/>
            <w:vAlign w:val="center"/>
            <w:hideMark/>
          </w:tcPr>
          <w:p w14:paraId="39A57C87"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Comparable proceeding types:</w:t>
            </w:r>
            <w:r w:rsidRPr="003E009A">
              <w:rPr>
                <w:rFonts w:ascii="Arial" w:hAnsi="Arial" w:cs="Arial"/>
                <w:b/>
                <w:bCs/>
                <w:i/>
                <w:iCs/>
                <w:color w:val="000000"/>
                <w:sz w:val="14"/>
                <w:szCs w:val="14"/>
                <w:lang w:eastAsia="en-AU"/>
              </w:rPr>
              <w:t xml:space="preserve"> Building disputes; Consumer disputes; Debt disputes; Other civil disputes; Retail shop leases</w:t>
            </w:r>
          </w:p>
        </w:tc>
      </w:tr>
      <w:tr w:rsidR="00F10335" w:rsidRPr="003E009A" w14:paraId="28EC8C56" w14:textId="77777777" w:rsidTr="00335F31">
        <w:trPr>
          <w:trHeight w:val="606"/>
        </w:trPr>
        <w:tc>
          <w:tcPr>
            <w:tcW w:w="1306" w:type="dxa"/>
            <w:tcBorders>
              <w:top w:val="nil"/>
              <w:left w:val="single" w:sz="8" w:space="0" w:color="auto"/>
              <w:bottom w:val="single" w:sz="4" w:space="0" w:color="auto"/>
              <w:right w:val="single" w:sz="4" w:space="0" w:color="auto"/>
            </w:tcBorders>
            <w:vAlign w:val="center"/>
            <w:hideMark/>
          </w:tcPr>
          <w:p w14:paraId="4EDF7B3A" w14:textId="12C7E031"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010" w:type="dxa"/>
            <w:tcBorders>
              <w:top w:val="nil"/>
              <w:left w:val="nil"/>
              <w:bottom w:val="single" w:sz="4" w:space="0" w:color="auto"/>
              <w:right w:val="single" w:sz="4" w:space="0" w:color="auto"/>
            </w:tcBorders>
            <w:shd w:val="clear" w:color="000000" w:fill="EFFFFE"/>
            <w:vAlign w:val="center"/>
            <w:hideMark/>
          </w:tcPr>
          <w:p w14:paraId="6E873D0E"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553E2BE2"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single" w:sz="8" w:space="0" w:color="auto"/>
            </w:tcBorders>
            <w:shd w:val="clear" w:color="000000" w:fill="F5DEFA"/>
            <w:vAlign w:val="center"/>
            <w:hideMark/>
          </w:tcPr>
          <w:p w14:paraId="4D266939"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010" w:type="dxa"/>
            <w:tcBorders>
              <w:top w:val="nil"/>
              <w:left w:val="nil"/>
              <w:bottom w:val="single" w:sz="4" w:space="0" w:color="auto"/>
              <w:right w:val="single" w:sz="4" w:space="0" w:color="auto"/>
            </w:tcBorders>
            <w:shd w:val="clear" w:color="000000" w:fill="EFFFFE"/>
            <w:vAlign w:val="center"/>
            <w:hideMark/>
          </w:tcPr>
          <w:p w14:paraId="559F8DAB"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650AAA6B"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nil"/>
            </w:tcBorders>
            <w:shd w:val="clear" w:color="000000" w:fill="F5DEFA"/>
            <w:vAlign w:val="center"/>
            <w:hideMark/>
          </w:tcPr>
          <w:p w14:paraId="6538A7C8"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223" w:type="dxa"/>
            <w:tcBorders>
              <w:top w:val="nil"/>
              <w:left w:val="single" w:sz="8" w:space="0" w:color="auto"/>
              <w:bottom w:val="single" w:sz="4" w:space="0" w:color="auto"/>
              <w:right w:val="single" w:sz="4" w:space="0" w:color="auto"/>
            </w:tcBorders>
            <w:vAlign w:val="center"/>
            <w:hideMark/>
          </w:tcPr>
          <w:p w14:paraId="4989867D" w14:textId="2FD4B095"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808" w:type="dxa"/>
            <w:tcBorders>
              <w:top w:val="nil"/>
              <w:left w:val="nil"/>
              <w:bottom w:val="single" w:sz="4" w:space="0" w:color="auto"/>
              <w:right w:val="single" w:sz="4" w:space="0" w:color="auto"/>
            </w:tcBorders>
            <w:shd w:val="clear" w:color="000000" w:fill="EFFFFE"/>
            <w:vAlign w:val="center"/>
            <w:hideMark/>
          </w:tcPr>
          <w:p w14:paraId="3BF9334A"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Reduced</w:t>
            </w:r>
          </w:p>
        </w:tc>
        <w:tc>
          <w:tcPr>
            <w:tcW w:w="823" w:type="dxa"/>
            <w:tcBorders>
              <w:top w:val="nil"/>
              <w:left w:val="nil"/>
              <w:bottom w:val="single" w:sz="4" w:space="0" w:color="auto"/>
              <w:right w:val="single" w:sz="4" w:space="0" w:color="auto"/>
            </w:tcBorders>
            <w:shd w:val="clear" w:color="000000" w:fill="F7DDDE"/>
            <w:vAlign w:val="center"/>
            <w:hideMark/>
          </w:tcPr>
          <w:p w14:paraId="62317B77"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1018" w:type="dxa"/>
            <w:tcBorders>
              <w:top w:val="nil"/>
              <w:left w:val="nil"/>
              <w:bottom w:val="single" w:sz="4" w:space="0" w:color="auto"/>
              <w:right w:val="single" w:sz="8" w:space="0" w:color="auto"/>
            </w:tcBorders>
            <w:shd w:val="clear" w:color="000000" w:fill="F5DEFA"/>
            <w:vAlign w:val="center"/>
            <w:hideMark/>
          </w:tcPr>
          <w:p w14:paraId="1F5A7F6A"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Corporation</w:t>
            </w:r>
          </w:p>
        </w:tc>
        <w:tc>
          <w:tcPr>
            <w:tcW w:w="1300" w:type="dxa"/>
            <w:tcBorders>
              <w:top w:val="nil"/>
              <w:left w:val="nil"/>
              <w:bottom w:val="single" w:sz="4" w:space="0" w:color="auto"/>
              <w:right w:val="single" w:sz="4" w:space="0" w:color="auto"/>
            </w:tcBorders>
            <w:vAlign w:val="center"/>
            <w:hideMark/>
          </w:tcPr>
          <w:p w14:paraId="6DD6D0A9" w14:textId="5DF3F002"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776" w:type="dxa"/>
            <w:gridSpan w:val="2"/>
            <w:tcBorders>
              <w:top w:val="single" w:sz="4" w:space="0" w:color="auto"/>
              <w:left w:val="nil"/>
              <w:bottom w:val="single" w:sz="4" w:space="0" w:color="auto"/>
              <w:right w:val="single" w:sz="8" w:space="0" w:color="000000"/>
            </w:tcBorders>
            <w:shd w:val="clear" w:color="000000" w:fill="F7DDDE"/>
            <w:vAlign w:val="center"/>
            <w:hideMark/>
          </w:tcPr>
          <w:p w14:paraId="650FC45A"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Single fee payer category</w:t>
            </w:r>
          </w:p>
        </w:tc>
      </w:tr>
      <w:tr w:rsidR="00335F31" w:rsidRPr="003E009A" w14:paraId="310CFB7B" w14:textId="77777777" w:rsidTr="001761B8">
        <w:trPr>
          <w:trHeight w:val="507"/>
        </w:trPr>
        <w:tc>
          <w:tcPr>
            <w:tcW w:w="1306" w:type="dxa"/>
            <w:tcBorders>
              <w:top w:val="nil"/>
              <w:left w:val="single" w:sz="8" w:space="0" w:color="auto"/>
              <w:bottom w:val="single" w:sz="4" w:space="0" w:color="auto"/>
              <w:right w:val="single" w:sz="4" w:space="0" w:color="auto"/>
            </w:tcBorders>
            <w:vAlign w:val="center"/>
            <w:hideMark/>
          </w:tcPr>
          <w:p w14:paraId="15D07857" w14:textId="34B8AE30"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Commencement</w:t>
            </w:r>
          </w:p>
        </w:tc>
        <w:tc>
          <w:tcPr>
            <w:tcW w:w="1010" w:type="dxa"/>
            <w:tcBorders>
              <w:top w:val="nil"/>
              <w:left w:val="nil"/>
              <w:bottom w:val="single" w:sz="4" w:space="0" w:color="auto"/>
              <w:right w:val="single" w:sz="4" w:space="0" w:color="auto"/>
            </w:tcBorders>
            <w:vAlign w:val="center"/>
            <w:hideMark/>
          </w:tcPr>
          <w:p w14:paraId="79A564D0"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Nil–$185</w:t>
            </w:r>
          </w:p>
        </w:tc>
        <w:tc>
          <w:tcPr>
            <w:tcW w:w="844" w:type="dxa"/>
            <w:tcBorders>
              <w:top w:val="nil"/>
              <w:left w:val="nil"/>
              <w:bottom w:val="single" w:sz="4" w:space="0" w:color="auto"/>
              <w:right w:val="single" w:sz="4" w:space="0" w:color="auto"/>
            </w:tcBorders>
            <w:vAlign w:val="center"/>
            <w:hideMark/>
          </w:tcPr>
          <w:p w14:paraId="59197D24"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$74–$1,894</w:t>
            </w:r>
          </w:p>
        </w:tc>
        <w:tc>
          <w:tcPr>
            <w:tcW w:w="885" w:type="dxa"/>
            <w:tcBorders>
              <w:top w:val="nil"/>
              <w:left w:val="nil"/>
              <w:bottom w:val="single" w:sz="4" w:space="0" w:color="auto"/>
              <w:right w:val="single" w:sz="8" w:space="0" w:color="auto"/>
            </w:tcBorders>
            <w:vAlign w:val="center"/>
            <w:hideMark/>
          </w:tcPr>
          <w:p w14:paraId="41E2B867"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$106–$2,076</w:t>
            </w:r>
          </w:p>
        </w:tc>
        <w:tc>
          <w:tcPr>
            <w:tcW w:w="1010" w:type="dxa"/>
            <w:tcBorders>
              <w:top w:val="nil"/>
              <w:left w:val="single" w:sz="4" w:space="0" w:color="auto"/>
              <w:bottom w:val="single" w:sz="4" w:space="0" w:color="auto"/>
              <w:right w:val="single" w:sz="4" w:space="0" w:color="auto"/>
            </w:tcBorders>
            <w:vAlign w:val="center"/>
            <w:hideMark/>
          </w:tcPr>
          <w:p w14:paraId="31C91798"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Nil–$552</w:t>
            </w:r>
          </w:p>
        </w:tc>
        <w:tc>
          <w:tcPr>
            <w:tcW w:w="844" w:type="dxa"/>
            <w:tcBorders>
              <w:top w:val="nil"/>
              <w:left w:val="nil"/>
              <w:bottom w:val="single" w:sz="4" w:space="0" w:color="auto"/>
              <w:right w:val="single" w:sz="4" w:space="0" w:color="auto"/>
            </w:tcBorders>
            <w:vAlign w:val="center"/>
            <w:hideMark/>
          </w:tcPr>
          <w:p w14:paraId="0A9AE35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$65–$1,657</w:t>
            </w:r>
          </w:p>
        </w:tc>
        <w:tc>
          <w:tcPr>
            <w:tcW w:w="885" w:type="dxa"/>
            <w:tcBorders>
              <w:top w:val="nil"/>
              <w:left w:val="nil"/>
              <w:bottom w:val="single" w:sz="4" w:space="0" w:color="auto"/>
              <w:right w:val="single" w:sz="8" w:space="0" w:color="auto"/>
            </w:tcBorders>
            <w:vAlign w:val="center"/>
            <w:hideMark/>
          </w:tcPr>
          <w:p w14:paraId="731007CC"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$196–$5,021</w:t>
            </w:r>
          </w:p>
        </w:tc>
        <w:tc>
          <w:tcPr>
            <w:tcW w:w="1223" w:type="dxa"/>
            <w:tcBorders>
              <w:top w:val="nil"/>
              <w:left w:val="nil"/>
              <w:bottom w:val="single" w:sz="4" w:space="0" w:color="auto"/>
              <w:right w:val="single" w:sz="4" w:space="0" w:color="auto"/>
            </w:tcBorders>
            <w:vAlign w:val="center"/>
            <w:hideMark/>
          </w:tcPr>
          <w:p w14:paraId="490807BB" w14:textId="6891A99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Lodg</w:t>
            </w:r>
            <w:r w:rsidR="00C81955">
              <w:rPr>
                <w:rFonts w:ascii="Arial" w:hAnsi="Arial" w:cs="Arial"/>
                <w:b/>
                <w:bCs/>
                <w:color w:val="000000"/>
                <w:sz w:val="14"/>
                <w:szCs w:val="14"/>
                <w:lang w:eastAsia="en-AU"/>
              </w:rPr>
              <w:t>e</w:t>
            </w:r>
            <w:r w:rsidRPr="003E009A">
              <w:rPr>
                <w:rFonts w:ascii="Arial" w:hAnsi="Arial" w:cs="Arial"/>
                <w:b/>
                <w:bCs/>
                <w:color w:val="000000"/>
                <w:sz w:val="14"/>
                <w:szCs w:val="14"/>
                <w:lang w:eastAsia="en-AU"/>
              </w:rPr>
              <w:t>ment</w:t>
            </w:r>
          </w:p>
        </w:tc>
        <w:tc>
          <w:tcPr>
            <w:tcW w:w="808" w:type="dxa"/>
            <w:tcBorders>
              <w:top w:val="nil"/>
              <w:left w:val="nil"/>
              <w:bottom w:val="single" w:sz="4" w:space="0" w:color="auto"/>
              <w:right w:val="single" w:sz="4" w:space="0" w:color="auto"/>
            </w:tcBorders>
            <w:vAlign w:val="center"/>
            <w:hideMark/>
          </w:tcPr>
          <w:p w14:paraId="541D7D0E"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$16–$83</w:t>
            </w:r>
          </w:p>
        </w:tc>
        <w:tc>
          <w:tcPr>
            <w:tcW w:w="823" w:type="dxa"/>
            <w:tcBorders>
              <w:top w:val="nil"/>
              <w:left w:val="nil"/>
              <w:bottom w:val="single" w:sz="4" w:space="0" w:color="auto"/>
              <w:right w:val="single" w:sz="4" w:space="0" w:color="auto"/>
            </w:tcBorders>
            <w:vAlign w:val="center"/>
            <w:hideMark/>
          </w:tcPr>
          <w:p w14:paraId="0A53600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$127–$330</w:t>
            </w:r>
          </w:p>
        </w:tc>
        <w:tc>
          <w:tcPr>
            <w:tcW w:w="1018" w:type="dxa"/>
            <w:tcBorders>
              <w:top w:val="nil"/>
              <w:left w:val="nil"/>
              <w:bottom w:val="single" w:sz="4" w:space="0" w:color="auto"/>
              <w:right w:val="single" w:sz="4" w:space="0" w:color="auto"/>
            </w:tcBorders>
            <w:vAlign w:val="center"/>
            <w:hideMark/>
          </w:tcPr>
          <w:p w14:paraId="3B987DA8"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$124–$660</w:t>
            </w:r>
          </w:p>
        </w:tc>
        <w:tc>
          <w:tcPr>
            <w:tcW w:w="1300" w:type="dxa"/>
            <w:tcBorders>
              <w:top w:val="nil"/>
              <w:left w:val="single" w:sz="8" w:space="0" w:color="auto"/>
              <w:bottom w:val="single" w:sz="4" w:space="0" w:color="auto"/>
              <w:right w:val="single" w:sz="4" w:space="0" w:color="auto"/>
            </w:tcBorders>
            <w:vAlign w:val="center"/>
            <w:hideMark/>
          </w:tcPr>
          <w:p w14:paraId="641972F1" w14:textId="0D3EA681"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Leave to appe</w:t>
            </w:r>
            <w:r w:rsidR="00CF4C0E">
              <w:rPr>
                <w:rFonts w:ascii="Arial" w:hAnsi="Arial" w:cs="Arial"/>
                <w:b/>
                <w:bCs/>
                <w:color w:val="000000"/>
                <w:sz w:val="14"/>
                <w:szCs w:val="14"/>
                <w:lang w:eastAsia="en-AU"/>
              </w:rPr>
              <w:t>a</w:t>
            </w:r>
            <w:r w:rsidRPr="003E009A">
              <w:rPr>
                <w:rFonts w:ascii="Arial" w:hAnsi="Arial" w:cs="Arial"/>
                <w:b/>
                <w:bCs/>
                <w:color w:val="000000"/>
                <w:sz w:val="14"/>
                <w:szCs w:val="14"/>
                <w:lang w:eastAsia="en-AU"/>
              </w:rPr>
              <w:t>l / Appeal fees</w:t>
            </w:r>
          </w:p>
        </w:tc>
        <w:tc>
          <w:tcPr>
            <w:tcW w:w="1776" w:type="dxa"/>
            <w:gridSpan w:val="2"/>
            <w:tcBorders>
              <w:top w:val="single" w:sz="4" w:space="0" w:color="auto"/>
              <w:left w:val="nil"/>
              <w:bottom w:val="single" w:sz="4" w:space="0" w:color="auto"/>
              <w:right w:val="single" w:sz="8" w:space="0" w:color="000000"/>
            </w:tcBorders>
            <w:vAlign w:val="center"/>
            <w:hideMark/>
          </w:tcPr>
          <w:p w14:paraId="3F5B6A62"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$392–$785</w:t>
            </w:r>
          </w:p>
        </w:tc>
      </w:tr>
      <w:tr w:rsidR="000F7AF9" w:rsidRPr="003E009A" w14:paraId="39DC522F" w14:textId="77777777" w:rsidTr="00C329DD">
        <w:trPr>
          <w:trHeight w:val="429"/>
        </w:trPr>
        <w:tc>
          <w:tcPr>
            <w:tcW w:w="1306" w:type="dxa"/>
            <w:tcBorders>
              <w:top w:val="nil"/>
              <w:left w:val="single" w:sz="8" w:space="0" w:color="auto"/>
              <w:bottom w:val="single" w:sz="4" w:space="0" w:color="auto"/>
              <w:right w:val="single" w:sz="4" w:space="0" w:color="auto"/>
            </w:tcBorders>
            <w:vAlign w:val="center"/>
            <w:hideMark/>
          </w:tcPr>
          <w:p w14:paraId="5A187B45" w14:textId="7BA30503"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App</w:t>
            </w:r>
            <w:r>
              <w:rPr>
                <w:rFonts w:ascii="Arial" w:hAnsi="Arial" w:cs="Arial"/>
                <w:b/>
                <w:bCs/>
                <w:color w:val="000000"/>
                <w:sz w:val="14"/>
                <w:szCs w:val="14"/>
                <w:lang w:eastAsia="en-AU"/>
              </w:rPr>
              <w:t>lication &amp;</w:t>
            </w:r>
            <w:r w:rsidRPr="003E009A">
              <w:rPr>
                <w:rFonts w:ascii="Arial" w:hAnsi="Arial" w:cs="Arial"/>
                <w:b/>
                <w:bCs/>
                <w:color w:val="000000"/>
                <w:sz w:val="14"/>
                <w:szCs w:val="14"/>
                <w:lang w:eastAsia="en-AU"/>
              </w:rPr>
              <w:t xml:space="preserve"> other matter</w:t>
            </w:r>
            <w:r>
              <w:rPr>
                <w:rFonts w:ascii="Arial" w:hAnsi="Arial" w:cs="Arial"/>
                <w:b/>
                <w:bCs/>
                <w:color w:val="000000"/>
                <w:sz w:val="14"/>
                <w:szCs w:val="14"/>
                <w:lang w:eastAsia="en-AU"/>
              </w:rPr>
              <w:t>s</w:t>
            </w:r>
          </w:p>
        </w:tc>
        <w:tc>
          <w:tcPr>
            <w:tcW w:w="1010" w:type="dxa"/>
            <w:tcBorders>
              <w:top w:val="nil"/>
              <w:left w:val="nil"/>
              <w:bottom w:val="single" w:sz="4" w:space="0" w:color="auto"/>
              <w:right w:val="single" w:sz="4" w:space="0" w:color="auto"/>
            </w:tcBorders>
            <w:vAlign w:val="center"/>
            <w:hideMark/>
          </w:tcPr>
          <w:p w14:paraId="783DDAE2"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Nil–$185</w:t>
            </w:r>
          </w:p>
        </w:tc>
        <w:tc>
          <w:tcPr>
            <w:tcW w:w="844" w:type="dxa"/>
            <w:tcBorders>
              <w:top w:val="nil"/>
              <w:left w:val="nil"/>
              <w:bottom w:val="single" w:sz="4" w:space="0" w:color="auto"/>
              <w:right w:val="single" w:sz="4" w:space="0" w:color="auto"/>
            </w:tcBorders>
            <w:vAlign w:val="center"/>
            <w:hideMark/>
          </w:tcPr>
          <w:p w14:paraId="7803019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$74–$424</w:t>
            </w:r>
          </w:p>
        </w:tc>
        <w:tc>
          <w:tcPr>
            <w:tcW w:w="885" w:type="dxa"/>
            <w:tcBorders>
              <w:top w:val="nil"/>
              <w:left w:val="nil"/>
              <w:bottom w:val="single" w:sz="4" w:space="0" w:color="auto"/>
              <w:right w:val="single" w:sz="8" w:space="0" w:color="auto"/>
            </w:tcBorders>
            <w:vAlign w:val="center"/>
            <w:hideMark/>
          </w:tcPr>
          <w:p w14:paraId="2661EB6F"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$106–$605</w:t>
            </w:r>
          </w:p>
        </w:tc>
        <w:tc>
          <w:tcPr>
            <w:tcW w:w="1010" w:type="dxa"/>
            <w:tcBorders>
              <w:top w:val="nil"/>
              <w:left w:val="single" w:sz="4" w:space="0" w:color="auto"/>
              <w:bottom w:val="single" w:sz="4" w:space="0" w:color="auto"/>
              <w:right w:val="single" w:sz="4" w:space="0" w:color="auto"/>
            </w:tcBorders>
            <w:vAlign w:val="center"/>
            <w:hideMark/>
          </w:tcPr>
          <w:p w14:paraId="1591BD7F"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Nil–$124</w:t>
            </w:r>
          </w:p>
        </w:tc>
        <w:tc>
          <w:tcPr>
            <w:tcW w:w="844" w:type="dxa"/>
            <w:tcBorders>
              <w:top w:val="nil"/>
              <w:left w:val="nil"/>
              <w:bottom w:val="single" w:sz="4" w:space="0" w:color="auto"/>
              <w:right w:val="single" w:sz="4" w:space="0" w:color="auto"/>
            </w:tcBorders>
            <w:vAlign w:val="center"/>
            <w:hideMark/>
          </w:tcPr>
          <w:p w14:paraId="131F5F25"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$65–$371</w:t>
            </w:r>
          </w:p>
        </w:tc>
        <w:tc>
          <w:tcPr>
            <w:tcW w:w="885" w:type="dxa"/>
            <w:tcBorders>
              <w:top w:val="nil"/>
              <w:left w:val="nil"/>
              <w:bottom w:val="single" w:sz="4" w:space="0" w:color="auto"/>
              <w:right w:val="single" w:sz="8" w:space="0" w:color="auto"/>
            </w:tcBorders>
            <w:vAlign w:val="center"/>
            <w:hideMark/>
          </w:tcPr>
          <w:p w14:paraId="3591D62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$196–$1,123</w:t>
            </w:r>
          </w:p>
        </w:tc>
        <w:tc>
          <w:tcPr>
            <w:tcW w:w="3872" w:type="dxa"/>
            <w:gridSpan w:val="4"/>
            <w:tcBorders>
              <w:top w:val="single" w:sz="4" w:space="0" w:color="auto"/>
              <w:left w:val="nil"/>
              <w:bottom w:val="single" w:sz="4" w:space="0" w:color="auto"/>
              <w:right w:val="single" w:sz="8" w:space="0" w:color="000000"/>
            </w:tcBorders>
            <w:shd w:val="clear" w:color="000000" w:fill="F2F2F2"/>
            <w:vAlign w:val="center"/>
            <w:hideMark/>
          </w:tcPr>
          <w:p w14:paraId="36D14320"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1300" w:type="dxa"/>
            <w:tcBorders>
              <w:top w:val="nil"/>
              <w:left w:val="nil"/>
              <w:bottom w:val="single" w:sz="4" w:space="0" w:color="auto"/>
              <w:right w:val="single" w:sz="4" w:space="0" w:color="auto"/>
            </w:tcBorders>
            <w:vAlign w:val="center"/>
            <w:hideMark/>
          </w:tcPr>
          <w:p w14:paraId="1508FBDE" w14:textId="7777777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Application fees</w:t>
            </w:r>
          </w:p>
        </w:tc>
        <w:tc>
          <w:tcPr>
            <w:tcW w:w="1776" w:type="dxa"/>
            <w:gridSpan w:val="2"/>
            <w:tcBorders>
              <w:top w:val="single" w:sz="4" w:space="0" w:color="auto"/>
              <w:left w:val="nil"/>
              <w:bottom w:val="single" w:sz="4" w:space="0" w:color="auto"/>
              <w:right w:val="single" w:sz="8" w:space="0" w:color="000000"/>
            </w:tcBorders>
            <w:vAlign w:val="center"/>
            <w:hideMark/>
          </w:tcPr>
          <w:p w14:paraId="14B333F1"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Nil–$392</w:t>
            </w:r>
          </w:p>
        </w:tc>
      </w:tr>
      <w:tr w:rsidR="00F55471" w:rsidRPr="003E009A" w14:paraId="74E42B58" w14:textId="77777777" w:rsidTr="00F55471">
        <w:trPr>
          <w:trHeight w:val="507"/>
        </w:trPr>
        <w:tc>
          <w:tcPr>
            <w:tcW w:w="1306" w:type="dxa"/>
            <w:tcBorders>
              <w:top w:val="single" w:sz="4" w:space="0" w:color="auto"/>
              <w:left w:val="single" w:sz="8" w:space="0" w:color="auto"/>
              <w:bottom w:val="single" w:sz="4" w:space="0" w:color="auto"/>
              <w:right w:val="single" w:sz="4" w:space="0" w:color="auto"/>
            </w:tcBorders>
            <w:vAlign w:val="center"/>
            <w:hideMark/>
          </w:tcPr>
          <w:p w14:paraId="5449A04D" w14:textId="15AE8F2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Hearing</w:t>
            </w:r>
          </w:p>
        </w:tc>
        <w:tc>
          <w:tcPr>
            <w:tcW w:w="1010" w:type="dxa"/>
            <w:tcBorders>
              <w:top w:val="single" w:sz="4" w:space="0" w:color="auto"/>
              <w:left w:val="nil"/>
              <w:bottom w:val="single" w:sz="4" w:space="0" w:color="auto"/>
              <w:right w:val="single" w:sz="4" w:space="0" w:color="auto"/>
            </w:tcBorders>
            <w:vAlign w:val="center"/>
            <w:hideMark/>
          </w:tcPr>
          <w:p w14:paraId="279791E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Nil–$185</w:t>
            </w:r>
          </w:p>
        </w:tc>
        <w:tc>
          <w:tcPr>
            <w:tcW w:w="844" w:type="dxa"/>
            <w:tcBorders>
              <w:top w:val="single" w:sz="4" w:space="0" w:color="auto"/>
              <w:left w:val="nil"/>
              <w:bottom w:val="single" w:sz="4" w:space="0" w:color="auto"/>
              <w:right w:val="single" w:sz="4" w:space="0" w:color="auto"/>
            </w:tcBorders>
            <w:vAlign w:val="center"/>
            <w:hideMark/>
          </w:tcPr>
          <w:p w14:paraId="7CC4FBEB"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Nil–$1,236</w:t>
            </w:r>
          </w:p>
        </w:tc>
        <w:tc>
          <w:tcPr>
            <w:tcW w:w="885" w:type="dxa"/>
            <w:tcBorders>
              <w:top w:val="single" w:sz="4" w:space="0" w:color="auto"/>
              <w:left w:val="nil"/>
              <w:bottom w:val="single" w:sz="4" w:space="0" w:color="auto"/>
              <w:right w:val="single" w:sz="8" w:space="0" w:color="auto"/>
            </w:tcBorders>
            <w:vAlign w:val="center"/>
            <w:hideMark/>
          </w:tcPr>
          <w:p w14:paraId="2C015EA2"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Nil–$1,765</w:t>
            </w:r>
          </w:p>
        </w:tc>
        <w:tc>
          <w:tcPr>
            <w:tcW w:w="1010" w:type="dxa"/>
            <w:tcBorders>
              <w:top w:val="single" w:sz="4" w:space="0" w:color="auto"/>
              <w:left w:val="single" w:sz="4" w:space="0" w:color="auto"/>
              <w:bottom w:val="single" w:sz="4" w:space="0" w:color="auto"/>
              <w:right w:val="single" w:sz="4" w:space="0" w:color="auto"/>
            </w:tcBorders>
            <w:vAlign w:val="center"/>
            <w:hideMark/>
          </w:tcPr>
          <w:p w14:paraId="4B9834DB"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Nil–$224</w:t>
            </w:r>
          </w:p>
        </w:tc>
        <w:tc>
          <w:tcPr>
            <w:tcW w:w="844" w:type="dxa"/>
            <w:tcBorders>
              <w:top w:val="single" w:sz="4" w:space="0" w:color="auto"/>
              <w:left w:val="nil"/>
              <w:bottom w:val="single" w:sz="4" w:space="0" w:color="auto"/>
              <w:right w:val="single" w:sz="4" w:space="0" w:color="auto"/>
            </w:tcBorders>
            <w:vAlign w:val="center"/>
            <w:hideMark/>
          </w:tcPr>
          <w:p w14:paraId="2930A4C1"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$224–$672</w:t>
            </w:r>
          </w:p>
        </w:tc>
        <w:tc>
          <w:tcPr>
            <w:tcW w:w="885" w:type="dxa"/>
            <w:tcBorders>
              <w:top w:val="single" w:sz="4" w:space="0" w:color="auto"/>
              <w:left w:val="nil"/>
              <w:bottom w:val="single" w:sz="4" w:space="0" w:color="auto"/>
              <w:right w:val="nil"/>
            </w:tcBorders>
            <w:vAlign w:val="center"/>
            <w:hideMark/>
          </w:tcPr>
          <w:p w14:paraId="4A2D48DE"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Nil–$2,038</w:t>
            </w:r>
          </w:p>
        </w:tc>
        <w:tc>
          <w:tcPr>
            <w:tcW w:w="3872" w:type="dxa"/>
            <w:gridSpan w:val="4"/>
            <w:tcBorders>
              <w:top w:val="single" w:sz="4" w:space="0" w:color="auto"/>
              <w:left w:val="single" w:sz="8" w:space="0" w:color="auto"/>
              <w:bottom w:val="single" w:sz="4" w:space="0" w:color="auto"/>
              <w:right w:val="single" w:sz="8" w:space="0" w:color="000000"/>
            </w:tcBorders>
            <w:shd w:val="clear" w:color="000000" w:fill="F2F2F2"/>
            <w:vAlign w:val="center"/>
            <w:hideMark/>
          </w:tcPr>
          <w:p w14:paraId="465154CC"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3076" w:type="dxa"/>
            <w:gridSpan w:val="3"/>
            <w:tcBorders>
              <w:top w:val="single" w:sz="4" w:space="0" w:color="auto"/>
              <w:left w:val="nil"/>
              <w:bottom w:val="single" w:sz="4" w:space="0" w:color="auto"/>
              <w:right w:val="single" w:sz="8" w:space="0" w:color="000000"/>
            </w:tcBorders>
            <w:shd w:val="clear" w:color="000000" w:fill="F2F2F2"/>
            <w:vAlign w:val="center"/>
            <w:hideMark/>
          </w:tcPr>
          <w:p w14:paraId="392F0262"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r>
      <w:tr w:rsidR="000F7AF9" w:rsidRPr="003E009A" w14:paraId="229A78C5" w14:textId="77777777" w:rsidTr="00F55471">
        <w:trPr>
          <w:trHeight w:val="485"/>
        </w:trPr>
        <w:tc>
          <w:tcPr>
            <w:tcW w:w="1306" w:type="dxa"/>
            <w:tcBorders>
              <w:top w:val="nil"/>
              <w:left w:val="single" w:sz="8" w:space="0" w:color="auto"/>
              <w:bottom w:val="single" w:sz="4" w:space="0" w:color="auto"/>
              <w:right w:val="single" w:sz="4" w:space="0" w:color="auto"/>
            </w:tcBorders>
            <w:vAlign w:val="center"/>
            <w:hideMark/>
          </w:tcPr>
          <w:p w14:paraId="1FCC1AC6" w14:textId="49AF1FE5"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Administrative</w:t>
            </w:r>
          </w:p>
        </w:tc>
        <w:tc>
          <w:tcPr>
            <w:tcW w:w="1010" w:type="dxa"/>
            <w:tcBorders>
              <w:top w:val="nil"/>
              <w:left w:val="nil"/>
              <w:bottom w:val="single" w:sz="4" w:space="0" w:color="auto"/>
              <w:right w:val="nil"/>
            </w:tcBorders>
            <w:vAlign w:val="center"/>
            <w:hideMark/>
          </w:tcPr>
          <w:p w14:paraId="742BD539"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 $0.60–$50 </w:t>
            </w:r>
          </w:p>
        </w:tc>
        <w:tc>
          <w:tcPr>
            <w:tcW w:w="1729" w:type="dxa"/>
            <w:gridSpan w:val="2"/>
            <w:tcBorders>
              <w:top w:val="single" w:sz="4" w:space="0" w:color="auto"/>
              <w:left w:val="single" w:sz="4" w:space="0" w:color="auto"/>
              <w:bottom w:val="single" w:sz="4" w:space="0" w:color="auto"/>
              <w:right w:val="single" w:sz="8" w:space="0" w:color="000000"/>
            </w:tcBorders>
            <w:vAlign w:val="center"/>
            <w:hideMark/>
          </w:tcPr>
          <w:p w14:paraId="509FEDDB"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$0.60–$136 </w:t>
            </w:r>
          </w:p>
        </w:tc>
        <w:tc>
          <w:tcPr>
            <w:tcW w:w="1010" w:type="dxa"/>
            <w:tcBorders>
              <w:top w:val="nil"/>
              <w:left w:val="single" w:sz="4" w:space="0" w:color="auto"/>
              <w:bottom w:val="single" w:sz="4" w:space="0" w:color="auto"/>
              <w:right w:val="single" w:sz="4" w:space="0" w:color="auto"/>
            </w:tcBorders>
            <w:vAlign w:val="center"/>
            <w:hideMark/>
          </w:tcPr>
          <w:p w14:paraId="2274D808"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$0.60–$100</w:t>
            </w:r>
          </w:p>
        </w:tc>
        <w:tc>
          <w:tcPr>
            <w:tcW w:w="1729" w:type="dxa"/>
            <w:gridSpan w:val="2"/>
            <w:tcBorders>
              <w:top w:val="single" w:sz="4" w:space="0" w:color="auto"/>
              <w:left w:val="nil"/>
              <w:bottom w:val="single" w:sz="4" w:space="0" w:color="auto"/>
              <w:right w:val="single" w:sz="8" w:space="0" w:color="000000"/>
            </w:tcBorders>
            <w:vAlign w:val="center"/>
            <w:hideMark/>
          </w:tcPr>
          <w:p w14:paraId="77906CD7"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$0.60–$301 </w:t>
            </w:r>
          </w:p>
        </w:tc>
        <w:tc>
          <w:tcPr>
            <w:tcW w:w="1223" w:type="dxa"/>
            <w:tcBorders>
              <w:top w:val="nil"/>
              <w:left w:val="nil"/>
              <w:bottom w:val="single" w:sz="4" w:space="0" w:color="auto"/>
              <w:right w:val="single" w:sz="4" w:space="0" w:color="auto"/>
            </w:tcBorders>
            <w:vAlign w:val="center"/>
            <w:hideMark/>
          </w:tcPr>
          <w:p w14:paraId="7AAC6E4F" w14:textId="56C492D6"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services</w:t>
            </w:r>
          </w:p>
        </w:tc>
        <w:tc>
          <w:tcPr>
            <w:tcW w:w="2649" w:type="dxa"/>
            <w:gridSpan w:val="3"/>
            <w:tcBorders>
              <w:top w:val="single" w:sz="4" w:space="0" w:color="auto"/>
              <w:left w:val="nil"/>
              <w:bottom w:val="single" w:sz="4" w:space="0" w:color="auto"/>
              <w:right w:val="single" w:sz="8" w:space="0" w:color="000000"/>
            </w:tcBorders>
            <w:vAlign w:val="center"/>
            <w:hideMark/>
          </w:tcPr>
          <w:p w14:paraId="4410D6CB"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$52-$101 </w:t>
            </w:r>
          </w:p>
        </w:tc>
        <w:tc>
          <w:tcPr>
            <w:tcW w:w="1300" w:type="dxa"/>
            <w:tcBorders>
              <w:top w:val="nil"/>
              <w:left w:val="nil"/>
              <w:bottom w:val="single" w:sz="4" w:space="0" w:color="auto"/>
              <w:right w:val="single" w:sz="4" w:space="0" w:color="auto"/>
            </w:tcBorders>
            <w:vAlign w:val="center"/>
            <w:hideMark/>
          </w:tcPr>
          <w:p w14:paraId="550CFA98" w14:textId="7777777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fees</w:t>
            </w:r>
          </w:p>
        </w:tc>
        <w:tc>
          <w:tcPr>
            <w:tcW w:w="1783" w:type="dxa"/>
            <w:gridSpan w:val="2"/>
            <w:tcBorders>
              <w:top w:val="single" w:sz="4" w:space="0" w:color="auto"/>
              <w:left w:val="nil"/>
              <w:bottom w:val="single" w:sz="4" w:space="0" w:color="auto"/>
              <w:right w:val="single" w:sz="8" w:space="0" w:color="000000"/>
            </w:tcBorders>
            <w:vAlign w:val="center"/>
            <w:hideMark/>
          </w:tcPr>
          <w:p w14:paraId="6DF672AE"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 $1.40–$228 </w:t>
            </w:r>
          </w:p>
        </w:tc>
      </w:tr>
      <w:tr w:rsidR="00335F31" w:rsidRPr="003E009A" w14:paraId="75AF8545" w14:textId="77777777" w:rsidTr="00335F31">
        <w:trPr>
          <w:trHeight w:val="582"/>
        </w:trPr>
        <w:tc>
          <w:tcPr>
            <w:tcW w:w="4045"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1B17E546" w14:textId="77777777" w:rsidR="00F10335" w:rsidRPr="003E009A" w:rsidRDefault="00F10335">
            <w:pPr>
              <w:jc w:val="center"/>
              <w:rPr>
                <w:rFonts w:ascii="Arial" w:hAnsi="Arial" w:cs="Arial"/>
                <w:b/>
                <w:bCs/>
                <w:i/>
                <w:iCs/>
                <w:color w:val="000000"/>
                <w:sz w:val="14"/>
                <w:szCs w:val="14"/>
                <w:lang w:eastAsia="en-AU"/>
              </w:rPr>
            </w:pPr>
            <w:r w:rsidRPr="003E009A">
              <w:rPr>
                <w:rFonts w:ascii="Arial" w:hAnsi="Arial" w:cs="Arial"/>
                <w:b/>
                <w:bCs/>
                <w:i/>
                <w:iCs/>
                <w:color w:val="000000"/>
                <w:sz w:val="14"/>
                <w:szCs w:val="14"/>
                <w:lang w:eastAsia="en-AU"/>
              </w:rPr>
              <w:lastRenderedPageBreak/>
              <w:t>Human Rights Division</w:t>
            </w:r>
          </w:p>
        </w:tc>
        <w:tc>
          <w:tcPr>
            <w:tcW w:w="2739" w:type="dxa"/>
            <w:gridSpan w:val="3"/>
            <w:tcBorders>
              <w:top w:val="single" w:sz="4" w:space="0" w:color="auto"/>
              <w:left w:val="nil"/>
              <w:bottom w:val="single" w:sz="4" w:space="0" w:color="auto"/>
              <w:right w:val="nil"/>
            </w:tcBorders>
            <w:shd w:val="clear" w:color="000000" w:fill="D9D9D9"/>
            <w:vAlign w:val="center"/>
            <w:hideMark/>
          </w:tcPr>
          <w:p w14:paraId="7EC381BF"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 xml:space="preserve">Comparable proceeding types within </w:t>
            </w:r>
            <w:r w:rsidRPr="003E009A">
              <w:rPr>
                <w:rFonts w:ascii="Arial" w:hAnsi="Arial" w:cs="Arial"/>
                <w:b/>
                <w:bCs/>
                <w:color w:val="000000"/>
                <w:sz w:val="14"/>
                <w:szCs w:val="14"/>
                <w:lang w:eastAsia="en-AU"/>
              </w:rPr>
              <w:br/>
            </w:r>
            <w:r w:rsidRPr="003E009A">
              <w:rPr>
                <w:rFonts w:ascii="Arial" w:hAnsi="Arial" w:cs="Arial"/>
                <w:b/>
                <w:bCs/>
                <w:i/>
                <w:iCs/>
                <w:color w:val="000000"/>
                <w:sz w:val="12"/>
                <w:szCs w:val="12"/>
                <w:lang w:eastAsia="en-AU"/>
              </w:rPr>
              <w:t>People's Rights &amp; Responsibilities Div</w:t>
            </w:r>
          </w:p>
        </w:tc>
        <w:tc>
          <w:tcPr>
            <w:tcW w:w="3872"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2D557BFE"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Comparable proceeding types within</w:t>
            </w:r>
            <w:r w:rsidRPr="003E009A">
              <w:rPr>
                <w:rFonts w:ascii="Arial" w:hAnsi="Arial" w:cs="Arial"/>
                <w:b/>
                <w:bCs/>
                <w:color w:val="000000"/>
                <w:sz w:val="14"/>
                <w:szCs w:val="14"/>
                <w:lang w:eastAsia="en-AU"/>
              </w:rPr>
              <w:br/>
            </w:r>
            <w:r w:rsidRPr="003E009A">
              <w:rPr>
                <w:rFonts w:ascii="Arial" w:hAnsi="Arial" w:cs="Arial"/>
                <w:b/>
                <w:bCs/>
                <w:i/>
                <w:iCs/>
                <w:color w:val="000000"/>
                <w:sz w:val="14"/>
                <w:szCs w:val="14"/>
                <w:lang w:eastAsia="en-AU"/>
              </w:rPr>
              <w:t>Guardianship Division</w:t>
            </w:r>
            <w:r w:rsidRPr="003E009A">
              <w:rPr>
                <w:rFonts w:ascii="Arial" w:hAnsi="Arial" w:cs="Arial"/>
                <w:b/>
                <w:bCs/>
                <w:i/>
                <w:iCs/>
                <w:color w:val="000000"/>
                <w:sz w:val="14"/>
                <w:szCs w:val="14"/>
                <w:lang w:eastAsia="en-AU"/>
              </w:rPr>
              <w:br/>
              <w:t>Administrative &amp; Equal Opportunity Division</w:t>
            </w:r>
          </w:p>
        </w:tc>
        <w:tc>
          <w:tcPr>
            <w:tcW w:w="3083" w:type="dxa"/>
            <w:gridSpan w:val="3"/>
            <w:tcBorders>
              <w:top w:val="single" w:sz="4" w:space="0" w:color="auto"/>
              <w:left w:val="nil"/>
              <w:bottom w:val="single" w:sz="4" w:space="0" w:color="auto"/>
              <w:right w:val="single" w:sz="8" w:space="0" w:color="000000"/>
            </w:tcBorders>
            <w:shd w:val="clear" w:color="000000" w:fill="D9D9D9"/>
            <w:vAlign w:val="center"/>
            <w:hideMark/>
          </w:tcPr>
          <w:p w14:paraId="43827FA3"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 xml:space="preserve">Comparable proceeding types: </w:t>
            </w:r>
            <w:r w:rsidRPr="003E009A">
              <w:rPr>
                <w:rFonts w:ascii="Arial" w:hAnsi="Arial" w:cs="Arial"/>
                <w:b/>
                <w:bCs/>
                <w:i/>
                <w:iCs/>
                <w:color w:val="000000"/>
                <w:sz w:val="12"/>
                <w:szCs w:val="12"/>
                <w:lang w:eastAsia="en-AU"/>
              </w:rPr>
              <w:t>Children &amp; young people; Decision-making for Adults with impaired capacity; Discrimination complaints</w:t>
            </w:r>
          </w:p>
        </w:tc>
      </w:tr>
      <w:tr w:rsidR="00F10335" w:rsidRPr="003E009A" w14:paraId="2738235B" w14:textId="77777777" w:rsidTr="00335F31">
        <w:trPr>
          <w:trHeight w:val="606"/>
        </w:trPr>
        <w:tc>
          <w:tcPr>
            <w:tcW w:w="1306" w:type="dxa"/>
            <w:tcBorders>
              <w:top w:val="nil"/>
              <w:left w:val="single" w:sz="8" w:space="0" w:color="auto"/>
              <w:bottom w:val="single" w:sz="4" w:space="0" w:color="auto"/>
              <w:right w:val="single" w:sz="4" w:space="0" w:color="auto"/>
            </w:tcBorders>
            <w:vAlign w:val="center"/>
            <w:hideMark/>
          </w:tcPr>
          <w:p w14:paraId="1A878AD2" w14:textId="7B00E3A5"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010" w:type="dxa"/>
            <w:tcBorders>
              <w:top w:val="nil"/>
              <w:left w:val="nil"/>
              <w:bottom w:val="single" w:sz="4" w:space="0" w:color="auto"/>
              <w:right w:val="single" w:sz="4" w:space="0" w:color="auto"/>
            </w:tcBorders>
            <w:shd w:val="clear" w:color="000000" w:fill="EFFFFE"/>
            <w:vAlign w:val="center"/>
            <w:hideMark/>
          </w:tcPr>
          <w:p w14:paraId="5CE55C3A"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660FFF48"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single" w:sz="8" w:space="0" w:color="auto"/>
            </w:tcBorders>
            <w:shd w:val="clear" w:color="000000" w:fill="F5DEFA"/>
            <w:vAlign w:val="center"/>
            <w:hideMark/>
          </w:tcPr>
          <w:p w14:paraId="0EC153E3"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010" w:type="dxa"/>
            <w:tcBorders>
              <w:top w:val="nil"/>
              <w:left w:val="nil"/>
              <w:bottom w:val="single" w:sz="4" w:space="0" w:color="auto"/>
              <w:right w:val="single" w:sz="4" w:space="0" w:color="auto"/>
            </w:tcBorders>
            <w:shd w:val="clear" w:color="000000" w:fill="EFFFFE"/>
            <w:vAlign w:val="center"/>
            <w:hideMark/>
          </w:tcPr>
          <w:p w14:paraId="29BBE011"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278FB349"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nil"/>
            </w:tcBorders>
            <w:shd w:val="clear" w:color="000000" w:fill="F5DEFA"/>
            <w:vAlign w:val="center"/>
            <w:hideMark/>
          </w:tcPr>
          <w:p w14:paraId="4EDDB975"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223" w:type="dxa"/>
            <w:tcBorders>
              <w:top w:val="nil"/>
              <w:left w:val="single" w:sz="8" w:space="0" w:color="auto"/>
              <w:bottom w:val="single" w:sz="4" w:space="0" w:color="auto"/>
              <w:right w:val="single" w:sz="4" w:space="0" w:color="auto"/>
            </w:tcBorders>
            <w:vAlign w:val="center"/>
            <w:hideMark/>
          </w:tcPr>
          <w:p w14:paraId="2B20915A" w14:textId="4879D1EE"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808" w:type="dxa"/>
            <w:tcBorders>
              <w:top w:val="nil"/>
              <w:left w:val="nil"/>
              <w:bottom w:val="single" w:sz="4" w:space="0" w:color="auto"/>
              <w:right w:val="single" w:sz="4" w:space="0" w:color="auto"/>
            </w:tcBorders>
            <w:shd w:val="clear" w:color="000000" w:fill="EFFFFE"/>
            <w:vAlign w:val="center"/>
            <w:hideMark/>
          </w:tcPr>
          <w:p w14:paraId="1B74E6FD"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Reduced</w:t>
            </w:r>
          </w:p>
        </w:tc>
        <w:tc>
          <w:tcPr>
            <w:tcW w:w="823" w:type="dxa"/>
            <w:tcBorders>
              <w:top w:val="nil"/>
              <w:left w:val="nil"/>
              <w:bottom w:val="single" w:sz="4" w:space="0" w:color="auto"/>
              <w:right w:val="single" w:sz="4" w:space="0" w:color="auto"/>
            </w:tcBorders>
            <w:shd w:val="clear" w:color="000000" w:fill="F7DDDE"/>
            <w:vAlign w:val="center"/>
            <w:hideMark/>
          </w:tcPr>
          <w:p w14:paraId="6ECE41B6"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1018" w:type="dxa"/>
            <w:tcBorders>
              <w:top w:val="nil"/>
              <w:left w:val="nil"/>
              <w:bottom w:val="single" w:sz="4" w:space="0" w:color="auto"/>
              <w:right w:val="single" w:sz="8" w:space="0" w:color="auto"/>
            </w:tcBorders>
            <w:shd w:val="clear" w:color="000000" w:fill="F5DEFA"/>
            <w:vAlign w:val="center"/>
            <w:hideMark/>
          </w:tcPr>
          <w:p w14:paraId="79BBE018"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Corporation</w:t>
            </w:r>
          </w:p>
        </w:tc>
        <w:tc>
          <w:tcPr>
            <w:tcW w:w="1300" w:type="dxa"/>
            <w:tcBorders>
              <w:top w:val="nil"/>
              <w:left w:val="nil"/>
              <w:bottom w:val="single" w:sz="4" w:space="0" w:color="auto"/>
              <w:right w:val="single" w:sz="4" w:space="0" w:color="auto"/>
            </w:tcBorders>
            <w:vAlign w:val="center"/>
            <w:hideMark/>
          </w:tcPr>
          <w:p w14:paraId="3790F806" w14:textId="45507DC0"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776" w:type="dxa"/>
            <w:gridSpan w:val="2"/>
            <w:tcBorders>
              <w:top w:val="single" w:sz="4" w:space="0" w:color="auto"/>
              <w:left w:val="nil"/>
              <w:bottom w:val="single" w:sz="4" w:space="0" w:color="auto"/>
              <w:right w:val="single" w:sz="8" w:space="0" w:color="000000"/>
            </w:tcBorders>
            <w:shd w:val="clear" w:color="000000" w:fill="F7DDDE"/>
            <w:vAlign w:val="center"/>
            <w:hideMark/>
          </w:tcPr>
          <w:p w14:paraId="4F87C908"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Single fee payer category</w:t>
            </w:r>
          </w:p>
        </w:tc>
      </w:tr>
      <w:tr w:rsidR="00335F31" w:rsidRPr="003E009A" w14:paraId="5F2ECCA4" w14:textId="77777777" w:rsidTr="00F55471">
        <w:trPr>
          <w:trHeight w:val="545"/>
        </w:trPr>
        <w:tc>
          <w:tcPr>
            <w:tcW w:w="1306" w:type="dxa"/>
            <w:tcBorders>
              <w:top w:val="nil"/>
              <w:left w:val="single" w:sz="8" w:space="0" w:color="auto"/>
              <w:bottom w:val="single" w:sz="4" w:space="0" w:color="auto"/>
              <w:right w:val="single" w:sz="4" w:space="0" w:color="auto"/>
            </w:tcBorders>
            <w:vAlign w:val="center"/>
            <w:hideMark/>
          </w:tcPr>
          <w:p w14:paraId="2FB11FAB" w14:textId="3C72EB71"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Commencement</w:t>
            </w:r>
          </w:p>
        </w:tc>
        <w:tc>
          <w:tcPr>
            <w:tcW w:w="1010" w:type="dxa"/>
            <w:tcBorders>
              <w:top w:val="nil"/>
              <w:left w:val="nil"/>
              <w:bottom w:val="single" w:sz="4" w:space="0" w:color="auto"/>
              <w:right w:val="single" w:sz="4" w:space="0" w:color="auto"/>
            </w:tcBorders>
            <w:vAlign w:val="center"/>
            <w:hideMark/>
          </w:tcPr>
          <w:p w14:paraId="3918B325"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039D6BFC"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85" w:type="dxa"/>
            <w:tcBorders>
              <w:top w:val="nil"/>
              <w:left w:val="nil"/>
              <w:bottom w:val="single" w:sz="4" w:space="0" w:color="auto"/>
              <w:right w:val="single" w:sz="8" w:space="0" w:color="auto"/>
            </w:tcBorders>
            <w:vAlign w:val="center"/>
            <w:hideMark/>
          </w:tcPr>
          <w:p w14:paraId="49445858"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$1,076*</w:t>
            </w:r>
          </w:p>
        </w:tc>
        <w:tc>
          <w:tcPr>
            <w:tcW w:w="1010" w:type="dxa"/>
            <w:tcBorders>
              <w:top w:val="nil"/>
              <w:left w:val="single" w:sz="4" w:space="0" w:color="auto"/>
              <w:bottom w:val="single" w:sz="4" w:space="0" w:color="auto"/>
              <w:right w:val="single" w:sz="4" w:space="0" w:color="auto"/>
            </w:tcBorders>
            <w:vAlign w:val="center"/>
            <w:hideMark/>
          </w:tcPr>
          <w:p w14:paraId="5DFE11D7"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76FF5831"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85" w:type="dxa"/>
            <w:tcBorders>
              <w:top w:val="nil"/>
              <w:left w:val="nil"/>
              <w:bottom w:val="single" w:sz="4" w:space="0" w:color="auto"/>
              <w:right w:val="single" w:sz="8" w:space="0" w:color="auto"/>
            </w:tcBorders>
            <w:vAlign w:val="center"/>
            <w:hideMark/>
          </w:tcPr>
          <w:p w14:paraId="3CE75001"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$1,996*</w:t>
            </w:r>
          </w:p>
        </w:tc>
        <w:tc>
          <w:tcPr>
            <w:tcW w:w="1223" w:type="dxa"/>
            <w:tcBorders>
              <w:top w:val="nil"/>
              <w:left w:val="nil"/>
              <w:bottom w:val="single" w:sz="4" w:space="0" w:color="auto"/>
              <w:right w:val="single" w:sz="4" w:space="0" w:color="auto"/>
            </w:tcBorders>
            <w:vAlign w:val="center"/>
            <w:hideMark/>
          </w:tcPr>
          <w:p w14:paraId="10F5081D" w14:textId="6CFE9EC9"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Lodg</w:t>
            </w:r>
            <w:r w:rsidR="00BA5923">
              <w:rPr>
                <w:rFonts w:ascii="Arial" w:hAnsi="Arial" w:cs="Arial"/>
                <w:b/>
                <w:bCs/>
                <w:color w:val="000000"/>
                <w:sz w:val="14"/>
                <w:szCs w:val="14"/>
                <w:lang w:eastAsia="en-AU"/>
              </w:rPr>
              <w:t>e</w:t>
            </w:r>
            <w:r w:rsidRPr="003E009A">
              <w:rPr>
                <w:rFonts w:ascii="Arial" w:hAnsi="Arial" w:cs="Arial"/>
                <w:b/>
                <w:bCs/>
                <w:color w:val="000000"/>
                <w:sz w:val="14"/>
                <w:szCs w:val="14"/>
                <w:lang w:eastAsia="en-AU"/>
              </w:rPr>
              <w:t>ment</w:t>
            </w:r>
          </w:p>
        </w:tc>
        <w:tc>
          <w:tcPr>
            <w:tcW w:w="808" w:type="dxa"/>
            <w:tcBorders>
              <w:top w:val="nil"/>
              <w:left w:val="nil"/>
              <w:bottom w:val="single" w:sz="4" w:space="0" w:color="auto"/>
              <w:right w:val="single" w:sz="4" w:space="0" w:color="auto"/>
            </w:tcBorders>
            <w:vAlign w:val="center"/>
            <w:hideMark/>
          </w:tcPr>
          <w:p w14:paraId="2344FA88"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$16–$83</w:t>
            </w:r>
          </w:p>
        </w:tc>
        <w:tc>
          <w:tcPr>
            <w:tcW w:w="823" w:type="dxa"/>
            <w:tcBorders>
              <w:top w:val="nil"/>
              <w:left w:val="nil"/>
              <w:bottom w:val="single" w:sz="4" w:space="0" w:color="auto"/>
              <w:right w:val="single" w:sz="4" w:space="0" w:color="auto"/>
            </w:tcBorders>
            <w:vAlign w:val="center"/>
            <w:hideMark/>
          </w:tcPr>
          <w:p w14:paraId="284BFD83"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$127–$330</w:t>
            </w:r>
          </w:p>
        </w:tc>
        <w:tc>
          <w:tcPr>
            <w:tcW w:w="1018" w:type="dxa"/>
            <w:tcBorders>
              <w:top w:val="nil"/>
              <w:left w:val="nil"/>
              <w:bottom w:val="single" w:sz="4" w:space="0" w:color="auto"/>
              <w:right w:val="single" w:sz="4" w:space="0" w:color="auto"/>
            </w:tcBorders>
            <w:vAlign w:val="center"/>
            <w:hideMark/>
          </w:tcPr>
          <w:p w14:paraId="064956B9"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$124–$660</w:t>
            </w:r>
          </w:p>
        </w:tc>
        <w:tc>
          <w:tcPr>
            <w:tcW w:w="1300" w:type="dxa"/>
            <w:tcBorders>
              <w:top w:val="nil"/>
              <w:left w:val="single" w:sz="8" w:space="0" w:color="auto"/>
              <w:bottom w:val="single" w:sz="4" w:space="0" w:color="auto"/>
              <w:right w:val="single" w:sz="4" w:space="0" w:color="auto"/>
            </w:tcBorders>
            <w:vAlign w:val="center"/>
            <w:hideMark/>
          </w:tcPr>
          <w:p w14:paraId="4690994D" w14:textId="1EEFADA4"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Leave to appe</w:t>
            </w:r>
            <w:r w:rsidR="00F55471">
              <w:rPr>
                <w:rFonts w:ascii="Arial" w:hAnsi="Arial" w:cs="Arial"/>
                <w:b/>
                <w:bCs/>
                <w:color w:val="000000"/>
                <w:sz w:val="14"/>
                <w:szCs w:val="14"/>
                <w:lang w:eastAsia="en-AU"/>
              </w:rPr>
              <w:t>a</w:t>
            </w:r>
            <w:r w:rsidRPr="003E009A">
              <w:rPr>
                <w:rFonts w:ascii="Arial" w:hAnsi="Arial" w:cs="Arial"/>
                <w:b/>
                <w:bCs/>
                <w:color w:val="000000"/>
                <w:sz w:val="14"/>
                <w:szCs w:val="14"/>
                <w:lang w:eastAsia="en-AU"/>
              </w:rPr>
              <w:t>l / Appeal</w:t>
            </w:r>
          </w:p>
        </w:tc>
        <w:tc>
          <w:tcPr>
            <w:tcW w:w="1776" w:type="dxa"/>
            <w:gridSpan w:val="2"/>
            <w:tcBorders>
              <w:top w:val="single" w:sz="4" w:space="0" w:color="auto"/>
              <w:left w:val="nil"/>
              <w:bottom w:val="single" w:sz="4" w:space="0" w:color="auto"/>
              <w:right w:val="single" w:sz="8" w:space="0" w:color="000000"/>
            </w:tcBorders>
            <w:vAlign w:val="center"/>
            <w:hideMark/>
          </w:tcPr>
          <w:p w14:paraId="3455EB40"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$785</w:t>
            </w:r>
          </w:p>
        </w:tc>
      </w:tr>
      <w:tr w:rsidR="000F7AF9" w:rsidRPr="003E009A" w14:paraId="77DD0F14" w14:textId="77777777" w:rsidTr="00C329DD">
        <w:trPr>
          <w:trHeight w:val="553"/>
        </w:trPr>
        <w:tc>
          <w:tcPr>
            <w:tcW w:w="1306" w:type="dxa"/>
            <w:tcBorders>
              <w:top w:val="nil"/>
              <w:left w:val="single" w:sz="8" w:space="0" w:color="auto"/>
              <w:bottom w:val="single" w:sz="4" w:space="0" w:color="auto"/>
              <w:right w:val="single" w:sz="4" w:space="0" w:color="auto"/>
            </w:tcBorders>
            <w:vAlign w:val="center"/>
            <w:hideMark/>
          </w:tcPr>
          <w:p w14:paraId="216D99FA" w14:textId="009E67B5"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App</w:t>
            </w:r>
            <w:r>
              <w:rPr>
                <w:rFonts w:ascii="Arial" w:hAnsi="Arial" w:cs="Arial"/>
                <w:b/>
                <w:bCs/>
                <w:color w:val="000000"/>
                <w:sz w:val="14"/>
                <w:szCs w:val="14"/>
                <w:lang w:eastAsia="en-AU"/>
              </w:rPr>
              <w:t>lication &amp;</w:t>
            </w:r>
            <w:r w:rsidRPr="003E009A">
              <w:rPr>
                <w:rFonts w:ascii="Arial" w:hAnsi="Arial" w:cs="Arial"/>
                <w:b/>
                <w:bCs/>
                <w:color w:val="000000"/>
                <w:sz w:val="14"/>
                <w:szCs w:val="14"/>
                <w:lang w:eastAsia="en-AU"/>
              </w:rPr>
              <w:t xml:space="preserve"> other matter</w:t>
            </w:r>
            <w:r>
              <w:rPr>
                <w:rFonts w:ascii="Arial" w:hAnsi="Arial" w:cs="Arial"/>
                <w:b/>
                <w:bCs/>
                <w:color w:val="000000"/>
                <w:sz w:val="14"/>
                <w:szCs w:val="14"/>
                <w:lang w:eastAsia="en-AU"/>
              </w:rPr>
              <w:t>s</w:t>
            </w:r>
          </w:p>
        </w:tc>
        <w:tc>
          <w:tcPr>
            <w:tcW w:w="1010" w:type="dxa"/>
            <w:tcBorders>
              <w:top w:val="nil"/>
              <w:left w:val="nil"/>
              <w:bottom w:val="single" w:sz="4" w:space="0" w:color="auto"/>
              <w:right w:val="single" w:sz="4" w:space="0" w:color="auto"/>
            </w:tcBorders>
            <w:vAlign w:val="center"/>
            <w:hideMark/>
          </w:tcPr>
          <w:p w14:paraId="04B8E2F7"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$151"</w:t>
            </w:r>
          </w:p>
        </w:tc>
        <w:tc>
          <w:tcPr>
            <w:tcW w:w="844" w:type="dxa"/>
            <w:tcBorders>
              <w:top w:val="nil"/>
              <w:left w:val="nil"/>
              <w:bottom w:val="single" w:sz="4" w:space="0" w:color="auto"/>
              <w:right w:val="single" w:sz="4" w:space="0" w:color="auto"/>
            </w:tcBorders>
            <w:vAlign w:val="center"/>
            <w:hideMark/>
          </w:tcPr>
          <w:p w14:paraId="43E7DAB9"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$151"</w:t>
            </w:r>
          </w:p>
        </w:tc>
        <w:tc>
          <w:tcPr>
            <w:tcW w:w="885" w:type="dxa"/>
            <w:tcBorders>
              <w:top w:val="nil"/>
              <w:left w:val="nil"/>
              <w:bottom w:val="single" w:sz="4" w:space="0" w:color="auto"/>
              <w:right w:val="single" w:sz="8" w:space="0" w:color="auto"/>
            </w:tcBorders>
            <w:vAlign w:val="center"/>
            <w:hideMark/>
          </w:tcPr>
          <w:p w14:paraId="30BEBF81"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$151"</w:t>
            </w:r>
          </w:p>
        </w:tc>
        <w:tc>
          <w:tcPr>
            <w:tcW w:w="1010" w:type="dxa"/>
            <w:tcBorders>
              <w:top w:val="nil"/>
              <w:left w:val="single" w:sz="4" w:space="0" w:color="auto"/>
              <w:bottom w:val="single" w:sz="4" w:space="0" w:color="auto"/>
              <w:right w:val="single" w:sz="4" w:space="0" w:color="auto"/>
            </w:tcBorders>
            <w:vAlign w:val="center"/>
            <w:hideMark/>
          </w:tcPr>
          <w:p w14:paraId="20C5789B"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$151"</w:t>
            </w:r>
          </w:p>
        </w:tc>
        <w:tc>
          <w:tcPr>
            <w:tcW w:w="844" w:type="dxa"/>
            <w:tcBorders>
              <w:top w:val="nil"/>
              <w:left w:val="nil"/>
              <w:bottom w:val="single" w:sz="4" w:space="0" w:color="auto"/>
              <w:right w:val="single" w:sz="4" w:space="0" w:color="auto"/>
            </w:tcBorders>
            <w:vAlign w:val="center"/>
            <w:hideMark/>
          </w:tcPr>
          <w:p w14:paraId="52B08363"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$151"</w:t>
            </w:r>
          </w:p>
        </w:tc>
        <w:tc>
          <w:tcPr>
            <w:tcW w:w="885" w:type="dxa"/>
            <w:tcBorders>
              <w:top w:val="nil"/>
              <w:left w:val="nil"/>
              <w:bottom w:val="single" w:sz="4" w:space="0" w:color="auto"/>
              <w:right w:val="single" w:sz="8" w:space="0" w:color="auto"/>
            </w:tcBorders>
            <w:vAlign w:val="center"/>
            <w:hideMark/>
          </w:tcPr>
          <w:p w14:paraId="58AD45D4"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$151"</w:t>
            </w:r>
          </w:p>
        </w:tc>
        <w:tc>
          <w:tcPr>
            <w:tcW w:w="3872" w:type="dxa"/>
            <w:gridSpan w:val="4"/>
            <w:tcBorders>
              <w:top w:val="single" w:sz="4" w:space="0" w:color="auto"/>
              <w:left w:val="nil"/>
              <w:bottom w:val="single" w:sz="4" w:space="0" w:color="auto"/>
              <w:right w:val="single" w:sz="8" w:space="0" w:color="000000"/>
            </w:tcBorders>
            <w:shd w:val="clear" w:color="000000" w:fill="F2F2F2"/>
            <w:vAlign w:val="center"/>
            <w:hideMark/>
          </w:tcPr>
          <w:p w14:paraId="0A5CC031"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1300" w:type="dxa"/>
            <w:tcBorders>
              <w:top w:val="nil"/>
              <w:left w:val="nil"/>
              <w:bottom w:val="single" w:sz="4" w:space="0" w:color="auto"/>
              <w:right w:val="single" w:sz="4" w:space="0" w:color="auto"/>
            </w:tcBorders>
            <w:vAlign w:val="center"/>
            <w:hideMark/>
          </w:tcPr>
          <w:p w14:paraId="2345DA0A" w14:textId="430CE720"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Application</w:t>
            </w:r>
          </w:p>
        </w:tc>
        <w:tc>
          <w:tcPr>
            <w:tcW w:w="1776" w:type="dxa"/>
            <w:gridSpan w:val="2"/>
            <w:tcBorders>
              <w:top w:val="single" w:sz="4" w:space="0" w:color="auto"/>
              <w:left w:val="nil"/>
              <w:bottom w:val="single" w:sz="4" w:space="0" w:color="auto"/>
              <w:right w:val="single" w:sz="8" w:space="0" w:color="000000"/>
            </w:tcBorders>
            <w:vAlign w:val="center"/>
            <w:hideMark/>
          </w:tcPr>
          <w:p w14:paraId="49CA7AF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 Nil </w:t>
            </w:r>
          </w:p>
        </w:tc>
      </w:tr>
      <w:tr w:rsidR="00335F31" w:rsidRPr="003E009A" w14:paraId="5521B83E" w14:textId="77777777" w:rsidTr="00335F31">
        <w:trPr>
          <w:trHeight w:val="639"/>
        </w:trPr>
        <w:tc>
          <w:tcPr>
            <w:tcW w:w="1306" w:type="dxa"/>
            <w:tcBorders>
              <w:top w:val="nil"/>
              <w:left w:val="single" w:sz="8" w:space="0" w:color="auto"/>
              <w:bottom w:val="single" w:sz="4" w:space="0" w:color="auto"/>
              <w:right w:val="single" w:sz="4" w:space="0" w:color="auto"/>
            </w:tcBorders>
            <w:vAlign w:val="center"/>
            <w:hideMark/>
          </w:tcPr>
          <w:p w14:paraId="769863EE" w14:textId="27C52091"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Hearing</w:t>
            </w:r>
          </w:p>
        </w:tc>
        <w:tc>
          <w:tcPr>
            <w:tcW w:w="1010" w:type="dxa"/>
            <w:tcBorders>
              <w:top w:val="nil"/>
              <w:left w:val="nil"/>
              <w:bottom w:val="single" w:sz="4" w:space="0" w:color="auto"/>
              <w:right w:val="single" w:sz="4" w:space="0" w:color="auto"/>
            </w:tcBorders>
            <w:vAlign w:val="center"/>
            <w:hideMark/>
          </w:tcPr>
          <w:p w14:paraId="4F3E906E"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2E37A640"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85" w:type="dxa"/>
            <w:tcBorders>
              <w:top w:val="nil"/>
              <w:left w:val="nil"/>
              <w:bottom w:val="single" w:sz="4" w:space="0" w:color="auto"/>
              <w:right w:val="single" w:sz="8" w:space="0" w:color="auto"/>
            </w:tcBorders>
            <w:vAlign w:val="center"/>
            <w:hideMark/>
          </w:tcPr>
          <w:p w14:paraId="27F1BA5F"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 | $588–$1,765*</w:t>
            </w:r>
          </w:p>
        </w:tc>
        <w:tc>
          <w:tcPr>
            <w:tcW w:w="1010" w:type="dxa"/>
            <w:tcBorders>
              <w:top w:val="nil"/>
              <w:left w:val="single" w:sz="4" w:space="0" w:color="auto"/>
              <w:bottom w:val="single" w:sz="4" w:space="0" w:color="auto"/>
              <w:right w:val="single" w:sz="4" w:space="0" w:color="auto"/>
            </w:tcBorders>
            <w:vAlign w:val="center"/>
            <w:hideMark/>
          </w:tcPr>
          <w:p w14:paraId="7F878F2C"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0E8C81D3"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85" w:type="dxa"/>
            <w:tcBorders>
              <w:top w:val="nil"/>
              <w:left w:val="nil"/>
              <w:bottom w:val="single" w:sz="4" w:space="0" w:color="auto"/>
              <w:right w:val="single" w:sz="8" w:space="0" w:color="auto"/>
            </w:tcBorders>
            <w:vAlign w:val="center"/>
            <w:hideMark/>
          </w:tcPr>
          <w:p w14:paraId="3F5D326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Nil | </w:t>
            </w:r>
            <w:r w:rsidRPr="003E009A">
              <w:rPr>
                <w:rFonts w:ascii="Arial" w:hAnsi="Arial" w:cs="Arial"/>
                <w:color w:val="000000"/>
                <w:sz w:val="14"/>
                <w:szCs w:val="14"/>
                <w:lang w:eastAsia="en-AU"/>
              </w:rPr>
              <w:br/>
              <w:t>$679–$2,038*</w:t>
            </w:r>
          </w:p>
        </w:tc>
        <w:tc>
          <w:tcPr>
            <w:tcW w:w="3872" w:type="dxa"/>
            <w:gridSpan w:val="4"/>
            <w:tcBorders>
              <w:top w:val="single" w:sz="4" w:space="0" w:color="auto"/>
              <w:left w:val="nil"/>
              <w:bottom w:val="single" w:sz="4" w:space="0" w:color="auto"/>
              <w:right w:val="single" w:sz="8" w:space="0" w:color="000000"/>
            </w:tcBorders>
            <w:shd w:val="clear" w:color="000000" w:fill="F2F2F2"/>
            <w:vAlign w:val="center"/>
            <w:hideMark/>
          </w:tcPr>
          <w:p w14:paraId="756450F8"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3076" w:type="dxa"/>
            <w:gridSpan w:val="3"/>
            <w:tcBorders>
              <w:top w:val="single" w:sz="4" w:space="0" w:color="auto"/>
              <w:left w:val="nil"/>
              <w:bottom w:val="single" w:sz="4" w:space="0" w:color="auto"/>
              <w:right w:val="single" w:sz="8" w:space="0" w:color="000000"/>
            </w:tcBorders>
            <w:shd w:val="clear" w:color="000000" w:fill="F2F2F2"/>
            <w:vAlign w:val="center"/>
            <w:hideMark/>
          </w:tcPr>
          <w:p w14:paraId="24831DFA"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r>
      <w:tr w:rsidR="000F7AF9" w:rsidRPr="003E009A" w14:paraId="2903EB6A" w14:textId="77777777" w:rsidTr="00F55471">
        <w:trPr>
          <w:trHeight w:val="485"/>
        </w:trPr>
        <w:tc>
          <w:tcPr>
            <w:tcW w:w="1306" w:type="dxa"/>
            <w:tcBorders>
              <w:top w:val="nil"/>
              <w:left w:val="single" w:sz="8" w:space="0" w:color="auto"/>
              <w:bottom w:val="single" w:sz="4" w:space="0" w:color="auto"/>
              <w:right w:val="single" w:sz="4" w:space="0" w:color="auto"/>
            </w:tcBorders>
            <w:vAlign w:val="center"/>
            <w:hideMark/>
          </w:tcPr>
          <w:p w14:paraId="09A5F3C0" w14:textId="39D80B98"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Administrative</w:t>
            </w:r>
          </w:p>
        </w:tc>
        <w:tc>
          <w:tcPr>
            <w:tcW w:w="1010" w:type="dxa"/>
            <w:tcBorders>
              <w:top w:val="nil"/>
              <w:left w:val="nil"/>
              <w:bottom w:val="single" w:sz="4" w:space="0" w:color="auto"/>
              <w:right w:val="nil"/>
            </w:tcBorders>
            <w:vAlign w:val="center"/>
            <w:hideMark/>
          </w:tcPr>
          <w:p w14:paraId="3E84BC54"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 $0.60–$50 </w:t>
            </w:r>
          </w:p>
        </w:tc>
        <w:tc>
          <w:tcPr>
            <w:tcW w:w="1729" w:type="dxa"/>
            <w:gridSpan w:val="2"/>
            <w:tcBorders>
              <w:top w:val="single" w:sz="4" w:space="0" w:color="auto"/>
              <w:left w:val="single" w:sz="4" w:space="0" w:color="auto"/>
              <w:bottom w:val="single" w:sz="4" w:space="0" w:color="auto"/>
              <w:right w:val="single" w:sz="8" w:space="0" w:color="000000"/>
            </w:tcBorders>
            <w:vAlign w:val="center"/>
            <w:hideMark/>
          </w:tcPr>
          <w:p w14:paraId="0539C979"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$0.60–$136 </w:t>
            </w:r>
          </w:p>
        </w:tc>
        <w:tc>
          <w:tcPr>
            <w:tcW w:w="1010" w:type="dxa"/>
            <w:tcBorders>
              <w:top w:val="nil"/>
              <w:left w:val="single" w:sz="4" w:space="0" w:color="auto"/>
              <w:bottom w:val="single" w:sz="4" w:space="0" w:color="auto"/>
              <w:right w:val="single" w:sz="4" w:space="0" w:color="auto"/>
            </w:tcBorders>
            <w:vAlign w:val="center"/>
            <w:hideMark/>
          </w:tcPr>
          <w:p w14:paraId="14F2CA1A"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$0.60–$100</w:t>
            </w:r>
          </w:p>
        </w:tc>
        <w:tc>
          <w:tcPr>
            <w:tcW w:w="1729" w:type="dxa"/>
            <w:gridSpan w:val="2"/>
            <w:tcBorders>
              <w:top w:val="single" w:sz="4" w:space="0" w:color="auto"/>
              <w:left w:val="nil"/>
              <w:bottom w:val="single" w:sz="4" w:space="0" w:color="auto"/>
              <w:right w:val="single" w:sz="8" w:space="0" w:color="000000"/>
            </w:tcBorders>
            <w:vAlign w:val="center"/>
            <w:hideMark/>
          </w:tcPr>
          <w:p w14:paraId="41400230"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$0.60–$301 </w:t>
            </w:r>
          </w:p>
        </w:tc>
        <w:tc>
          <w:tcPr>
            <w:tcW w:w="1223" w:type="dxa"/>
            <w:tcBorders>
              <w:top w:val="nil"/>
              <w:left w:val="nil"/>
              <w:bottom w:val="single" w:sz="4" w:space="0" w:color="auto"/>
              <w:right w:val="single" w:sz="4" w:space="0" w:color="auto"/>
            </w:tcBorders>
            <w:vAlign w:val="center"/>
            <w:hideMark/>
          </w:tcPr>
          <w:p w14:paraId="4FA0D4DC" w14:textId="0A1C47D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services</w:t>
            </w:r>
          </w:p>
        </w:tc>
        <w:tc>
          <w:tcPr>
            <w:tcW w:w="2649" w:type="dxa"/>
            <w:gridSpan w:val="3"/>
            <w:tcBorders>
              <w:top w:val="single" w:sz="4" w:space="0" w:color="auto"/>
              <w:left w:val="nil"/>
              <w:bottom w:val="single" w:sz="4" w:space="0" w:color="auto"/>
              <w:right w:val="single" w:sz="8" w:space="0" w:color="000000"/>
            </w:tcBorders>
            <w:vAlign w:val="center"/>
            <w:hideMark/>
          </w:tcPr>
          <w:p w14:paraId="6812EB90"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$52–$101 </w:t>
            </w:r>
          </w:p>
        </w:tc>
        <w:tc>
          <w:tcPr>
            <w:tcW w:w="1300" w:type="dxa"/>
            <w:tcBorders>
              <w:top w:val="nil"/>
              <w:left w:val="nil"/>
              <w:bottom w:val="single" w:sz="4" w:space="0" w:color="auto"/>
              <w:right w:val="single" w:sz="4" w:space="0" w:color="auto"/>
            </w:tcBorders>
            <w:vAlign w:val="center"/>
            <w:hideMark/>
          </w:tcPr>
          <w:p w14:paraId="38E3E5E1" w14:textId="7777777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fees</w:t>
            </w:r>
          </w:p>
        </w:tc>
        <w:tc>
          <w:tcPr>
            <w:tcW w:w="1783" w:type="dxa"/>
            <w:gridSpan w:val="2"/>
            <w:tcBorders>
              <w:top w:val="single" w:sz="4" w:space="0" w:color="auto"/>
              <w:left w:val="nil"/>
              <w:bottom w:val="single" w:sz="4" w:space="0" w:color="auto"/>
              <w:right w:val="single" w:sz="8" w:space="0" w:color="000000"/>
            </w:tcBorders>
            <w:vAlign w:val="center"/>
            <w:hideMark/>
          </w:tcPr>
          <w:p w14:paraId="19F6B82A"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 $1.40–$228 </w:t>
            </w:r>
          </w:p>
        </w:tc>
      </w:tr>
      <w:tr w:rsidR="00335F31" w:rsidRPr="003E009A" w14:paraId="6ECD69C3" w14:textId="77777777" w:rsidTr="00335F31">
        <w:trPr>
          <w:trHeight w:val="584"/>
        </w:trPr>
        <w:tc>
          <w:tcPr>
            <w:tcW w:w="4045"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166B1847" w14:textId="77777777" w:rsidR="00F10335" w:rsidRPr="003E009A" w:rsidRDefault="00F10335">
            <w:pPr>
              <w:jc w:val="center"/>
              <w:rPr>
                <w:rFonts w:ascii="Arial" w:hAnsi="Arial" w:cs="Arial"/>
                <w:b/>
                <w:bCs/>
                <w:i/>
                <w:iCs/>
                <w:color w:val="000000"/>
                <w:sz w:val="14"/>
                <w:szCs w:val="14"/>
                <w:lang w:eastAsia="en-AU"/>
              </w:rPr>
            </w:pPr>
            <w:r w:rsidRPr="003E009A">
              <w:rPr>
                <w:rFonts w:ascii="Arial" w:hAnsi="Arial" w:cs="Arial"/>
                <w:b/>
                <w:bCs/>
                <w:i/>
                <w:iCs/>
                <w:color w:val="000000"/>
                <w:sz w:val="14"/>
                <w:szCs w:val="14"/>
                <w:lang w:eastAsia="en-AU"/>
              </w:rPr>
              <w:t>Residential Tenancies Division</w:t>
            </w:r>
          </w:p>
        </w:tc>
        <w:tc>
          <w:tcPr>
            <w:tcW w:w="2739" w:type="dxa"/>
            <w:gridSpan w:val="3"/>
            <w:tcBorders>
              <w:top w:val="single" w:sz="4" w:space="0" w:color="auto"/>
              <w:left w:val="nil"/>
              <w:bottom w:val="single" w:sz="4" w:space="0" w:color="auto"/>
              <w:right w:val="nil"/>
            </w:tcBorders>
            <w:shd w:val="clear" w:color="000000" w:fill="D9D9D9"/>
            <w:vAlign w:val="center"/>
            <w:hideMark/>
          </w:tcPr>
          <w:p w14:paraId="258F1C4F"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Comparable proceeding types within</w:t>
            </w:r>
            <w:r w:rsidRPr="003E009A">
              <w:rPr>
                <w:rFonts w:ascii="Arial" w:hAnsi="Arial" w:cs="Arial"/>
                <w:b/>
                <w:bCs/>
                <w:color w:val="000000"/>
                <w:sz w:val="14"/>
                <w:szCs w:val="14"/>
                <w:lang w:eastAsia="en-AU"/>
              </w:rPr>
              <w:br/>
            </w:r>
            <w:r w:rsidRPr="003E009A">
              <w:rPr>
                <w:rFonts w:ascii="Arial" w:hAnsi="Arial" w:cs="Arial"/>
                <w:b/>
                <w:bCs/>
                <w:i/>
                <w:iCs/>
                <w:color w:val="000000"/>
                <w:sz w:val="14"/>
                <w:szCs w:val="14"/>
                <w:lang w:eastAsia="en-AU"/>
              </w:rPr>
              <w:t xml:space="preserve">Consumer Division </w:t>
            </w:r>
          </w:p>
        </w:tc>
        <w:tc>
          <w:tcPr>
            <w:tcW w:w="3872"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7E3DC53B"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 xml:space="preserve">Comparable proceeding types within </w:t>
            </w:r>
            <w:r w:rsidRPr="003E009A">
              <w:rPr>
                <w:rFonts w:ascii="Arial" w:hAnsi="Arial" w:cs="Arial"/>
                <w:b/>
                <w:bCs/>
                <w:color w:val="000000"/>
                <w:sz w:val="14"/>
                <w:szCs w:val="14"/>
                <w:lang w:eastAsia="en-AU"/>
              </w:rPr>
              <w:br/>
            </w:r>
            <w:r w:rsidRPr="003E009A">
              <w:rPr>
                <w:rFonts w:ascii="Arial" w:hAnsi="Arial" w:cs="Arial"/>
                <w:b/>
                <w:bCs/>
                <w:i/>
                <w:iCs/>
                <w:color w:val="000000"/>
                <w:sz w:val="14"/>
                <w:szCs w:val="14"/>
                <w:lang w:eastAsia="en-AU"/>
              </w:rPr>
              <w:t>Consumer &amp; Commercial Division</w:t>
            </w:r>
          </w:p>
        </w:tc>
        <w:tc>
          <w:tcPr>
            <w:tcW w:w="3083" w:type="dxa"/>
            <w:gridSpan w:val="3"/>
            <w:tcBorders>
              <w:top w:val="single" w:sz="4" w:space="0" w:color="auto"/>
              <w:left w:val="nil"/>
              <w:bottom w:val="single" w:sz="4" w:space="0" w:color="auto"/>
              <w:right w:val="single" w:sz="8" w:space="0" w:color="000000"/>
            </w:tcBorders>
            <w:shd w:val="clear" w:color="000000" w:fill="D9D9D9"/>
            <w:vAlign w:val="center"/>
            <w:hideMark/>
          </w:tcPr>
          <w:p w14:paraId="22C47407" w14:textId="4A3DFD05"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Comparable proceeding types:</w:t>
            </w:r>
            <w:r w:rsidRPr="003E009A">
              <w:rPr>
                <w:rFonts w:ascii="Arial" w:hAnsi="Arial" w:cs="Arial"/>
                <w:b/>
                <w:bCs/>
                <w:color w:val="000000"/>
                <w:sz w:val="14"/>
                <w:szCs w:val="14"/>
                <w:lang w:eastAsia="en-AU"/>
              </w:rPr>
              <w:t xml:space="preserve"> </w:t>
            </w:r>
            <w:r w:rsidR="00E51300">
              <w:rPr>
                <w:rFonts w:ascii="Arial" w:hAnsi="Arial" w:cs="Arial"/>
                <w:b/>
                <w:bCs/>
                <w:i/>
                <w:iCs/>
                <w:color w:val="000000"/>
                <w:sz w:val="14"/>
                <w:szCs w:val="14"/>
                <w:lang w:eastAsia="en-AU"/>
              </w:rPr>
              <w:t xml:space="preserve">Minor </w:t>
            </w:r>
            <w:r w:rsidR="00E35D2F">
              <w:rPr>
                <w:rFonts w:ascii="Arial" w:hAnsi="Arial" w:cs="Arial"/>
                <w:b/>
                <w:bCs/>
                <w:i/>
                <w:iCs/>
                <w:color w:val="000000"/>
                <w:sz w:val="14"/>
                <w:szCs w:val="14"/>
                <w:lang w:eastAsia="en-AU"/>
              </w:rPr>
              <w:t>Civil Disputes (residential tenancy dispute)</w:t>
            </w:r>
          </w:p>
        </w:tc>
      </w:tr>
      <w:tr w:rsidR="00F10335" w:rsidRPr="003E009A" w14:paraId="594D8EC6" w14:textId="77777777" w:rsidTr="00335F31">
        <w:trPr>
          <w:trHeight w:val="606"/>
        </w:trPr>
        <w:tc>
          <w:tcPr>
            <w:tcW w:w="1306" w:type="dxa"/>
            <w:tcBorders>
              <w:top w:val="nil"/>
              <w:left w:val="single" w:sz="8" w:space="0" w:color="auto"/>
              <w:bottom w:val="single" w:sz="4" w:space="0" w:color="auto"/>
              <w:right w:val="single" w:sz="4" w:space="0" w:color="auto"/>
            </w:tcBorders>
            <w:vAlign w:val="center"/>
            <w:hideMark/>
          </w:tcPr>
          <w:p w14:paraId="5DB9CB1B" w14:textId="71A56C04"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010" w:type="dxa"/>
            <w:tcBorders>
              <w:top w:val="nil"/>
              <w:left w:val="nil"/>
              <w:bottom w:val="single" w:sz="4" w:space="0" w:color="auto"/>
              <w:right w:val="single" w:sz="4" w:space="0" w:color="auto"/>
            </w:tcBorders>
            <w:shd w:val="clear" w:color="000000" w:fill="EFFFFE"/>
            <w:vAlign w:val="center"/>
            <w:hideMark/>
          </w:tcPr>
          <w:p w14:paraId="3BB1A77F"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29738110"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single" w:sz="8" w:space="0" w:color="auto"/>
            </w:tcBorders>
            <w:shd w:val="clear" w:color="000000" w:fill="F5DEFA"/>
            <w:vAlign w:val="center"/>
            <w:hideMark/>
          </w:tcPr>
          <w:p w14:paraId="4F2B190E"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010" w:type="dxa"/>
            <w:tcBorders>
              <w:top w:val="nil"/>
              <w:left w:val="nil"/>
              <w:bottom w:val="single" w:sz="4" w:space="0" w:color="auto"/>
              <w:right w:val="single" w:sz="4" w:space="0" w:color="auto"/>
            </w:tcBorders>
            <w:shd w:val="clear" w:color="000000" w:fill="EFFFFE"/>
            <w:vAlign w:val="center"/>
            <w:hideMark/>
          </w:tcPr>
          <w:p w14:paraId="436D0A8C"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493A7C3E"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nil"/>
            </w:tcBorders>
            <w:shd w:val="clear" w:color="000000" w:fill="F5DEFA"/>
            <w:vAlign w:val="center"/>
            <w:hideMark/>
          </w:tcPr>
          <w:p w14:paraId="63BD3921"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223" w:type="dxa"/>
            <w:tcBorders>
              <w:top w:val="nil"/>
              <w:left w:val="single" w:sz="8" w:space="0" w:color="auto"/>
              <w:bottom w:val="single" w:sz="4" w:space="0" w:color="auto"/>
              <w:right w:val="single" w:sz="4" w:space="0" w:color="auto"/>
            </w:tcBorders>
            <w:vAlign w:val="center"/>
            <w:hideMark/>
          </w:tcPr>
          <w:p w14:paraId="6D458253" w14:textId="7BF9DBDE"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808" w:type="dxa"/>
            <w:tcBorders>
              <w:top w:val="nil"/>
              <w:left w:val="nil"/>
              <w:bottom w:val="single" w:sz="4" w:space="0" w:color="auto"/>
              <w:right w:val="single" w:sz="4" w:space="0" w:color="auto"/>
            </w:tcBorders>
            <w:shd w:val="clear" w:color="000000" w:fill="EFFFFE"/>
            <w:vAlign w:val="center"/>
            <w:hideMark/>
          </w:tcPr>
          <w:p w14:paraId="1EA5941A"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Reduced</w:t>
            </w:r>
          </w:p>
        </w:tc>
        <w:tc>
          <w:tcPr>
            <w:tcW w:w="823" w:type="dxa"/>
            <w:tcBorders>
              <w:top w:val="nil"/>
              <w:left w:val="nil"/>
              <w:bottom w:val="single" w:sz="4" w:space="0" w:color="auto"/>
              <w:right w:val="single" w:sz="4" w:space="0" w:color="auto"/>
            </w:tcBorders>
            <w:shd w:val="clear" w:color="000000" w:fill="F7DDDE"/>
            <w:vAlign w:val="center"/>
            <w:hideMark/>
          </w:tcPr>
          <w:p w14:paraId="512F7D4A"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1018" w:type="dxa"/>
            <w:tcBorders>
              <w:top w:val="nil"/>
              <w:left w:val="nil"/>
              <w:bottom w:val="single" w:sz="4" w:space="0" w:color="auto"/>
              <w:right w:val="single" w:sz="8" w:space="0" w:color="auto"/>
            </w:tcBorders>
            <w:shd w:val="clear" w:color="000000" w:fill="F5DEFA"/>
            <w:vAlign w:val="center"/>
            <w:hideMark/>
          </w:tcPr>
          <w:p w14:paraId="25E6638A"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Corporation</w:t>
            </w:r>
          </w:p>
        </w:tc>
        <w:tc>
          <w:tcPr>
            <w:tcW w:w="1300" w:type="dxa"/>
            <w:tcBorders>
              <w:top w:val="nil"/>
              <w:left w:val="nil"/>
              <w:bottom w:val="single" w:sz="4" w:space="0" w:color="auto"/>
              <w:right w:val="single" w:sz="4" w:space="0" w:color="auto"/>
            </w:tcBorders>
            <w:vAlign w:val="center"/>
            <w:hideMark/>
          </w:tcPr>
          <w:p w14:paraId="12856EF1" w14:textId="7926EF42"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776" w:type="dxa"/>
            <w:gridSpan w:val="2"/>
            <w:tcBorders>
              <w:top w:val="single" w:sz="4" w:space="0" w:color="auto"/>
              <w:left w:val="nil"/>
              <w:bottom w:val="single" w:sz="4" w:space="0" w:color="auto"/>
              <w:right w:val="single" w:sz="8" w:space="0" w:color="000000"/>
            </w:tcBorders>
            <w:shd w:val="clear" w:color="000000" w:fill="F7DDDE"/>
            <w:vAlign w:val="center"/>
            <w:hideMark/>
          </w:tcPr>
          <w:p w14:paraId="23FDC3CF"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Single fee payer category</w:t>
            </w:r>
          </w:p>
        </w:tc>
      </w:tr>
      <w:tr w:rsidR="00335F31" w:rsidRPr="003E009A" w14:paraId="1E9FFF04" w14:textId="77777777" w:rsidTr="00F55471">
        <w:trPr>
          <w:trHeight w:val="481"/>
        </w:trPr>
        <w:tc>
          <w:tcPr>
            <w:tcW w:w="1306" w:type="dxa"/>
            <w:tcBorders>
              <w:top w:val="nil"/>
              <w:left w:val="single" w:sz="8" w:space="0" w:color="auto"/>
              <w:bottom w:val="single" w:sz="4" w:space="0" w:color="auto"/>
              <w:right w:val="single" w:sz="4" w:space="0" w:color="auto"/>
            </w:tcBorders>
            <w:vAlign w:val="center"/>
            <w:hideMark/>
          </w:tcPr>
          <w:p w14:paraId="0F6B3313" w14:textId="742A6E41"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Commencement</w:t>
            </w:r>
          </w:p>
        </w:tc>
        <w:tc>
          <w:tcPr>
            <w:tcW w:w="1010" w:type="dxa"/>
            <w:tcBorders>
              <w:top w:val="nil"/>
              <w:left w:val="nil"/>
              <w:bottom w:val="single" w:sz="4" w:space="0" w:color="auto"/>
              <w:right w:val="single" w:sz="4" w:space="0" w:color="auto"/>
            </w:tcBorders>
            <w:vAlign w:val="center"/>
            <w:hideMark/>
          </w:tcPr>
          <w:p w14:paraId="1E931E05"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0CF36F8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Nil–$553</w:t>
            </w:r>
          </w:p>
        </w:tc>
        <w:tc>
          <w:tcPr>
            <w:tcW w:w="885" w:type="dxa"/>
            <w:tcBorders>
              <w:top w:val="nil"/>
              <w:left w:val="nil"/>
              <w:bottom w:val="single" w:sz="4" w:space="0" w:color="auto"/>
              <w:right w:val="single" w:sz="8" w:space="0" w:color="auto"/>
            </w:tcBorders>
            <w:vAlign w:val="center"/>
            <w:hideMark/>
          </w:tcPr>
          <w:p w14:paraId="720B1D81"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Nil–$790</w:t>
            </w:r>
          </w:p>
        </w:tc>
        <w:tc>
          <w:tcPr>
            <w:tcW w:w="1010" w:type="dxa"/>
            <w:tcBorders>
              <w:top w:val="nil"/>
              <w:left w:val="single" w:sz="4" w:space="0" w:color="auto"/>
              <w:bottom w:val="single" w:sz="4" w:space="0" w:color="auto"/>
              <w:right w:val="single" w:sz="4" w:space="0" w:color="auto"/>
            </w:tcBorders>
            <w:vAlign w:val="center"/>
            <w:hideMark/>
          </w:tcPr>
          <w:p w14:paraId="2F77E14A"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250A9E70"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Nil–$484</w:t>
            </w:r>
          </w:p>
        </w:tc>
        <w:tc>
          <w:tcPr>
            <w:tcW w:w="885" w:type="dxa"/>
            <w:tcBorders>
              <w:top w:val="nil"/>
              <w:left w:val="nil"/>
              <w:bottom w:val="single" w:sz="4" w:space="0" w:color="auto"/>
              <w:right w:val="single" w:sz="8" w:space="0" w:color="auto"/>
            </w:tcBorders>
            <w:vAlign w:val="center"/>
            <w:hideMark/>
          </w:tcPr>
          <w:p w14:paraId="236CFE43"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Nil–$1,466</w:t>
            </w:r>
          </w:p>
        </w:tc>
        <w:tc>
          <w:tcPr>
            <w:tcW w:w="1223" w:type="dxa"/>
            <w:tcBorders>
              <w:top w:val="nil"/>
              <w:left w:val="nil"/>
              <w:bottom w:val="single" w:sz="4" w:space="0" w:color="auto"/>
              <w:right w:val="single" w:sz="4" w:space="0" w:color="auto"/>
            </w:tcBorders>
            <w:vAlign w:val="center"/>
            <w:hideMark/>
          </w:tcPr>
          <w:p w14:paraId="2763266F" w14:textId="4C7F11F9" w:rsidR="00335F31" w:rsidRPr="003E009A" w:rsidRDefault="00335F31" w:rsidP="00C329DD">
            <w:pPr>
              <w:jc w:val="both"/>
              <w:rPr>
                <w:rFonts w:ascii="Arial" w:hAnsi="Arial" w:cs="Arial"/>
                <w:b/>
                <w:bCs/>
                <w:color w:val="000000"/>
                <w:sz w:val="14"/>
                <w:szCs w:val="14"/>
                <w:lang w:eastAsia="en-AU"/>
              </w:rPr>
            </w:pPr>
            <w:r w:rsidRPr="003E009A">
              <w:rPr>
                <w:rFonts w:ascii="Arial" w:hAnsi="Arial" w:cs="Arial"/>
                <w:b/>
                <w:bCs/>
                <w:color w:val="000000"/>
                <w:sz w:val="14"/>
                <w:szCs w:val="14"/>
                <w:lang w:eastAsia="en-AU"/>
              </w:rPr>
              <w:t>Lodg</w:t>
            </w:r>
            <w:r w:rsidR="00BA5923">
              <w:rPr>
                <w:rFonts w:ascii="Arial" w:hAnsi="Arial" w:cs="Arial"/>
                <w:b/>
                <w:bCs/>
                <w:color w:val="000000"/>
                <w:sz w:val="14"/>
                <w:szCs w:val="14"/>
                <w:lang w:eastAsia="en-AU"/>
              </w:rPr>
              <w:t>e</w:t>
            </w:r>
            <w:r w:rsidRPr="003E009A">
              <w:rPr>
                <w:rFonts w:ascii="Arial" w:hAnsi="Arial" w:cs="Arial"/>
                <w:b/>
                <w:bCs/>
                <w:color w:val="000000"/>
                <w:sz w:val="14"/>
                <w:szCs w:val="14"/>
                <w:lang w:eastAsia="en-AU"/>
              </w:rPr>
              <w:t>ment</w:t>
            </w:r>
          </w:p>
        </w:tc>
        <w:tc>
          <w:tcPr>
            <w:tcW w:w="808" w:type="dxa"/>
            <w:tcBorders>
              <w:top w:val="nil"/>
              <w:left w:val="nil"/>
              <w:bottom w:val="single" w:sz="4" w:space="0" w:color="auto"/>
              <w:right w:val="single" w:sz="4" w:space="0" w:color="auto"/>
            </w:tcBorders>
            <w:vAlign w:val="center"/>
            <w:hideMark/>
          </w:tcPr>
          <w:p w14:paraId="21C63EDA"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$16–$83</w:t>
            </w:r>
          </w:p>
        </w:tc>
        <w:tc>
          <w:tcPr>
            <w:tcW w:w="823" w:type="dxa"/>
            <w:tcBorders>
              <w:top w:val="nil"/>
              <w:left w:val="nil"/>
              <w:bottom w:val="single" w:sz="4" w:space="0" w:color="auto"/>
              <w:right w:val="single" w:sz="4" w:space="0" w:color="auto"/>
            </w:tcBorders>
            <w:vAlign w:val="center"/>
            <w:hideMark/>
          </w:tcPr>
          <w:p w14:paraId="4D65F275"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$127–$330</w:t>
            </w:r>
          </w:p>
        </w:tc>
        <w:tc>
          <w:tcPr>
            <w:tcW w:w="1018" w:type="dxa"/>
            <w:tcBorders>
              <w:top w:val="nil"/>
              <w:left w:val="nil"/>
              <w:bottom w:val="single" w:sz="4" w:space="0" w:color="auto"/>
              <w:right w:val="single" w:sz="4" w:space="0" w:color="auto"/>
            </w:tcBorders>
            <w:vAlign w:val="center"/>
            <w:hideMark/>
          </w:tcPr>
          <w:p w14:paraId="5B13545C"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$124–$660</w:t>
            </w:r>
          </w:p>
        </w:tc>
        <w:tc>
          <w:tcPr>
            <w:tcW w:w="1300" w:type="dxa"/>
            <w:tcBorders>
              <w:top w:val="nil"/>
              <w:left w:val="single" w:sz="8" w:space="0" w:color="auto"/>
              <w:bottom w:val="single" w:sz="4" w:space="0" w:color="auto"/>
              <w:right w:val="single" w:sz="4" w:space="0" w:color="auto"/>
            </w:tcBorders>
            <w:vAlign w:val="center"/>
            <w:hideMark/>
          </w:tcPr>
          <w:p w14:paraId="0F982FCE" w14:textId="1AA7F40B"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Leave to appe</w:t>
            </w:r>
            <w:r w:rsidR="00BA5923">
              <w:rPr>
                <w:rFonts w:ascii="Arial" w:hAnsi="Arial" w:cs="Arial"/>
                <w:b/>
                <w:bCs/>
                <w:color w:val="000000"/>
                <w:sz w:val="14"/>
                <w:szCs w:val="14"/>
                <w:lang w:eastAsia="en-AU"/>
              </w:rPr>
              <w:t>a</w:t>
            </w:r>
            <w:r w:rsidRPr="003E009A">
              <w:rPr>
                <w:rFonts w:ascii="Arial" w:hAnsi="Arial" w:cs="Arial"/>
                <w:b/>
                <w:bCs/>
                <w:color w:val="000000"/>
                <w:sz w:val="14"/>
                <w:szCs w:val="14"/>
                <w:lang w:eastAsia="en-AU"/>
              </w:rPr>
              <w:t>l / Appeal</w:t>
            </w:r>
          </w:p>
        </w:tc>
        <w:tc>
          <w:tcPr>
            <w:tcW w:w="1776" w:type="dxa"/>
            <w:gridSpan w:val="2"/>
            <w:tcBorders>
              <w:top w:val="single" w:sz="4" w:space="0" w:color="auto"/>
              <w:left w:val="nil"/>
              <w:bottom w:val="single" w:sz="4" w:space="0" w:color="auto"/>
              <w:right w:val="single" w:sz="8" w:space="0" w:color="000000"/>
            </w:tcBorders>
            <w:vAlign w:val="center"/>
            <w:hideMark/>
          </w:tcPr>
          <w:p w14:paraId="5C6EB844"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$392–$785</w:t>
            </w:r>
          </w:p>
        </w:tc>
      </w:tr>
      <w:tr w:rsidR="000F7AF9" w:rsidRPr="003E009A" w14:paraId="2424CCCD" w14:textId="77777777" w:rsidTr="00C329DD">
        <w:trPr>
          <w:trHeight w:val="545"/>
        </w:trPr>
        <w:tc>
          <w:tcPr>
            <w:tcW w:w="1306" w:type="dxa"/>
            <w:tcBorders>
              <w:top w:val="nil"/>
              <w:left w:val="single" w:sz="8" w:space="0" w:color="auto"/>
              <w:bottom w:val="single" w:sz="4" w:space="0" w:color="auto"/>
              <w:right w:val="single" w:sz="4" w:space="0" w:color="auto"/>
            </w:tcBorders>
            <w:vAlign w:val="center"/>
            <w:hideMark/>
          </w:tcPr>
          <w:p w14:paraId="7B070F05" w14:textId="6D7BE53D"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App</w:t>
            </w:r>
            <w:r>
              <w:rPr>
                <w:rFonts w:ascii="Arial" w:hAnsi="Arial" w:cs="Arial"/>
                <w:b/>
                <w:bCs/>
                <w:color w:val="000000"/>
                <w:sz w:val="14"/>
                <w:szCs w:val="14"/>
                <w:lang w:eastAsia="en-AU"/>
              </w:rPr>
              <w:t>lication &amp;</w:t>
            </w:r>
            <w:r w:rsidRPr="003E009A">
              <w:rPr>
                <w:rFonts w:ascii="Arial" w:hAnsi="Arial" w:cs="Arial"/>
                <w:b/>
                <w:bCs/>
                <w:color w:val="000000"/>
                <w:sz w:val="14"/>
                <w:szCs w:val="14"/>
                <w:lang w:eastAsia="en-AU"/>
              </w:rPr>
              <w:t xml:space="preserve"> other matter</w:t>
            </w:r>
            <w:r>
              <w:rPr>
                <w:rFonts w:ascii="Arial" w:hAnsi="Arial" w:cs="Arial"/>
                <w:b/>
                <w:bCs/>
                <w:color w:val="000000"/>
                <w:sz w:val="14"/>
                <w:szCs w:val="14"/>
                <w:lang w:eastAsia="en-AU"/>
              </w:rPr>
              <w:t>s</w:t>
            </w:r>
          </w:p>
        </w:tc>
        <w:tc>
          <w:tcPr>
            <w:tcW w:w="1010" w:type="dxa"/>
            <w:tcBorders>
              <w:top w:val="nil"/>
              <w:left w:val="nil"/>
              <w:bottom w:val="single" w:sz="4" w:space="0" w:color="auto"/>
              <w:right w:val="single" w:sz="4" w:space="0" w:color="auto"/>
            </w:tcBorders>
            <w:vAlign w:val="center"/>
            <w:hideMark/>
          </w:tcPr>
          <w:p w14:paraId="58D8397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7A214D70"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Nil–$129</w:t>
            </w:r>
          </w:p>
        </w:tc>
        <w:tc>
          <w:tcPr>
            <w:tcW w:w="885" w:type="dxa"/>
            <w:tcBorders>
              <w:top w:val="nil"/>
              <w:left w:val="nil"/>
              <w:bottom w:val="single" w:sz="4" w:space="0" w:color="auto"/>
              <w:right w:val="single" w:sz="8" w:space="0" w:color="auto"/>
            </w:tcBorders>
            <w:vAlign w:val="center"/>
            <w:hideMark/>
          </w:tcPr>
          <w:p w14:paraId="6AA4BF44"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Nil–$185</w:t>
            </w:r>
          </w:p>
        </w:tc>
        <w:tc>
          <w:tcPr>
            <w:tcW w:w="1010" w:type="dxa"/>
            <w:tcBorders>
              <w:top w:val="nil"/>
              <w:left w:val="single" w:sz="4" w:space="0" w:color="auto"/>
              <w:bottom w:val="single" w:sz="4" w:space="0" w:color="auto"/>
              <w:right w:val="single" w:sz="4" w:space="0" w:color="auto"/>
            </w:tcBorders>
            <w:vAlign w:val="center"/>
            <w:hideMark/>
          </w:tcPr>
          <w:p w14:paraId="4D4A7E07"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3DD1A2B7"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Nil–$135</w:t>
            </w:r>
          </w:p>
        </w:tc>
        <w:tc>
          <w:tcPr>
            <w:tcW w:w="885" w:type="dxa"/>
            <w:tcBorders>
              <w:top w:val="nil"/>
              <w:left w:val="nil"/>
              <w:bottom w:val="single" w:sz="4" w:space="0" w:color="auto"/>
              <w:right w:val="single" w:sz="8" w:space="0" w:color="auto"/>
            </w:tcBorders>
            <w:vAlign w:val="center"/>
            <w:hideMark/>
          </w:tcPr>
          <w:p w14:paraId="2E5C2DF5"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Nil–$409</w:t>
            </w:r>
          </w:p>
        </w:tc>
        <w:tc>
          <w:tcPr>
            <w:tcW w:w="3872" w:type="dxa"/>
            <w:gridSpan w:val="4"/>
            <w:tcBorders>
              <w:top w:val="single" w:sz="4" w:space="0" w:color="auto"/>
              <w:left w:val="nil"/>
              <w:bottom w:val="single" w:sz="4" w:space="0" w:color="auto"/>
              <w:right w:val="single" w:sz="8" w:space="0" w:color="000000"/>
            </w:tcBorders>
            <w:shd w:val="clear" w:color="000000" w:fill="F2F2F2"/>
            <w:vAlign w:val="center"/>
            <w:hideMark/>
          </w:tcPr>
          <w:p w14:paraId="215BE3ED"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1300" w:type="dxa"/>
            <w:tcBorders>
              <w:top w:val="nil"/>
              <w:left w:val="nil"/>
              <w:bottom w:val="single" w:sz="4" w:space="0" w:color="auto"/>
              <w:right w:val="single" w:sz="4" w:space="0" w:color="auto"/>
            </w:tcBorders>
            <w:vAlign w:val="center"/>
            <w:hideMark/>
          </w:tcPr>
          <w:p w14:paraId="5D43BF5B" w14:textId="382F92F8"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 xml:space="preserve">Application </w:t>
            </w:r>
          </w:p>
        </w:tc>
        <w:tc>
          <w:tcPr>
            <w:tcW w:w="1776" w:type="dxa"/>
            <w:gridSpan w:val="2"/>
            <w:tcBorders>
              <w:top w:val="single" w:sz="4" w:space="0" w:color="auto"/>
              <w:left w:val="nil"/>
              <w:bottom w:val="single" w:sz="4" w:space="0" w:color="auto"/>
              <w:right w:val="single" w:sz="8" w:space="0" w:color="000000"/>
            </w:tcBorders>
            <w:vAlign w:val="center"/>
            <w:hideMark/>
          </w:tcPr>
          <w:p w14:paraId="0B10F21C" w14:textId="1AA2D6C9" w:rsidR="00335F31" w:rsidRPr="003E009A" w:rsidRDefault="00052F9E" w:rsidP="00335F31">
            <w:pPr>
              <w:rPr>
                <w:rFonts w:ascii="Arial" w:hAnsi="Arial" w:cs="Arial"/>
                <w:color w:val="000000"/>
                <w:sz w:val="14"/>
                <w:szCs w:val="14"/>
                <w:lang w:eastAsia="en-AU"/>
              </w:rPr>
            </w:pPr>
            <w:r>
              <w:rPr>
                <w:rFonts w:ascii="Arial" w:hAnsi="Arial" w:cs="Arial"/>
                <w:color w:val="000000"/>
                <w:sz w:val="14"/>
                <w:szCs w:val="14"/>
                <w:lang w:eastAsia="en-AU"/>
              </w:rPr>
              <w:t>$93.15</w:t>
            </w:r>
            <w:r w:rsidR="00335F31" w:rsidRPr="003E009A">
              <w:rPr>
                <w:rFonts w:ascii="Arial" w:hAnsi="Arial" w:cs="Arial"/>
                <w:color w:val="000000"/>
                <w:sz w:val="14"/>
                <w:szCs w:val="14"/>
                <w:lang w:eastAsia="en-AU"/>
              </w:rPr>
              <w:t>–$392</w:t>
            </w:r>
          </w:p>
        </w:tc>
      </w:tr>
      <w:tr w:rsidR="000F7AF9" w:rsidRPr="003E009A" w14:paraId="45F298BB" w14:textId="77777777" w:rsidTr="00F55471">
        <w:trPr>
          <w:trHeight w:val="566"/>
        </w:trPr>
        <w:tc>
          <w:tcPr>
            <w:tcW w:w="1306" w:type="dxa"/>
            <w:tcBorders>
              <w:top w:val="nil"/>
              <w:left w:val="single" w:sz="8" w:space="0" w:color="auto"/>
              <w:bottom w:val="single" w:sz="4" w:space="0" w:color="auto"/>
              <w:right w:val="single" w:sz="4" w:space="0" w:color="auto"/>
            </w:tcBorders>
            <w:vAlign w:val="center"/>
            <w:hideMark/>
          </w:tcPr>
          <w:p w14:paraId="32D1A9E4" w14:textId="02DE9918"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Hearing</w:t>
            </w:r>
          </w:p>
        </w:tc>
        <w:tc>
          <w:tcPr>
            <w:tcW w:w="1010" w:type="dxa"/>
            <w:tcBorders>
              <w:top w:val="nil"/>
              <w:left w:val="nil"/>
              <w:bottom w:val="single" w:sz="4" w:space="0" w:color="auto"/>
              <w:right w:val="single" w:sz="4" w:space="0" w:color="auto"/>
            </w:tcBorders>
            <w:vAlign w:val="center"/>
            <w:hideMark/>
          </w:tcPr>
          <w:p w14:paraId="306F6C5E"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3D9D1223"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Nil–$1,236</w:t>
            </w:r>
          </w:p>
        </w:tc>
        <w:tc>
          <w:tcPr>
            <w:tcW w:w="885" w:type="dxa"/>
            <w:tcBorders>
              <w:top w:val="nil"/>
              <w:left w:val="nil"/>
              <w:bottom w:val="single" w:sz="4" w:space="0" w:color="auto"/>
              <w:right w:val="single" w:sz="8" w:space="0" w:color="auto"/>
            </w:tcBorders>
            <w:vAlign w:val="center"/>
            <w:hideMark/>
          </w:tcPr>
          <w:p w14:paraId="4DCDA733"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Nil–$1,765</w:t>
            </w:r>
          </w:p>
        </w:tc>
        <w:tc>
          <w:tcPr>
            <w:tcW w:w="1010" w:type="dxa"/>
            <w:tcBorders>
              <w:top w:val="nil"/>
              <w:left w:val="single" w:sz="4" w:space="0" w:color="auto"/>
              <w:bottom w:val="single" w:sz="4" w:space="0" w:color="auto"/>
              <w:right w:val="single" w:sz="4" w:space="0" w:color="auto"/>
            </w:tcBorders>
            <w:vAlign w:val="center"/>
            <w:hideMark/>
          </w:tcPr>
          <w:p w14:paraId="65942B3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w:t>
            </w:r>
          </w:p>
        </w:tc>
        <w:tc>
          <w:tcPr>
            <w:tcW w:w="844" w:type="dxa"/>
            <w:tcBorders>
              <w:top w:val="nil"/>
              <w:left w:val="nil"/>
              <w:bottom w:val="single" w:sz="4" w:space="0" w:color="auto"/>
              <w:right w:val="single" w:sz="4" w:space="0" w:color="auto"/>
            </w:tcBorders>
            <w:vAlign w:val="center"/>
            <w:hideMark/>
          </w:tcPr>
          <w:p w14:paraId="004BA997"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Nil–$672</w:t>
            </w:r>
          </w:p>
        </w:tc>
        <w:tc>
          <w:tcPr>
            <w:tcW w:w="885" w:type="dxa"/>
            <w:tcBorders>
              <w:top w:val="nil"/>
              <w:left w:val="nil"/>
              <w:bottom w:val="single" w:sz="4" w:space="0" w:color="auto"/>
              <w:right w:val="single" w:sz="8" w:space="0" w:color="auto"/>
            </w:tcBorders>
            <w:vAlign w:val="center"/>
            <w:hideMark/>
          </w:tcPr>
          <w:p w14:paraId="71B5C4F1"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Nil–$2,038</w:t>
            </w:r>
          </w:p>
        </w:tc>
        <w:tc>
          <w:tcPr>
            <w:tcW w:w="3872" w:type="dxa"/>
            <w:gridSpan w:val="4"/>
            <w:tcBorders>
              <w:top w:val="single" w:sz="4" w:space="0" w:color="auto"/>
              <w:left w:val="nil"/>
              <w:bottom w:val="single" w:sz="4" w:space="0" w:color="auto"/>
              <w:right w:val="single" w:sz="8" w:space="0" w:color="000000"/>
            </w:tcBorders>
            <w:shd w:val="clear" w:color="000000" w:fill="F2F2F2"/>
            <w:vAlign w:val="center"/>
            <w:hideMark/>
          </w:tcPr>
          <w:p w14:paraId="65514F81"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3076" w:type="dxa"/>
            <w:gridSpan w:val="3"/>
            <w:tcBorders>
              <w:top w:val="single" w:sz="4" w:space="0" w:color="auto"/>
              <w:left w:val="nil"/>
              <w:bottom w:val="single" w:sz="4" w:space="0" w:color="auto"/>
              <w:right w:val="single" w:sz="8" w:space="0" w:color="000000"/>
            </w:tcBorders>
            <w:shd w:val="clear" w:color="000000" w:fill="F2F2F2"/>
            <w:vAlign w:val="center"/>
            <w:hideMark/>
          </w:tcPr>
          <w:p w14:paraId="7B63FD1F"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r>
      <w:tr w:rsidR="000F7AF9" w:rsidRPr="003E009A" w14:paraId="2FF8538C" w14:textId="77777777" w:rsidTr="00F55471">
        <w:trPr>
          <w:trHeight w:val="560"/>
        </w:trPr>
        <w:tc>
          <w:tcPr>
            <w:tcW w:w="1306" w:type="dxa"/>
            <w:tcBorders>
              <w:top w:val="nil"/>
              <w:left w:val="single" w:sz="8" w:space="0" w:color="auto"/>
              <w:bottom w:val="single" w:sz="4" w:space="0" w:color="auto"/>
              <w:right w:val="single" w:sz="4" w:space="0" w:color="auto"/>
            </w:tcBorders>
            <w:vAlign w:val="center"/>
            <w:hideMark/>
          </w:tcPr>
          <w:p w14:paraId="06DA0B30" w14:textId="18C9BAF0"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Administrative</w:t>
            </w:r>
          </w:p>
        </w:tc>
        <w:tc>
          <w:tcPr>
            <w:tcW w:w="1010" w:type="dxa"/>
            <w:tcBorders>
              <w:top w:val="nil"/>
              <w:left w:val="nil"/>
              <w:bottom w:val="single" w:sz="4" w:space="0" w:color="auto"/>
              <w:right w:val="nil"/>
            </w:tcBorders>
            <w:vAlign w:val="center"/>
            <w:hideMark/>
          </w:tcPr>
          <w:p w14:paraId="75EBEE53"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 $0.60–$50 </w:t>
            </w:r>
          </w:p>
        </w:tc>
        <w:tc>
          <w:tcPr>
            <w:tcW w:w="1729" w:type="dxa"/>
            <w:gridSpan w:val="2"/>
            <w:tcBorders>
              <w:top w:val="single" w:sz="4" w:space="0" w:color="auto"/>
              <w:left w:val="single" w:sz="4" w:space="0" w:color="auto"/>
              <w:bottom w:val="single" w:sz="4" w:space="0" w:color="auto"/>
              <w:right w:val="single" w:sz="8" w:space="0" w:color="000000"/>
            </w:tcBorders>
            <w:vAlign w:val="center"/>
            <w:hideMark/>
          </w:tcPr>
          <w:p w14:paraId="7722E7B3"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$0.60–$136 </w:t>
            </w:r>
          </w:p>
        </w:tc>
        <w:tc>
          <w:tcPr>
            <w:tcW w:w="1010" w:type="dxa"/>
            <w:tcBorders>
              <w:top w:val="nil"/>
              <w:left w:val="single" w:sz="4" w:space="0" w:color="auto"/>
              <w:bottom w:val="single" w:sz="4" w:space="0" w:color="auto"/>
              <w:right w:val="single" w:sz="4" w:space="0" w:color="auto"/>
            </w:tcBorders>
            <w:vAlign w:val="center"/>
            <w:hideMark/>
          </w:tcPr>
          <w:p w14:paraId="111FC07B"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$0.60–$100</w:t>
            </w:r>
          </w:p>
        </w:tc>
        <w:tc>
          <w:tcPr>
            <w:tcW w:w="1729" w:type="dxa"/>
            <w:gridSpan w:val="2"/>
            <w:tcBorders>
              <w:top w:val="single" w:sz="4" w:space="0" w:color="auto"/>
              <w:left w:val="nil"/>
              <w:bottom w:val="single" w:sz="4" w:space="0" w:color="auto"/>
              <w:right w:val="single" w:sz="8" w:space="0" w:color="000000"/>
            </w:tcBorders>
            <w:vAlign w:val="center"/>
            <w:hideMark/>
          </w:tcPr>
          <w:p w14:paraId="0A27EB4E"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$0.60–$301 </w:t>
            </w:r>
          </w:p>
        </w:tc>
        <w:tc>
          <w:tcPr>
            <w:tcW w:w="1223" w:type="dxa"/>
            <w:tcBorders>
              <w:top w:val="nil"/>
              <w:left w:val="nil"/>
              <w:bottom w:val="single" w:sz="4" w:space="0" w:color="auto"/>
              <w:right w:val="single" w:sz="4" w:space="0" w:color="auto"/>
            </w:tcBorders>
            <w:vAlign w:val="center"/>
            <w:hideMark/>
          </w:tcPr>
          <w:p w14:paraId="387AC0CA" w14:textId="4C7DF4D1"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services</w:t>
            </w:r>
          </w:p>
        </w:tc>
        <w:tc>
          <w:tcPr>
            <w:tcW w:w="2649" w:type="dxa"/>
            <w:gridSpan w:val="3"/>
            <w:tcBorders>
              <w:top w:val="single" w:sz="4" w:space="0" w:color="auto"/>
              <w:left w:val="nil"/>
              <w:bottom w:val="single" w:sz="4" w:space="0" w:color="auto"/>
              <w:right w:val="single" w:sz="8" w:space="0" w:color="000000"/>
            </w:tcBorders>
            <w:vAlign w:val="center"/>
            <w:hideMark/>
          </w:tcPr>
          <w:p w14:paraId="5842DABA"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$52–$101 </w:t>
            </w:r>
          </w:p>
        </w:tc>
        <w:tc>
          <w:tcPr>
            <w:tcW w:w="1300" w:type="dxa"/>
            <w:tcBorders>
              <w:top w:val="nil"/>
              <w:left w:val="nil"/>
              <w:bottom w:val="single" w:sz="4" w:space="0" w:color="auto"/>
              <w:right w:val="single" w:sz="4" w:space="0" w:color="auto"/>
            </w:tcBorders>
            <w:vAlign w:val="center"/>
            <w:hideMark/>
          </w:tcPr>
          <w:p w14:paraId="17CDE724" w14:textId="7777777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fees</w:t>
            </w:r>
          </w:p>
        </w:tc>
        <w:tc>
          <w:tcPr>
            <w:tcW w:w="1783" w:type="dxa"/>
            <w:gridSpan w:val="2"/>
            <w:tcBorders>
              <w:top w:val="single" w:sz="4" w:space="0" w:color="auto"/>
              <w:left w:val="nil"/>
              <w:bottom w:val="single" w:sz="4" w:space="0" w:color="auto"/>
              <w:right w:val="single" w:sz="8" w:space="0" w:color="000000"/>
            </w:tcBorders>
            <w:vAlign w:val="center"/>
            <w:hideMark/>
          </w:tcPr>
          <w:p w14:paraId="51291430"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 $1.40–$228 </w:t>
            </w:r>
          </w:p>
        </w:tc>
      </w:tr>
      <w:tr w:rsidR="00335F31" w:rsidRPr="003E009A" w14:paraId="1F62C115" w14:textId="77777777" w:rsidTr="00335F31">
        <w:trPr>
          <w:trHeight w:val="583"/>
        </w:trPr>
        <w:tc>
          <w:tcPr>
            <w:tcW w:w="4045" w:type="dxa"/>
            <w:gridSpan w:val="4"/>
            <w:tcBorders>
              <w:top w:val="single" w:sz="4" w:space="0" w:color="auto"/>
              <w:left w:val="single" w:sz="8" w:space="0" w:color="auto"/>
              <w:bottom w:val="single" w:sz="4" w:space="0" w:color="auto"/>
              <w:right w:val="single" w:sz="8" w:space="0" w:color="000000"/>
            </w:tcBorders>
            <w:shd w:val="clear" w:color="000000" w:fill="D9D9D9"/>
            <w:vAlign w:val="center"/>
            <w:hideMark/>
          </w:tcPr>
          <w:p w14:paraId="64AA0117" w14:textId="77777777" w:rsidR="00F10335" w:rsidRPr="003E009A" w:rsidRDefault="00F10335">
            <w:pPr>
              <w:jc w:val="center"/>
              <w:rPr>
                <w:rFonts w:ascii="Arial" w:hAnsi="Arial" w:cs="Arial"/>
                <w:b/>
                <w:bCs/>
                <w:i/>
                <w:iCs/>
                <w:color w:val="000000"/>
                <w:sz w:val="14"/>
                <w:szCs w:val="14"/>
                <w:lang w:eastAsia="en-AU"/>
              </w:rPr>
            </w:pPr>
            <w:r w:rsidRPr="003E009A">
              <w:rPr>
                <w:rFonts w:ascii="Arial" w:hAnsi="Arial" w:cs="Arial"/>
                <w:b/>
                <w:bCs/>
                <w:i/>
                <w:iCs/>
                <w:color w:val="000000"/>
                <w:sz w:val="14"/>
                <w:szCs w:val="14"/>
                <w:lang w:eastAsia="en-AU"/>
              </w:rPr>
              <w:t>Planning and Environment Division</w:t>
            </w:r>
          </w:p>
        </w:tc>
        <w:tc>
          <w:tcPr>
            <w:tcW w:w="2739" w:type="dxa"/>
            <w:gridSpan w:val="3"/>
            <w:tcBorders>
              <w:top w:val="single" w:sz="4" w:space="0" w:color="auto"/>
              <w:left w:val="nil"/>
              <w:bottom w:val="single" w:sz="4" w:space="0" w:color="auto"/>
              <w:right w:val="nil"/>
            </w:tcBorders>
            <w:shd w:val="clear" w:color="000000" w:fill="D9D9D9"/>
            <w:vAlign w:val="center"/>
            <w:hideMark/>
          </w:tcPr>
          <w:p w14:paraId="68F8CA63"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color w:val="000000"/>
                <w:sz w:val="14"/>
                <w:szCs w:val="14"/>
                <w:lang w:eastAsia="en-AU"/>
              </w:rPr>
              <w:t xml:space="preserve">Comparable proceeding types within </w:t>
            </w:r>
            <w:r w:rsidRPr="003E009A">
              <w:rPr>
                <w:rFonts w:ascii="Arial" w:hAnsi="Arial" w:cs="Arial"/>
                <w:b/>
                <w:bCs/>
                <w:color w:val="000000"/>
                <w:sz w:val="14"/>
                <w:szCs w:val="14"/>
                <w:lang w:eastAsia="en-AU"/>
              </w:rPr>
              <w:br/>
            </w:r>
            <w:r w:rsidRPr="003E009A">
              <w:rPr>
                <w:rFonts w:ascii="Arial" w:hAnsi="Arial" w:cs="Arial"/>
                <w:b/>
                <w:bCs/>
                <w:i/>
                <w:iCs/>
                <w:color w:val="000000"/>
                <w:sz w:val="14"/>
                <w:szCs w:val="14"/>
                <w:lang w:eastAsia="en-AU"/>
              </w:rPr>
              <w:t>Land &amp; Environment Division</w:t>
            </w:r>
          </w:p>
        </w:tc>
        <w:tc>
          <w:tcPr>
            <w:tcW w:w="3872" w:type="dxa"/>
            <w:gridSpan w:val="4"/>
            <w:tcBorders>
              <w:top w:val="single" w:sz="4" w:space="0" w:color="auto"/>
              <w:left w:val="single" w:sz="8" w:space="0" w:color="auto"/>
              <w:bottom w:val="single" w:sz="4" w:space="0" w:color="auto"/>
              <w:right w:val="single" w:sz="8" w:space="0" w:color="000000"/>
            </w:tcBorders>
            <w:shd w:val="clear" w:color="000000" w:fill="A6A6A6"/>
            <w:vAlign w:val="center"/>
            <w:hideMark/>
          </w:tcPr>
          <w:p w14:paraId="2B791B8C"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Land and Environment Court of NSW</w:t>
            </w:r>
          </w:p>
        </w:tc>
        <w:tc>
          <w:tcPr>
            <w:tcW w:w="3083" w:type="dxa"/>
            <w:gridSpan w:val="3"/>
            <w:tcBorders>
              <w:top w:val="single" w:sz="4" w:space="0" w:color="auto"/>
              <w:left w:val="nil"/>
              <w:bottom w:val="single" w:sz="4" w:space="0" w:color="auto"/>
              <w:right w:val="single" w:sz="8" w:space="0" w:color="000000"/>
            </w:tcBorders>
            <w:shd w:val="clear" w:color="000000" w:fill="A6A6A6"/>
            <w:vAlign w:val="center"/>
            <w:hideMark/>
          </w:tcPr>
          <w:p w14:paraId="60228CB2" w14:textId="77777777" w:rsidR="00F10335" w:rsidRPr="003E009A" w:rsidRDefault="00F10335">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Planning and Environment Court of Queensland</w:t>
            </w:r>
          </w:p>
        </w:tc>
      </w:tr>
      <w:tr w:rsidR="00F10335" w:rsidRPr="003E009A" w14:paraId="7D9602F9" w14:textId="77777777" w:rsidTr="00335F31">
        <w:trPr>
          <w:trHeight w:val="606"/>
        </w:trPr>
        <w:tc>
          <w:tcPr>
            <w:tcW w:w="1306" w:type="dxa"/>
            <w:tcBorders>
              <w:top w:val="nil"/>
              <w:left w:val="single" w:sz="8" w:space="0" w:color="auto"/>
              <w:bottom w:val="single" w:sz="4" w:space="0" w:color="auto"/>
              <w:right w:val="single" w:sz="4" w:space="0" w:color="auto"/>
            </w:tcBorders>
            <w:vAlign w:val="center"/>
            <w:hideMark/>
          </w:tcPr>
          <w:p w14:paraId="46FE3EFC" w14:textId="3581E583"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010" w:type="dxa"/>
            <w:tcBorders>
              <w:top w:val="nil"/>
              <w:left w:val="nil"/>
              <w:bottom w:val="single" w:sz="4" w:space="0" w:color="auto"/>
              <w:right w:val="single" w:sz="4" w:space="0" w:color="auto"/>
            </w:tcBorders>
            <w:shd w:val="clear" w:color="000000" w:fill="EFFFFE"/>
            <w:vAlign w:val="center"/>
            <w:hideMark/>
          </w:tcPr>
          <w:p w14:paraId="22C317D9"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3176B28E"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single" w:sz="8" w:space="0" w:color="auto"/>
            </w:tcBorders>
            <w:shd w:val="clear" w:color="000000" w:fill="F5DEFA"/>
            <w:vAlign w:val="center"/>
            <w:hideMark/>
          </w:tcPr>
          <w:p w14:paraId="31ACB972"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010" w:type="dxa"/>
            <w:tcBorders>
              <w:top w:val="nil"/>
              <w:left w:val="nil"/>
              <w:bottom w:val="single" w:sz="4" w:space="0" w:color="auto"/>
              <w:right w:val="single" w:sz="4" w:space="0" w:color="auto"/>
            </w:tcBorders>
            <w:shd w:val="clear" w:color="000000" w:fill="EFFFFE"/>
            <w:vAlign w:val="center"/>
            <w:hideMark/>
          </w:tcPr>
          <w:p w14:paraId="4A53054F"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Concession</w:t>
            </w:r>
          </w:p>
        </w:tc>
        <w:tc>
          <w:tcPr>
            <w:tcW w:w="844" w:type="dxa"/>
            <w:tcBorders>
              <w:top w:val="nil"/>
              <w:left w:val="nil"/>
              <w:bottom w:val="single" w:sz="4" w:space="0" w:color="auto"/>
              <w:right w:val="single" w:sz="4" w:space="0" w:color="auto"/>
            </w:tcBorders>
            <w:shd w:val="clear" w:color="000000" w:fill="F7DDDE"/>
            <w:vAlign w:val="center"/>
            <w:hideMark/>
          </w:tcPr>
          <w:p w14:paraId="6DFF78B2"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885" w:type="dxa"/>
            <w:tcBorders>
              <w:top w:val="nil"/>
              <w:left w:val="nil"/>
              <w:bottom w:val="single" w:sz="4" w:space="0" w:color="auto"/>
              <w:right w:val="nil"/>
            </w:tcBorders>
            <w:shd w:val="clear" w:color="000000" w:fill="F5DEFA"/>
            <w:vAlign w:val="center"/>
            <w:hideMark/>
          </w:tcPr>
          <w:p w14:paraId="7CC62C10"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Corporate</w:t>
            </w:r>
          </w:p>
        </w:tc>
        <w:tc>
          <w:tcPr>
            <w:tcW w:w="1223" w:type="dxa"/>
            <w:tcBorders>
              <w:top w:val="nil"/>
              <w:left w:val="single" w:sz="8" w:space="0" w:color="auto"/>
              <w:bottom w:val="single" w:sz="4" w:space="0" w:color="auto"/>
              <w:right w:val="single" w:sz="4" w:space="0" w:color="auto"/>
            </w:tcBorders>
            <w:vAlign w:val="center"/>
            <w:hideMark/>
          </w:tcPr>
          <w:p w14:paraId="59955520" w14:textId="76769C3C"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1631" w:type="dxa"/>
            <w:gridSpan w:val="2"/>
            <w:tcBorders>
              <w:top w:val="single" w:sz="4" w:space="0" w:color="auto"/>
              <w:left w:val="nil"/>
              <w:bottom w:val="single" w:sz="4" w:space="0" w:color="auto"/>
              <w:right w:val="single" w:sz="4" w:space="0" w:color="000000"/>
            </w:tcBorders>
            <w:shd w:val="clear" w:color="000000" w:fill="F7DDDE"/>
            <w:vAlign w:val="center"/>
            <w:hideMark/>
          </w:tcPr>
          <w:p w14:paraId="50EF9B71"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Standard</w:t>
            </w:r>
          </w:p>
        </w:tc>
        <w:tc>
          <w:tcPr>
            <w:tcW w:w="1018" w:type="dxa"/>
            <w:tcBorders>
              <w:top w:val="nil"/>
              <w:left w:val="nil"/>
              <w:bottom w:val="single" w:sz="4" w:space="0" w:color="auto"/>
              <w:right w:val="single" w:sz="8" w:space="0" w:color="auto"/>
            </w:tcBorders>
            <w:shd w:val="clear" w:color="000000" w:fill="F5DEFA"/>
            <w:vAlign w:val="center"/>
            <w:hideMark/>
          </w:tcPr>
          <w:p w14:paraId="132B30B2"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Corporation</w:t>
            </w:r>
          </w:p>
        </w:tc>
        <w:tc>
          <w:tcPr>
            <w:tcW w:w="1300" w:type="dxa"/>
            <w:tcBorders>
              <w:top w:val="nil"/>
              <w:left w:val="nil"/>
              <w:bottom w:val="single" w:sz="4" w:space="0" w:color="auto"/>
              <w:right w:val="single" w:sz="4" w:space="0" w:color="auto"/>
            </w:tcBorders>
            <w:vAlign w:val="center"/>
            <w:hideMark/>
          </w:tcPr>
          <w:p w14:paraId="7AF7CCB1" w14:textId="68B37CF9"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 </w:t>
            </w:r>
            <w:r w:rsidR="00335F31">
              <w:rPr>
                <w:rFonts w:ascii="Arial" w:hAnsi="Arial" w:cs="Arial"/>
                <w:b/>
                <w:bCs/>
                <w:color w:val="000000"/>
                <w:sz w:val="14"/>
                <w:szCs w:val="14"/>
                <w:lang w:eastAsia="en-AU"/>
              </w:rPr>
              <w:t>FEE TYPES</w:t>
            </w:r>
          </w:p>
        </w:tc>
        <w:tc>
          <w:tcPr>
            <w:tcW w:w="881" w:type="dxa"/>
            <w:tcBorders>
              <w:top w:val="nil"/>
              <w:left w:val="nil"/>
              <w:bottom w:val="single" w:sz="4" w:space="0" w:color="auto"/>
              <w:right w:val="single" w:sz="4" w:space="0" w:color="auto"/>
            </w:tcBorders>
            <w:shd w:val="clear" w:color="000000" w:fill="F7DDDE"/>
            <w:vAlign w:val="center"/>
            <w:hideMark/>
          </w:tcPr>
          <w:p w14:paraId="0F748CB4"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Individual</w:t>
            </w:r>
          </w:p>
        </w:tc>
        <w:tc>
          <w:tcPr>
            <w:tcW w:w="895" w:type="dxa"/>
            <w:tcBorders>
              <w:top w:val="nil"/>
              <w:left w:val="nil"/>
              <w:bottom w:val="single" w:sz="4" w:space="0" w:color="auto"/>
              <w:right w:val="single" w:sz="8" w:space="0" w:color="auto"/>
            </w:tcBorders>
            <w:shd w:val="clear" w:color="000000" w:fill="F5DEFA"/>
            <w:vAlign w:val="center"/>
            <w:hideMark/>
          </w:tcPr>
          <w:p w14:paraId="0546862C" w14:textId="77777777" w:rsidR="00F10335" w:rsidRPr="003E009A" w:rsidRDefault="00F10335">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Otherwise</w:t>
            </w:r>
          </w:p>
        </w:tc>
      </w:tr>
      <w:tr w:rsidR="000F7AF9" w:rsidRPr="003E009A" w14:paraId="03EB926F" w14:textId="77777777" w:rsidTr="00C41FD7">
        <w:trPr>
          <w:trHeight w:val="639"/>
        </w:trPr>
        <w:tc>
          <w:tcPr>
            <w:tcW w:w="1306" w:type="dxa"/>
            <w:tcBorders>
              <w:top w:val="nil"/>
              <w:left w:val="single" w:sz="8" w:space="0" w:color="auto"/>
              <w:bottom w:val="single" w:sz="4" w:space="0" w:color="auto"/>
              <w:right w:val="single" w:sz="4" w:space="0" w:color="auto"/>
            </w:tcBorders>
            <w:vAlign w:val="center"/>
            <w:hideMark/>
          </w:tcPr>
          <w:p w14:paraId="7EFD051C" w14:textId="6BA43EC5"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Commencement</w:t>
            </w:r>
          </w:p>
        </w:tc>
        <w:tc>
          <w:tcPr>
            <w:tcW w:w="1010" w:type="dxa"/>
            <w:tcBorders>
              <w:top w:val="nil"/>
              <w:left w:val="nil"/>
              <w:bottom w:val="single" w:sz="4" w:space="0" w:color="auto"/>
              <w:right w:val="single" w:sz="4" w:space="0" w:color="auto"/>
            </w:tcBorders>
            <w:vAlign w:val="center"/>
            <w:hideMark/>
          </w:tcPr>
          <w:p w14:paraId="4BBA10B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$100–$185 | </w:t>
            </w:r>
            <w:r w:rsidRPr="003E009A">
              <w:rPr>
                <w:rFonts w:ascii="Arial" w:hAnsi="Arial" w:cs="Arial"/>
                <w:color w:val="215C98"/>
                <w:sz w:val="14"/>
                <w:szCs w:val="14"/>
                <w:lang w:eastAsia="en-AU"/>
              </w:rPr>
              <w:t>$3,462-$5,161**</w:t>
            </w:r>
          </w:p>
        </w:tc>
        <w:tc>
          <w:tcPr>
            <w:tcW w:w="844" w:type="dxa"/>
            <w:tcBorders>
              <w:top w:val="nil"/>
              <w:left w:val="nil"/>
              <w:bottom w:val="single" w:sz="4" w:space="0" w:color="auto"/>
              <w:right w:val="single" w:sz="4" w:space="0" w:color="auto"/>
            </w:tcBorders>
            <w:vAlign w:val="center"/>
            <w:hideMark/>
          </w:tcPr>
          <w:p w14:paraId="3C1FF49A"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$200–$2,295 | </w:t>
            </w:r>
            <w:r w:rsidRPr="003E009A">
              <w:rPr>
                <w:rFonts w:ascii="Arial" w:hAnsi="Arial" w:cs="Arial"/>
                <w:color w:val="215C98"/>
                <w:sz w:val="14"/>
                <w:szCs w:val="14"/>
                <w:lang w:eastAsia="en-AU"/>
              </w:rPr>
              <w:t>$3,462-$5,161**</w:t>
            </w:r>
          </w:p>
        </w:tc>
        <w:tc>
          <w:tcPr>
            <w:tcW w:w="885" w:type="dxa"/>
            <w:tcBorders>
              <w:top w:val="nil"/>
              <w:left w:val="nil"/>
              <w:bottom w:val="single" w:sz="4" w:space="0" w:color="auto"/>
              <w:right w:val="single" w:sz="8" w:space="0" w:color="auto"/>
            </w:tcBorders>
            <w:vAlign w:val="center"/>
            <w:hideMark/>
          </w:tcPr>
          <w:p w14:paraId="30F793A9"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$286–$3,278 | </w:t>
            </w:r>
            <w:r w:rsidRPr="003E009A">
              <w:rPr>
                <w:rFonts w:ascii="Arial" w:hAnsi="Arial" w:cs="Arial"/>
                <w:color w:val="215C98"/>
                <w:sz w:val="14"/>
                <w:szCs w:val="14"/>
                <w:lang w:eastAsia="en-AU"/>
              </w:rPr>
              <w:t>$3,462-$5,161**</w:t>
            </w:r>
          </w:p>
        </w:tc>
        <w:tc>
          <w:tcPr>
            <w:tcW w:w="1010" w:type="dxa"/>
            <w:tcBorders>
              <w:top w:val="nil"/>
              <w:left w:val="single" w:sz="4" w:space="0" w:color="auto"/>
              <w:bottom w:val="single" w:sz="4" w:space="0" w:color="auto"/>
              <w:right w:val="single" w:sz="4" w:space="0" w:color="auto"/>
            </w:tcBorders>
            <w:vAlign w:val="center"/>
            <w:hideMark/>
          </w:tcPr>
          <w:p w14:paraId="24E87A7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$58–$669 | </w:t>
            </w:r>
            <w:r w:rsidRPr="003E009A">
              <w:rPr>
                <w:rFonts w:ascii="Arial" w:hAnsi="Arial" w:cs="Arial"/>
                <w:color w:val="156082"/>
                <w:sz w:val="14"/>
                <w:szCs w:val="14"/>
                <w:lang w:eastAsia="en-AU"/>
              </w:rPr>
              <w:t>$6,425-$9,574**</w:t>
            </w:r>
          </w:p>
        </w:tc>
        <w:tc>
          <w:tcPr>
            <w:tcW w:w="844" w:type="dxa"/>
            <w:tcBorders>
              <w:top w:val="nil"/>
              <w:left w:val="nil"/>
              <w:bottom w:val="single" w:sz="4" w:space="0" w:color="auto"/>
              <w:right w:val="single" w:sz="4" w:space="0" w:color="auto"/>
            </w:tcBorders>
            <w:vAlign w:val="center"/>
            <w:hideMark/>
          </w:tcPr>
          <w:p w14:paraId="05AEBFF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$175–$2,007 | </w:t>
            </w:r>
            <w:r w:rsidRPr="003E009A">
              <w:rPr>
                <w:rFonts w:ascii="Arial" w:hAnsi="Arial" w:cs="Arial"/>
                <w:color w:val="215C98"/>
                <w:sz w:val="14"/>
                <w:szCs w:val="14"/>
                <w:lang w:eastAsia="en-AU"/>
              </w:rPr>
              <w:t>$6,425-$9,574**</w:t>
            </w:r>
          </w:p>
        </w:tc>
        <w:tc>
          <w:tcPr>
            <w:tcW w:w="885" w:type="dxa"/>
            <w:tcBorders>
              <w:top w:val="nil"/>
              <w:left w:val="nil"/>
              <w:bottom w:val="single" w:sz="4" w:space="0" w:color="auto"/>
              <w:right w:val="single" w:sz="8" w:space="0" w:color="auto"/>
            </w:tcBorders>
            <w:vAlign w:val="center"/>
            <w:hideMark/>
          </w:tcPr>
          <w:p w14:paraId="1C06F199"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$530–$6,081 | </w:t>
            </w:r>
            <w:r w:rsidRPr="003E009A">
              <w:rPr>
                <w:rFonts w:ascii="Arial" w:hAnsi="Arial" w:cs="Arial"/>
                <w:color w:val="215C98"/>
                <w:sz w:val="14"/>
                <w:szCs w:val="14"/>
                <w:lang w:eastAsia="en-AU"/>
              </w:rPr>
              <w:t>$6,425-$9,574**</w:t>
            </w:r>
          </w:p>
        </w:tc>
        <w:tc>
          <w:tcPr>
            <w:tcW w:w="1223" w:type="dxa"/>
            <w:tcBorders>
              <w:top w:val="nil"/>
              <w:left w:val="nil"/>
              <w:bottom w:val="single" w:sz="4" w:space="0" w:color="auto"/>
              <w:right w:val="single" w:sz="4" w:space="0" w:color="auto"/>
            </w:tcBorders>
            <w:vAlign w:val="center"/>
            <w:hideMark/>
          </w:tcPr>
          <w:p w14:paraId="516F3B05" w14:textId="77777777" w:rsidR="00335F31" w:rsidRPr="003E009A" w:rsidRDefault="00335F31" w:rsidP="00335F31">
            <w:pPr>
              <w:rPr>
                <w:rFonts w:ascii="Arial" w:hAnsi="Arial" w:cs="Arial"/>
                <w:b/>
                <w:bCs/>
                <w:color w:val="000000"/>
                <w:sz w:val="12"/>
                <w:szCs w:val="12"/>
                <w:lang w:eastAsia="en-AU"/>
              </w:rPr>
            </w:pPr>
            <w:r w:rsidRPr="003E009A">
              <w:rPr>
                <w:rFonts w:ascii="Arial" w:hAnsi="Arial" w:cs="Arial"/>
                <w:b/>
                <w:bCs/>
                <w:color w:val="000000"/>
                <w:sz w:val="12"/>
                <w:szCs w:val="12"/>
                <w:lang w:eastAsia="en-AU"/>
              </w:rPr>
              <w:t>Filing an originating process, a notice of appeal or an application</w:t>
            </w:r>
          </w:p>
        </w:tc>
        <w:tc>
          <w:tcPr>
            <w:tcW w:w="1631" w:type="dxa"/>
            <w:gridSpan w:val="2"/>
            <w:tcBorders>
              <w:top w:val="single" w:sz="4" w:space="0" w:color="auto"/>
              <w:left w:val="nil"/>
              <w:bottom w:val="single" w:sz="4" w:space="0" w:color="auto"/>
              <w:right w:val="single" w:sz="4" w:space="0" w:color="000000"/>
            </w:tcBorders>
            <w:vAlign w:val="center"/>
            <w:hideMark/>
          </w:tcPr>
          <w:p w14:paraId="333810C0"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$307–$6,728</w:t>
            </w:r>
          </w:p>
        </w:tc>
        <w:tc>
          <w:tcPr>
            <w:tcW w:w="1018" w:type="dxa"/>
            <w:tcBorders>
              <w:top w:val="nil"/>
              <w:left w:val="nil"/>
              <w:bottom w:val="single" w:sz="4" w:space="0" w:color="auto"/>
              <w:right w:val="single" w:sz="8" w:space="0" w:color="auto"/>
            </w:tcBorders>
            <w:vAlign w:val="center"/>
            <w:hideMark/>
          </w:tcPr>
          <w:p w14:paraId="08E758B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$613–$8,936</w:t>
            </w:r>
          </w:p>
        </w:tc>
        <w:tc>
          <w:tcPr>
            <w:tcW w:w="1300" w:type="dxa"/>
            <w:tcBorders>
              <w:top w:val="nil"/>
              <w:left w:val="nil"/>
              <w:bottom w:val="single" w:sz="4" w:space="0" w:color="auto"/>
              <w:right w:val="single" w:sz="4" w:space="0" w:color="auto"/>
            </w:tcBorders>
            <w:vAlign w:val="center"/>
            <w:hideMark/>
          </w:tcPr>
          <w:p w14:paraId="2E440CF9" w14:textId="7777777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2"/>
                <w:szCs w:val="12"/>
                <w:lang w:eastAsia="en-AU"/>
              </w:rPr>
              <w:t>Filing an original application, or a notice of appeal</w:t>
            </w:r>
          </w:p>
        </w:tc>
        <w:tc>
          <w:tcPr>
            <w:tcW w:w="881" w:type="dxa"/>
            <w:tcBorders>
              <w:top w:val="nil"/>
              <w:left w:val="nil"/>
              <w:bottom w:val="single" w:sz="4" w:space="0" w:color="auto"/>
              <w:right w:val="single" w:sz="4" w:space="0" w:color="auto"/>
            </w:tcBorders>
            <w:vAlign w:val="center"/>
            <w:hideMark/>
          </w:tcPr>
          <w:p w14:paraId="03B27CC9"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$734</w:t>
            </w:r>
          </w:p>
        </w:tc>
        <w:tc>
          <w:tcPr>
            <w:tcW w:w="895" w:type="dxa"/>
            <w:tcBorders>
              <w:top w:val="nil"/>
              <w:left w:val="nil"/>
              <w:bottom w:val="single" w:sz="4" w:space="0" w:color="auto"/>
              <w:right w:val="single" w:sz="8" w:space="0" w:color="auto"/>
            </w:tcBorders>
            <w:vAlign w:val="center"/>
            <w:hideMark/>
          </w:tcPr>
          <w:p w14:paraId="7169D3B4"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$1,452</w:t>
            </w:r>
          </w:p>
        </w:tc>
      </w:tr>
      <w:tr w:rsidR="00335F31" w:rsidRPr="003E009A" w14:paraId="4A1E9D2A" w14:textId="77777777" w:rsidTr="00C41FD7">
        <w:trPr>
          <w:trHeight w:val="639"/>
        </w:trPr>
        <w:tc>
          <w:tcPr>
            <w:tcW w:w="1306" w:type="dxa"/>
            <w:tcBorders>
              <w:top w:val="single" w:sz="4" w:space="0" w:color="auto"/>
              <w:left w:val="single" w:sz="8" w:space="0" w:color="auto"/>
              <w:bottom w:val="single" w:sz="4" w:space="0" w:color="auto"/>
              <w:right w:val="single" w:sz="4" w:space="0" w:color="auto"/>
            </w:tcBorders>
            <w:vAlign w:val="center"/>
            <w:hideMark/>
          </w:tcPr>
          <w:p w14:paraId="7F5D717B" w14:textId="50887CB9"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lastRenderedPageBreak/>
              <w:t>App</w:t>
            </w:r>
            <w:r>
              <w:rPr>
                <w:rFonts w:ascii="Arial" w:hAnsi="Arial" w:cs="Arial"/>
                <w:b/>
                <w:bCs/>
                <w:color w:val="000000"/>
                <w:sz w:val="14"/>
                <w:szCs w:val="14"/>
                <w:lang w:eastAsia="en-AU"/>
              </w:rPr>
              <w:t>lication &amp;</w:t>
            </w:r>
            <w:r w:rsidRPr="003E009A">
              <w:rPr>
                <w:rFonts w:ascii="Arial" w:hAnsi="Arial" w:cs="Arial"/>
                <w:b/>
                <w:bCs/>
                <w:color w:val="000000"/>
                <w:sz w:val="14"/>
                <w:szCs w:val="14"/>
                <w:lang w:eastAsia="en-AU"/>
              </w:rPr>
              <w:t xml:space="preserve"> other matter</w:t>
            </w:r>
            <w:r>
              <w:rPr>
                <w:rFonts w:ascii="Arial" w:hAnsi="Arial" w:cs="Arial"/>
                <w:b/>
                <w:bCs/>
                <w:color w:val="000000"/>
                <w:sz w:val="14"/>
                <w:szCs w:val="14"/>
                <w:lang w:eastAsia="en-AU"/>
              </w:rPr>
              <w:t>s</w:t>
            </w:r>
          </w:p>
        </w:tc>
        <w:tc>
          <w:tcPr>
            <w:tcW w:w="1010" w:type="dxa"/>
            <w:tcBorders>
              <w:top w:val="single" w:sz="4" w:space="0" w:color="auto"/>
              <w:left w:val="nil"/>
              <w:bottom w:val="single" w:sz="4" w:space="0" w:color="auto"/>
              <w:right w:val="single" w:sz="4" w:space="0" w:color="auto"/>
            </w:tcBorders>
            <w:vAlign w:val="center"/>
            <w:hideMark/>
          </w:tcPr>
          <w:p w14:paraId="3ED76EA0"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$100–$185 | </w:t>
            </w:r>
            <w:r w:rsidRPr="003E009A">
              <w:rPr>
                <w:rFonts w:ascii="Arial" w:hAnsi="Arial" w:cs="Arial"/>
                <w:color w:val="215C98"/>
                <w:sz w:val="14"/>
                <w:szCs w:val="14"/>
                <w:lang w:eastAsia="en-AU"/>
              </w:rPr>
              <w:t>$2,733**</w:t>
            </w:r>
          </w:p>
        </w:tc>
        <w:tc>
          <w:tcPr>
            <w:tcW w:w="844" w:type="dxa"/>
            <w:tcBorders>
              <w:top w:val="single" w:sz="4" w:space="0" w:color="auto"/>
              <w:left w:val="nil"/>
              <w:bottom w:val="single" w:sz="4" w:space="0" w:color="auto"/>
              <w:right w:val="single" w:sz="4" w:space="0" w:color="auto"/>
            </w:tcBorders>
            <w:vAlign w:val="center"/>
            <w:hideMark/>
          </w:tcPr>
          <w:p w14:paraId="69BBBC2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$200–$753 | </w:t>
            </w:r>
            <w:r w:rsidRPr="003E009A">
              <w:rPr>
                <w:rFonts w:ascii="Arial" w:hAnsi="Arial" w:cs="Arial"/>
                <w:color w:val="215C98"/>
                <w:sz w:val="14"/>
                <w:szCs w:val="14"/>
                <w:lang w:eastAsia="en-AU"/>
              </w:rPr>
              <w:t>$2,733**</w:t>
            </w:r>
          </w:p>
        </w:tc>
        <w:tc>
          <w:tcPr>
            <w:tcW w:w="885" w:type="dxa"/>
            <w:tcBorders>
              <w:top w:val="single" w:sz="4" w:space="0" w:color="auto"/>
              <w:left w:val="nil"/>
              <w:bottom w:val="single" w:sz="4" w:space="0" w:color="auto"/>
              <w:right w:val="single" w:sz="8" w:space="0" w:color="auto"/>
            </w:tcBorders>
            <w:vAlign w:val="center"/>
            <w:hideMark/>
          </w:tcPr>
          <w:p w14:paraId="622EF232"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$286–$1,076 | </w:t>
            </w:r>
            <w:r w:rsidRPr="003E009A">
              <w:rPr>
                <w:rFonts w:ascii="Arial" w:hAnsi="Arial" w:cs="Arial"/>
                <w:color w:val="215C98"/>
                <w:sz w:val="14"/>
                <w:szCs w:val="14"/>
                <w:lang w:eastAsia="en-AU"/>
              </w:rPr>
              <w:t>$2,733**</w:t>
            </w:r>
          </w:p>
        </w:tc>
        <w:tc>
          <w:tcPr>
            <w:tcW w:w="1010" w:type="dxa"/>
            <w:tcBorders>
              <w:top w:val="single" w:sz="4" w:space="0" w:color="auto"/>
              <w:left w:val="nil"/>
              <w:bottom w:val="single" w:sz="4" w:space="0" w:color="auto"/>
              <w:right w:val="single" w:sz="4" w:space="0" w:color="auto"/>
            </w:tcBorders>
            <w:vAlign w:val="center"/>
            <w:hideMark/>
          </w:tcPr>
          <w:p w14:paraId="3E0E5EE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$58–$220 | </w:t>
            </w:r>
            <w:r w:rsidRPr="003E009A">
              <w:rPr>
                <w:rFonts w:ascii="Arial" w:hAnsi="Arial" w:cs="Arial"/>
                <w:color w:val="156082"/>
                <w:sz w:val="14"/>
                <w:szCs w:val="14"/>
                <w:lang w:eastAsia="en-AU"/>
              </w:rPr>
              <w:t>$3,365**</w:t>
            </w:r>
          </w:p>
        </w:tc>
        <w:tc>
          <w:tcPr>
            <w:tcW w:w="844" w:type="dxa"/>
            <w:tcBorders>
              <w:top w:val="single" w:sz="4" w:space="0" w:color="auto"/>
              <w:left w:val="nil"/>
              <w:bottom w:val="single" w:sz="4" w:space="0" w:color="auto"/>
              <w:right w:val="single" w:sz="4" w:space="0" w:color="auto"/>
            </w:tcBorders>
            <w:vAlign w:val="center"/>
            <w:hideMark/>
          </w:tcPr>
          <w:p w14:paraId="485C801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$175–$659 | </w:t>
            </w:r>
            <w:r w:rsidRPr="003E009A">
              <w:rPr>
                <w:rFonts w:ascii="Arial" w:hAnsi="Arial" w:cs="Arial"/>
                <w:color w:val="215C98"/>
                <w:sz w:val="14"/>
                <w:szCs w:val="14"/>
                <w:lang w:eastAsia="en-AU"/>
              </w:rPr>
              <w:t>$3,365**</w:t>
            </w:r>
          </w:p>
        </w:tc>
        <w:tc>
          <w:tcPr>
            <w:tcW w:w="885" w:type="dxa"/>
            <w:tcBorders>
              <w:top w:val="single" w:sz="4" w:space="0" w:color="auto"/>
              <w:left w:val="nil"/>
              <w:bottom w:val="single" w:sz="4" w:space="0" w:color="auto"/>
              <w:right w:val="single" w:sz="8" w:space="0" w:color="auto"/>
            </w:tcBorders>
            <w:vAlign w:val="center"/>
            <w:hideMark/>
          </w:tcPr>
          <w:p w14:paraId="1FABC675"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$530–$1,996 | </w:t>
            </w:r>
            <w:r w:rsidRPr="003E009A">
              <w:rPr>
                <w:rFonts w:ascii="Arial" w:hAnsi="Arial" w:cs="Arial"/>
                <w:color w:val="215C98"/>
                <w:sz w:val="14"/>
                <w:szCs w:val="14"/>
                <w:lang w:eastAsia="en-AU"/>
              </w:rPr>
              <w:t>$3,365**</w:t>
            </w:r>
          </w:p>
        </w:tc>
        <w:tc>
          <w:tcPr>
            <w:tcW w:w="1223" w:type="dxa"/>
            <w:tcBorders>
              <w:top w:val="single" w:sz="4" w:space="0" w:color="auto"/>
              <w:left w:val="nil"/>
              <w:bottom w:val="single" w:sz="4" w:space="0" w:color="auto"/>
              <w:right w:val="single" w:sz="4" w:space="0" w:color="auto"/>
            </w:tcBorders>
            <w:vAlign w:val="center"/>
            <w:hideMark/>
          </w:tcPr>
          <w:p w14:paraId="1BE93BE4" w14:textId="77777777" w:rsidR="00335F31" w:rsidRPr="003E009A" w:rsidRDefault="00335F31" w:rsidP="00335F31">
            <w:pPr>
              <w:rPr>
                <w:rFonts w:ascii="Arial" w:hAnsi="Arial" w:cs="Arial"/>
                <w:b/>
                <w:bCs/>
                <w:color w:val="000000"/>
                <w:sz w:val="12"/>
                <w:szCs w:val="12"/>
                <w:lang w:eastAsia="en-AU"/>
              </w:rPr>
            </w:pPr>
            <w:r w:rsidRPr="003E009A">
              <w:rPr>
                <w:rFonts w:ascii="Arial" w:hAnsi="Arial" w:cs="Arial"/>
                <w:b/>
                <w:bCs/>
                <w:color w:val="000000"/>
                <w:sz w:val="12"/>
                <w:szCs w:val="12"/>
                <w:lang w:eastAsia="en-AU"/>
              </w:rPr>
              <w:t>Filing a process to commence an appeal, and notion for motion</w:t>
            </w:r>
          </w:p>
        </w:tc>
        <w:tc>
          <w:tcPr>
            <w:tcW w:w="1631" w:type="dxa"/>
            <w:gridSpan w:val="2"/>
            <w:tcBorders>
              <w:top w:val="single" w:sz="4" w:space="0" w:color="auto"/>
              <w:left w:val="nil"/>
              <w:bottom w:val="single" w:sz="4" w:space="0" w:color="auto"/>
              <w:right w:val="single" w:sz="4" w:space="0" w:color="000000"/>
            </w:tcBorders>
            <w:vAlign w:val="center"/>
            <w:hideMark/>
          </w:tcPr>
          <w:p w14:paraId="5DAB54F2"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$2,740 &amp; $273 respectively</w:t>
            </w:r>
          </w:p>
        </w:tc>
        <w:tc>
          <w:tcPr>
            <w:tcW w:w="1018" w:type="dxa"/>
            <w:tcBorders>
              <w:top w:val="single" w:sz="4" w:space="0" w:color="auto"/>
              <w:left w:val="nil"/>
              <w:bottom w:val="single" w:sz="4" w:space="0" w:color="auto"/>
              <w:right w:val="single" w:sz="8" w:space="0" w:color="auto"/>
            </w:tcBorders>
            <w:vAlign w:val="center"/>
            <w:hideMark/>
          </w:tcPr>
          <w:p w14:paraId="10E6ADD2"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$5,479 &amp; $547 respectively</w:t>
            </w:r>
          </w:p>
        </w:tc>
        <w:tc>
          <w:tcPr>
            <w:tcW w:w="1300" w:type="dxa"/>
            <w:tcBorders>
              <w:top w:val="single" w:sz="4" w:space="0" w:color="auto"/>
              <w:left w:val="nil"/>
              <w:bottom w:val="single" w:sz="4" w:space="0" w:color="auto"/>
              <w:right w:val="single" w:sz="4" w:space="0" w:color="auto"/>
            </w:tcBorders>
            <w:vAlign w:val="center"/>
            <w:hideMark/>
          </w:tcPr>
          <w:p w14:paraId="7CA705F6" w14:textId="7777777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Other filing fees</w:t>
            </w:r>
          </w:p>
        </w:tc>
        <w:tc>
          <w:tcPr>
            <w:tcW w:w="1776" w:type="dxa"/>
            <w:gridSpan w:val="2"/>
            <w:tcBorders>
              <w:top w:val="single" w:sz="4" w:space="0" w:color="auto"/>
              <w:left w:val="nil"/>
              <w:bottom w:val="single" w:sz="4" w:space="0" w:color="auto"/>
              <w:right w:val="single" w:sz="8" w:space="0" w:color="000000"/>
            </w:tcBorders>
            <w:vAlign w:val="center"/>
            <w:hideMark/>
          </w:tcPr>
          <w:p w14:paraId="2E9CA2CF"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$111</w:t>
            </w:r>
          </w:p>
        </w:tc>
      </w:tr>
      <w:tr w:rsidR="00335F31" w:rsidRPr="003E009A" w14:paraId="088E88D7" w14:textId="77777777" w:rsidTr="00335F31">
        <w:trPr>
          <w:trHeight w:val="639"/>
        </w:trPr>
        <w:tc>
          <w:tcPr>
            <w:tcW w:w="1306" w:type="dxa"/>
            <w:tcBorders>
              <w:top w:val="nil"/>
              <w:left w:val="single" w:sz="8" w:space="0" w:color="auto"/>
              <w:bottom w:val="single" w:sz="4" w:space="0" w:color="auto"/>
              <w:right w:val="single" w:sz="4" w:space="0" w:color="auto"/>
            </w:tcBorders>
            <w:vAlign w:val="center"/>
            <w:hideMark/>
          </w:tcPr>
          <w:p w14:paraId="1380366B" w14:textId="04DCD84C"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Hearing</w:t>
            </w:r>
          </w:p>
        </w:tc>
        <w:tc>
          <w:tcPr>
            <w:tcW w:w="1010" w:type="dxa"/>
            <w:tcBorders>
              <w:top w:val="nil"/>
              <w:left w:val="nil"/>
              <w:bottom w:val="single" w:sz="4" w:space="0" w:color="auto"/>
              <w:right w:val="single" w:sz="4" w:space="0" w:color="auto"/>
            </w:tcBorders>
            <w:vAlign w:val="center"/>
            <w:hideMark/>
          </w:tcPr>
          <w:p w14:paraId="38B4586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Nil–$185 |</w:t>
            </w:r>
            <w:r w:rsidRPr="003E009A">
              <w:rPr>
                <w:rFonts w:ascii="Arial" w:hAnsi="Arial" w:cs="Arial"/>
                <w:color w:val="215C98"/>
                <w:sz w:val="14"/>
                <w:szCs w:val="14"/>
                <w:lang w:eastAsia="en-AU"/>
              </w:rPr>
              <w:t xml:space="preserve"> $4,051**</w:t>
            </w:r>
          </w:p>
        </w:tc>
        <w:tc>
          <w:tcPr>
            <w:tcW w:w="844" w:type="dxa"/>
            <w:tcBorders>
              <w:top w:val="nil"/>
              <w:left w:val="nil"/>
              <w:bottom w:val="single" w:sz="4" w:space="0" w:color="auto"/>
              <w:right w:val="single" w:sz="4" w:space="0" w:color="auto"/>
            </w:tcBorders>
            <w:vAlign w:val="center"/>
            <w:hideMark/>
          </w:tcPr>
          <w:p w14:paraId="79B01D5D"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Nil–$1,236 | </w:t>
            </w:r>
            <w:r w:rsidRPr="003E009A">
              <w:rPr>
                <w:rFonts w:ascii="Arial" w:hAnsi="Arial" w:cs="Arial"/>
                <w:color w:val="215C98"/>
                <w:sz w:val="14"/>
                <w:szCs w:val="14"/>
                <w:lang w:eastAsia="en-AU"/>
              </w:rPr>
              <w:t>$4,051**</w:t>
            </w:r>
          </w:p>
        </w:tc>
        <w:tc>
          <w:tcPr>
            <w:tcW w:w="885" w:type="dxa"/>
            <w:tcBorders>
              <w:top w:val="nil"/>
              <w:left w:val="nil"/>
              <w:bottom w:val="single" w:sz="4" w:space="0" w:color="auto"/>
              <w:right w:val="single" w:sz="8" w:space="0" w:color="auto"/>
            </w:tcBorders>
            <w:vAlign w:val="center"/>
            <w:hideMark/>
          </w:tcPr>
          <w:p w14:paraId="74637098"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Nil–$1,765 | </w:t>
            </w:r>
            <w:r w:rsidRPr="003E009A">
              <w:rPr>
                <w:rFonts w:ascii="Arial" w:hAnsi="Arial" w:cs="Arial"/>
                <w:color w:val="215C98"/>
                <w:sz w:val="14"/>
                <w:szCs w:val="14"/>
                <w:lang w:eastAsia="en-AU"/>
              </w:rPr>
              <w:t>$4,051**</w:t>
            </w:r>
          </w:p>
        </w:tc>
        <w:tc>
          <w:tcPr>
            <w:tcW w:w="1010" w:type="dxa"/>
            <w:tcBorders>
              <w:top w:val="nil"/>
              <w:left w:val="nil"/>
              <w:bottom w:val="single" w:sz="4" w:space="0" w:color="auto"/>
              <w:right w:val="single" w:sz="4" w:space="0" w:color="auto"/>
            </w:tcBorders>
            <w:vAlign w:val="center"/>
            <w:hideMark/>
          </w:tcPr>
          <w:p w14:paraId="25E36225"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Nil–$224 | </w:t>
            </w:r>
            <w:r w:rsidRPr="003E009A">
              <w:rPr>
                <w:rFonts w:ascii="Arial" w:hAnsi="Arial" w:cs="Arial"/>
                <w:color w:val="000000"/>
                <w:sz w:val="14"/>
                <w:szCs w:val="14"/>
                <w:lang w:eastAsia="en-AU"/>
              </w:rPr>
              <w:br/>
            </w:r>
            <w:r w:rsidRPr="003E009A">
              <w:rPr>
                <w:rFonts w:ascii="Arial" w:hAnsi="Arial" w:cs="Arial"/>
                <w:color w:val="156082"/>
                <w:sz w:val="14"/>
                <w:szCs w:val="14"/>
                <w:lang w:eastAsia="en-AU"/>
              </w:rPr>
              <w:t>$4,677**</w:t>
            </w:r>
          </w:p>
        </w:tc>
        <w:tc>
          <w:tcPr>
            <w:tcW w:w="844" w:type="dxa"/>
            <w:tcBorders>
              <w:top w:val="nil"/>
              <w:left w:val="nil"/>
              <w:bottom w:val="single" w:sz="4" w:space="0" w:color="auto"/>
              <w:right w:val="single" w:sz="4" w:space="0" w:color="auto"/>
            </w:tcBorders>
            <w:vAlign w:val="center"/>
            <w:hideMark/>
          </w:tcPr>
          <w:p w14:paraId="1F38E0B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Nil–$672 | </w:t>
            </w:r>
            <w:r w:rsidRPr="003E009A">
              <w:rPr>
                <w:rFonts w:ascii="Arial" w:hAnsi="Arial" w:cs="Arial"/>
                <w:color w:val="000000"/>
                <w:sz w:val="14"/>
                <w:szCs w:val="14"/>
                <w:lang w:eastAsia="en-AU"/>
              </w:rPr>
              <w:br/>
            </w:r>
            <w:r w:rsidRPr="003E009A">
              <w:rPr>
                <w:rFonts w:ascii="Arial" w:hAnsi="Arial" w:cs="Arial"/>
                <w:color w:val="215C98"/>
                <w:sz w:val="14"/>
                <w:szCs w:val="14"/>
                <w:lang w:eastAsia="en-AU"/>
              </w:rPr>
              <w:t>$4,677**</w:t>
            </w:r>
          </w:p>
        </w:tc>
        <w:tc>
          <w:tcPr>
            <w:tcW w:w="885" w:type="dxa"/>
            <w:tcBorders>
              <w:top w:val="nil"/>
              <w:left w:val="nil"/>
              <w:bottom w:val="single" w:sz="4" w:space="0" w:color="auto"/>
              <w:right w:val="single" w:sz="8" w:space="0" w:color="auto"/>
            </w:tcBorders>
            <w:vAlign w:val="center"/>
            <w:hideMark/>
          </w:tcPr>
          <w:p w14:paraId="64117397"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 xml:space="preserve">Nil–$2,038 | </w:t>
            </w:r>
            <w:r w:rsidRPr="003E009A">
              <w:rPr>
                <w:rFonts w:ascii="Arial" w:hAnsi="Arial" w:cs="Arial"/>
                <w:color w:val="215C98"/>
                <w:sz w:val="14"/>
                <w:szCs w:val="14"/>
                <w:lang w:eastAsia="en-AU"/>
              </w:rPr>
              <w:t>$4,677**</w:t>
            </w:r>
          </w:p>
        </w:tc>
        <w:tc>
          <w:tcPr>
            <w:tcW w:w="3872" w:type="dxa"/>
            <w:gridSpan w:val="4"/>
            <w:tcBorders>
              <w:top w:val="single" w:sz="4" w:space="0" w:color="auto"/>
              <w:left w:val="nil"/>
              <w:bottom w:val="single" w:sz="4" w:space="0" w:color="auto"/>
              <w:right w:val="single" w:sz="8" w:space="0" w:color="000000"/>
            </w:tcBorders>
            <w:shd w:val="clear" w:color="000000" w:fill="F2F2F2"/>
            <w:vAlign w:val="center"/>
            <w:hideMark/>
          </w:tcPr>
          <w:p w14:paraId="0C8C6105" w14:textId="77777777" w:rsidR="00335F31" w:rsidRPr="003E009A" w:rsidRDefault="00335F31" w:rsidP="00335F31">
            <w:pPr>
              <w:jc w:val="center"/>
              <w:rPr>
                <w:rFonts w:ascii="Arial" w:hAnsi="Arial" w:cs="Arial"/>
                <w:b/>
                <w:bCs/>
                <w:color w:val="000000"/>
                <w:sz w:val="14"/>
                <w:szCs w:val="14"/>
                <w:lang w:eastAsia="en-AU"/>
              </w:rPr>
            </w:pPr>
            <w:r w:rsidRPr="003E009A">
              <w:rPr>
                <w:rFonts w:ascii="Arial" w:hAnsi="Arial" w:cs="Arial"/>
                <w:b/>
                <w:bCs/>
                <w:color w:val="000000"/>
                <w:sz w:val="14"/>
                <w:szCs w:val="14"/>
                <w:lang w:eastAsia="en-AU"/>
              </w:rPr>
              <w:t>N/A</w:t>
            </w:r>
          </w:p>
        </w:tc>
        <w:tc>
          <w:tcPr>
            <w:tcW w:w="1300" w:type="dxa"/>
            <w:tcBorders>
              <w:top w:val="nil"/>
              <w:left w:val="nil"/>
              <w:bottom w:val="single" w:sz="4" w:space="0" w:color="auto"/>
              <w:right w:val="single" w:sz="4" w:space="0" w:color="auto"/>
            </w:tcBorders>
            <w:vAlign w:val="center"/>
            <w:hideMark/>
          </w:tcPr>
          <w:p w14:paraId="0072A548" w14:textId="77777777" w:rsidR="00335F31" w:rsidRPr="003E009A" w:rsidRDefault="00335F31" w:rsidP="00335F31">
            <w:pPr>
              <w:rPr>
                <w:rFonts w:ascii="Arial" w:hAnsi="Arial" w:cs="Arial"/>
                <w:b/>
                <w:bCs/>
                <w:color w:val="000000"/>
                <w:sz w:val="12"/>
                <w:szCs w:val="12"/>
                <w:lang w:eastAsia="en-AU"/>
              </w:rPr>
            </w:pPr>
            <w:r w:rsidRPr="003E009A">
              <w:rPr>
                <w:rFonts w:ascii="Arial" w:hAnsi="Arial" w:cs="Arial"/>
                <w:b/>
                <w:bCs/>
                <w:color w:val="000000"/>
                <w:sz w:val="12"/>
                <w:szCs w:val="12"/>
                <w:lang w:eastAsia="en-AU"/>
              </w:rPr>
              <w:t>Attending a view, making an appointment with an assessing registrar</w:t>
            </w:r>
          </w:p>
        </w:tc>
        <w:tc>
          <w:tcPr>
            <w:tcW w:w="1776" w:type="dxa"/>
            <w:gridSpan w:val="2"/>
            <w:tcBorders>
              <w:top w:val="single" w:sz="4" w:space="0" w:color="auto"/>
              <w:left w:val="nil"/>
              <w:bottom w:val="single" w:sz="4" w:space="0" w:color="auto"/>
              <w:right w:val="single" w:sz="8" w:space="0" w:color="000000"/>
            </w:tcBorders>
            <w:vAlign w:val="center"/>
            <w:hideMark/>
          </w:tcPr>
          <w:p w14:paraId="493B71EE"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$128–$642</w:t>
            </w:r>
          </w:p>
        </w:tc>
      </w:tr>
      <w:tr w:rsidR="000F7AF9" w:rsidRPr="003E009A" w14:paraId="7B7D3175" w14:textId="77777777" w:rsidTr="00F55471">
        <w:trPr>
          <w:trHeight w:val="689"/>
        </w:trPr>
        <w:tc>
          <w:tcPr>
            <w:tcW w:w="1306" w:type="dxa"/>
            <w:tcBorders>
              <w:top w:val="nil"/>
              <w:left w:val="single" w:sz="8" w:space="0" w:color="auto"/>
              <w:bottom w:val="single" w:sz="8" w:space="0" w:color="auto"/>
              <w:right w:val="single" w:sz="4" w:space="0" w:color="auto"/>
            </w:tcBorders>
            <w:vAlign w:val="center"/>
            <w:hideMark/>
          </w:tcPr>
          <w:p w14:paraId="5F2442B9" w14:textId="0BF566B6"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4"/>
                <w:szCs w:val="14"/>
                <w:lang w:eastAsia="en-AU"/>
              </w:rPr>
              <w:t>Administrative</w:t>
            </w:r>
          </w:p>
        </w:tc>
        <w:tc>
          <w:tcPr>
            <w:tcW w:w="1010" w:type="dxa"/>
            <w:tcBorders>
              <w:top w:val="nil"/>
              <w:left w:val="nil"/>
              <w:bottom w:val="single" w:sz="8" w:space="0" w:color="auto"/>
              <w:right w:val="single" w:sz="4" w:space="0" w:color="auto"/>
            </w:tcBorders>
            <w:vAlign w:val="center"/>
            <w:hideMark/>
          </w:tcPr>
          <w:p w14:paraId="0D2089E7"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$0.60–$50</w:t>
            </w:r>
          </w:p>
        </w:tc>
        <w:tc>
          <w:tcPr>
            <w:tcW w:w="1729" w:type="dxa"/>
            <w:gridSpan w:val="2"/>
            <w:tcBorders>
              <w:top w:val="single" w:sz="4" w:space="0" w:color="auto"/>
              <w:left w:val="nil"/>
              <w:bottom w:val="single" w:sz="8" w:space="0" w:color="auto"/>
              <w:right w:val="single" w:sz="8" w:space="0" w:color="000000"/>
            </w:tcBorders>
            <w:vAlign w:val="center"/>
            <w:hideMark/>
          </w:tcPr>
          <w:p w14:paraId="34571C77"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$0.60–$136 </w:t>
            </w:r>
          </w:p>
        </w:tc>
        <w:tc>
          <w:tcPr>
            <w:tcW w:w="1010" w:type="dxa"/>
            <w:tcBorders>
              <w:top w:val="nil"/>
              <w:left w:val="single" w:sz="4" w:space="0" w:color="auto"/>
              <w:bottom w:val="single" w:sz="8" w:space="0" w:color="auto"/>
              <w:right w:val="single" w:sz="4" w:space="0" w:color="auto"/>
            </w:tcBorders>
            <w:vAlign w:val="center"/>
            <w:hideMark/>
          </w:tcPr>
          <w:p w14:paraId="0CEBC7E4"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$0.60–$100</w:t>
            </w:r>
          </w:p>
        </w:tc>
        <w:tc>
          <w:tcPr>
            <w:tcW w:w="1729" w:type="dxa"/>
            <w:gridSpan w:val="2"/>
            <w:tcBorders>
              <w:top w:val="single" w:sz="4" w:space="0" w:color="auto"/>
              <w:left w:val="nil"/>
              <w:bottom w:val="single" w:sz="8" w:space="0" w:color="auto"/>
              <w:right w:val="single" w:sz="8" w:space="0" w:color="000000"/>
            </w:tcBorders>
            <w:vAlign w:val="center"/>
            <w:hideMark/>
          </w:tcPr>
          <w:p w14:paraId="4C603451" w14:textId="77777777" w:rsidR="00335F31" w:rsidRPr="003E009A" w:rsidRDefault="00335F31" w:rsidP="00335F31">
            <w:pPr>
              <w:jc w:val="center"/>
              <w:rPr>
                <w:rFonts w:ascii="Arial" w:hAnsi="Arial" w:cs="Arial"/>
                <w:color w:val="000000"/>
                <w:sz w:val="14"/>
                <w:szCs w:val="14"/>
                <w:lang w:eastAsia="en-AU"/>
              </w:rPr>
            </w:pPr>
            <w:r w:rsidRPr="003E009A">
              <w:rPr>
                <w:rFonts w:ascii="Arial" w:hAnsi="Arial" w:cs="Arial"/>
                <w:color w:val="000000"/>
                <w:sz w:val="14"/>
                <w:szCs w:val="14"/>
                <w:lang w:eastAsia="en-AU"/>
              </w:rPr>
              <w:t xml:space="preserve"> $0.60–$301 </w:t>
            </w:r>
          </w:p>
        </w:tc>
        <w:tc>
          <w:tcPr>
            <w:tcW w:w="1223" w:type="dxa"/>
            <w:tcBorders>
              <w:top w:val="nil"/>
              <w:left w:val="nil"/>
              <w:bottom w:val="single" w:sz="8" w:space="0" w:color="auto"/>
              <w:right w:val="single" w:sz="4" w:space="0" w:color="auto"/>
            </w:tcBorders>
            <w:vAlign w:val="center"/>
            <w:hideMark/>
          </w:tcPr>
          <w:p w14:paraId="21C3F400" w14:textId="77777777" w:rsidR="00335F31" w:rsidRPr="003E009A" w:rsidRDefault="00335F31" w:rsidP="00335F31">
            <w:pPr>
              <w:rPr>
                <w:rFonts w:ascii="Arial" w:hAnsi="Arial" w:cs="Arial"/>
                <w:b/>
                <w:bCs/>
                <w:color w:val="000000"/>
                <w:sz w:val="14"/>
                <w:szCs w:val="14"/>
                <w:lang w:eastAsia="en-AU"/>
              </w:rPr>
            </w:pPr>
            <w:r w:rsidRPr="003E009A">
              <w:rPr>
                <w:rFonts w:ascii="Arial" w:hAnsi="Arial" w:cs="Arial"/>
                <w:b/>
                <w:bCs/>
                <w:color w:val="000000"/>
                <w:sz w:val="12"/>
                <w:szCs w:val="12"/>
                <w:lang w:eastAsia="en-AU"/>
              </w:rPr>
              <w:t>Documents, copies, file retrieval and other fees</w:t>
            </w:r>
          </w:p>
        </w:tc>
        <w:tc>
          <w:tcPr>
            <w:tcW w:w="1631" w:type="dxa"/>
            <w:gridSpan w:val="2"/>
            <w:tcBorders>
              <w:top w:val="single" w:sz="4" w:space="0" w:color="auto"/>
              <w:left w:val="nil"/>
              <w:bottom w:val="single" w:sz="8" w:space="0" w:color="auto"/>
              <w:right w:val="single" w:sz="4" w:space="0" w:color="000000"/>
            </w:tcBorders>
            <w:vAlign w:val="center"/>
            <w:hideMark/>
          </w:tcPr>
          <w:p w14:paraId="75745F0A"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$15–$137</w:t>
            </w:r>
          </w:p>
        </w:tc>
        <w:tc>
          <w:tcPr>
            <w:tcW w:w="1018" w:type="dxa"/>
            <w:tcBorders>
              <w:top w:val="nil"/>
              <w:left w:val="nil"/>
              <w:bottom w:val="single" w:sz="8" w:space="0" w:color="auto"/>
              <w:right w:val="single" w:sz="8" w:space="0" w:color="auto"/>
            </w:tcBorders>
            <w:vAlign w:val="center"/>
            <w:hideMark/>
          </w:tcPr>
          <w:p w14:paraId="0C6F07EF"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$108–$258</w:t>
            </w:r>
          </w:p>
        </w:tc>
        <w:tc>
          <w:tcPr>
            <w:tcW w:w="1300" w:type="dxa"/>
            <w:tcBorders>
              <w:top w:val="nil"/>
              <w:left w:val="nil"/>
              <w:bottom w:val="single" w:sz="8" w:space="0" w:color="auto"/>
              <w:right w:val="single" w:sz="4" w:space="0" w:color="auto"/>
            </w:tcBorders>
            <w:vAlign w:val="center"/>
            <w:hideMark/>
          </w:tcPr>
          <w:p w14:paraId="1A9014B3" w14:textId="77777777" w:rsidR="00335F31" w:rsidRPr="003E009A" w:rsidRDefault="00335F31" w:rsidP="00335F31">
            <w:pPr>
              <w:rPr>
                <w:rFonts w:ascii="Arial" w:hAnsi="Arial" w:cs="Arial"/>
                <w:b/>
                <w:bCs/>
                <w:color w:val="000000"/>
                <w:sz w:val="12"/>
                <w:szCs w:val="12"/>
                <w:lang w:eastAsia="en-AU"/>
              </w:rPr>
            </w:pPr>
            <w:r w:rsidRPr="003E009A">
              <w:rPr>
                <w:rFonts w:ascii="Arial" w:hAnsi="Arial" w:cs="Arial"/>
                <w:b/>
                <w:bCs/>
                <w:color w:val="000000"/>
                <w:sz w:val="12"/>
                <w:szCs w:val="12"/>
                <w:lang w:eastAsia="en-AU"/>
              </w:rPr>
              <w:t>Issuing documents, searching records</w:t>
            </w:r>
          </w:p>
        </w:tc>
        <w:tc>
          <w:tcPr>
            <w:tcW w:w="1776" w:type="dxa"/>
            <w:gridSpan w:val="2"/>
            <w:tcBorders>
              <w:top w:val="single" w:sz="4" w:space="0" w:color="auto"/>
              <w:left w:val="nil"/>
              <w:bottom w:val="single" w:sz="8" w:space="0" w:color="auto"/>
              <w:right w:val="single" w:sz="8" w:space="0" w:color="000000"/>
            </w:tcBorders>
            <w:vAlign w:val="center"/>
            <w:hideMark/>
          </w:tcPr>
          <w:p w14:paraId="2476C556" w14:textId="77777777" w:rsidR="00335F31" w:rsidRPr="003E009A" w:rsidRDefault="00335F31" w:rsidP="00335F31">
            <w:pPr>
              <w:rPr>
                <w:rFonts w:ascii="Arial" w:hAnsi="Arial" w:cs="Arial"/>
                <w:color w:val="000000"/>
                <w:sz w:val="14"/>
                <w:szCs w:val="14"/>
                <w:lang w:eastAsia="en-AU"/>
              </w:rPr>
            </w:pPr>
            <w:r w:rsidRPr="003E009A">
              <w:rPr>
                <w:rFonts w:ascii="Arial" w:hAnsi="Arial" w:cs="Arial"/>
                <w:color w:val="000000"/>
                <w:sz w:val="14"/>
                <w:szCs w:val="14"/>
                <w:lang w:eastAsia="en-AU"/>
              </w:rPr>
              <w:t>$0.70–$82</w:t>
            </w:r>
          </w:p>
        </w:tc>
      </w:tr>
    </w:tbl>
    <w:p w14:paraId="6FAE0E33" w14:textId="77777777" w:rsidR="00BA5A04" w:rsidRDefault="00BA5A04" w:rsidP="00703834">
      <w:pPr>
        <w:pStyle w:val="DJCSbody"/>
        <w:ind w:left="0"/>
      </w:pPr>
    </w:p>
    <w:p w14:paraId="560C2821" w14:textId="77777777" w:rsidR="005E6681" w:rsidRPr="001761B8" w:rsidRDefault="005E6681" w:rsidP="001761B8">
      <w:pPr>
        <w:pStyle w:val="DJCSbody"/>
        <w:ind w:left="0"/>
        <w:rPr>
          <w:b/>
          <w:sz w:val="20"/>
          <w:szCs w:val="18"/>
        </w:rPr>
      </w:pPr>
      <w:r w:rsidRPr="001761B8">
        <w:rPr>
          <w:b/>
          <w:sz w:val="20"/>
          <w:szCs w:val="18"/>
        </w:rPr>
        <w:t>NOTES:</w:t>
      </w:r>
    </w:p>
    <w:p w14:paraId="5279603F" w14:textId="7B94F797" w:rsidR="005E6681" w:rsidRPr="001761B8" w:rsidRDefault="005E6681" w:rsidP="001761B8">
      <w:pPr>
        <w:pStyle w:val="DJCSbody"/>
        <w:ind w:left="0"/>
        <w:rPr>
          <w:sz w:val="20"/>
          <w:szCs w:val="18"/>
        </w:rPr>
      </w:pPr>
      <w:r w:rsidRPr="001761B8">
        <w:rPr>
          <w:sz w:val="20"/>
          <w:szCs w:val="18"/>
        </w:rPr>
        <w:t>The VCAT fees in the table exclude charges for complex case</w:t>
      </w:r>
      <w:r w:rsidR="00BA5923">
        <w:rPr>
          <w:sz w:val="20"/>
          <w:szCs w:val="18"/>
        </w:rPr>
        <w:t>s</w:t>
      </w:r>
      <w:r w:rsidRPr="001761B8">
        <w:rPr>
          <w:sz w:val="20"/>
          <w:szCs w:val="18"/>
        </w:rPr>
        <w:t xml:space="preserve"> and transfer of proceedings from MCV</w:t>
      </w:r>
    </w:p>
    <w:p w14:paraId="156E2B41" w14:textId="33350C2D" w:rsidR="005E6681" w:rsidRPr="001761B8" w:rsidRDefault="005E6681" w:rsidP="001761B8">
      <w:pPr>
        <w:pStyle w:val="DJCSbody"/>
        <w:ind w:left="0"/>
        <w:rPr>
          <w:sz w:val="20"/>
          <w:szCs w:val="18"/>
        </w:rPr>
      </w:pPr>
      <w:r w:rsidRPr="001761B8">
        <w:rPr>
          <w:sz w:val="20"/>
          <w:szCs w:val="18"/>
        </w:rPr>
        <w:t>*VCAT fees for corporate</w:t>
      </w:r>
      <w:r w:rsidR="00BE38A9">
        <w:rPr>
          <w:sz w:val="20"/>
          <w:szCs w:val="18"/>
        </w:rPr>
        <w:t xml:space="preserve"> fee payers</w:t>
      </w:r>
      <w:r w:rsidRPr="001761B8">
        <w:rPr>
          <w:sz w:val="20"/>
          <w:szCs w:val="18"/>
        </w:rPr>
        <w:t xml:space="preserve"> seeking exemption from any provision of Victorian discrimination law (section 89 of the Equal Opportunity Act 2010)</w:t>
      </w:r>
    </w:p>
    <w:p w14:paraId="3E7E2957" w14:textId="774AF3EA" w:rsidR="005E6681" w:rsidRPr="001761B8" w:rsidRDefault="005E6681" w:rsidP="001761B8">
      <w:pPr>
        <w:pStyle w:val="DJCSbody"/>
        <w:ind w:left="0"/>
        <w:rPr>
          <w:sz w:val="20"/>
          <w:szCs w:val="18"/>
        </w:rPr>
      </w:pPr>
      <w:r w:rsidRPr="001761B8">
        <w:rPr>
          <w:sz w:val="20"/>
          <w:szCs w:val="18"/>
        </w:rPr>
        <w:t>"VCAT annual administration fee</w:t>
      </w:r>
      <w:r w:rsidR="00BB5263">
        <w:rPr>
          <w:sz w:val="20"/>
          <w:szCs w:val="18"/>
        </w:rPr>
        <w:t>s</w:t>
      </w:r>
      <w:r w:rsidRPr="001761B8">
        <w:rPr>
          <w:sz w:val="20"/>
          <w:szCs w:val="18"/>
        </w:rPr>
        <w:t xml:space="preserve"> for administrators</w:t>
      </w:r>
    </w:p>
    <w:p w14:paraId="0904C873" w14:textId="3D4F5261" w:rsidR="005E6681" w:rsidRPr="001761B8" w:rsidRDefault="005E6681" w:rsidP="001761B8">
      <w:pPr>
        <w:pStyle w:val="DJCSbody"/>
        <w:ind w:left="0"/>
        <w:rPr>
          <w:sz w:val="20"/>
          <w:szCs w:val="18"/>
        </w:rPr>
      </w:pPr>
      <w:r w:rsidRPr="001761B8">
        <w:rPr>
          <w:sz w:val="20"/>
          <w:szCs w:val="18"/>
        </w:rPr>
        <w:t>**VCAT fees</w:t>
      </w:r>
      <w:r w:rsidR="00BB5263">
        <w:rPr>
          <w:sz w:val="20"/>
          <w:szCs w:val="18"/>
        </w:rPr>
        <w:t xml:space="preserve"> for Major Cases</w:t>
      </w:r>
    </w:p>
    <w:p w14:paraId="31370B31" w14:textId="178A8F17" w:rsidR="005E6681" w:rsidRDefault="005E6681" w:rsidP="005E6681">
      <w:pPr>
        <w:pStyle w:val="DJCSbody"/>
        <w:ind w:left="0"/>
        <w:rPr>
          <w:sz w:val="20"/>
          <w:szCs w:val="18"/>
        </w:rPr>
      </w:pPr>
      <w:r w:rsidRPr="001761B8">
        <w:rPr>
          <w:sz w:val="20"/>
          <w:szCs w:val="18"/>
        </w:rPr>
        <w:t>***Nil fee for NSW Guardianship proceedings</w:t>
      </w:r>
    </w:p>
    <w:p w14:paraId="75AD37EA" w14:textId="77777777" w:rsidR="009B0F09" w:rsidRDefault="009B0F09" w:rsidP="005E6681">
      <w:pPr>
        <w:pStyle w:val="DJCSbody"/>
        <w:ind w:left="0"/>
        <w:rPr>
          <w:sz w:val="20"/>
          <w:szCs w:val="18"/>
        </w:rPr>
      </w:pPr>
    </w:p>
    <w:p w14:paraId="00F00D3B" w14:textId="77777777" w:rsidR="00676460" w:rsidRDefault="009B0F09">
      <w:pPr>
        <w:rPr>
          <w:szCs w:val="18"/>
        </w:rPr>
        <w:sectPr w:rsidR="00676460" w:rsidSect="00C329DD">
          <w:headerReference w:type="default" r:id="rId38"/>
          <w:pgSz w:w="16838" w:h="11906" w:orient="landscape" w:code="9"/>
          <w:pgMar w:top="851" w:right="1871" w:bottom="707" w:left="1588" w:header="283" w:footer="680" w:gutter="0"/>
          <w:cols w:space="720"/>
          <w:docGrid w:linePitch="360"/>
        </w:sectPr>
      </w:pPr>
      <w:r>
        <w:rPr>
          <w:szCs w:val="18"/>
        </w:rPr>
        <w:br w:type="page"/>
      </w:r>
    </w:p>
    <w:p w14:paraId="1BF06A12" w14:textId="7C80B1E1" w:rsidR="009B0F09" w:rsidRDefault="009B0F09" w:rsidP="009B0F09">
      <w:pPr>
        <w:pStyle w:val="Heading1"/>
      </w:pPr>
      <w:bookmarkStart w:id="145" w:name="_Toc216179735"/>
      <w:r>
        <w:lastRenderedPageBreak/>
        <w:t xml:space="preserve">Appendix F – </w:t>
      </w:r>
      <w:r w:rsidR="00B25A76">
        <w:t>Fee Differences in t</w:t>
      </w:r>
      <w:r w:rsidR="00E25A08">
        <w:t>he Proposed Regulations</w:t>
      </w:r>
      <w:bookmarkEnd w:id="145"/>
    </w:p>
    <w:p w14:paraId="5C1FC877" w14:textId="1AB6C980" w:rsidR="00E16D08" w:rsidRPr="00E16D08" w:rsidRDefault="00E16D08" w:rsidP="00E16D08">
      <w:pPr>
        <w:pStyle w:val="DJCStablecaption"/>
        <w:ind w:left="0"/>
        <w:rPr>
          <w:rFonts w:eastAsia="Times"/>
        </w:rPr>
      </w:pPr>
      <w:r w:rsidRPr="00C329DD">
        <w:t>Table 2</w:t>
      </w:r>
      <w:r>
        <w:t>6</w:t>
      </w:r>
      <w:r w:rsidRPr="00C329DD">
        <w:t xml:space="preserve">: </w:t>
      </w:r>
      <w:r>
        <w:t xml:space="preserve">Differences in </w:t>
      </w:r>
      <w:r w:rsidR="00C456E3">
        <w:t xml:space="preserve">fees </w:t>
      </w:r>
      <w:r w:rsidR="000561EC">
        <w:t>in</w:t>
      </w:r>
      <w:r w:rsidR="00C456E3">
        <w:t xml:space="preserve"> the </w:t>
      </w:r>
      <w:r w:rsidR="007546A5">
        <w:t xml:space="preserve">Proposed </w:t>
      </w:r>
      <w:r w:rsidR="000561EC">
        <w:t>Regulations minus the Regulations</w:t>
      </w:r>
    </w:p>
    <w:tbl>
      <w:tblPr>
        <w:tblW w:w="5000" w:type="pct"/>
        <w:tblLayout w:type="fixed"/>
        <w:tblCellMar>
          <w:top w:w="15" w:type="dxa"/>
          <w:bottom w:w="15" w:type="dxa"/>
        </w:tblCellMar>
        <w:tblLook w:val="04A0" w:firstRow="1" w:lastRow="0" w:firstColumn="1" w:lastColumn="0" w:noHBand="0" w:noVBand="1"/>
      </w:tblPr>
      <w:tblGrid>
        <w:gridCol w:w="4531"/>
        <w:gridCol w:w="1560"/>
        <w:gridCol w:w="1415"/>
        <w:gridCol w:w="1416"/>
        <w:gridCol w:w="1416"/>
      </w:tblGrid>
      <w:tr w:rsidR="00F41C4E" w:rsidRPr="00F41C4E" w14:paraId="510352E0" w14:textId="77777777" w:rsidTr="00F41C4E">
        <w:trPr>
          <w:trHeight w:val="870"/>
          <w:tblHeader/>
        </w:trPr>
        <w:tc>
          <w:tcPr>
            <w:tcW w:w="2191" w:type="pct"/>
            <w:tcBorders>
              <w:top w:val="single" w:sz="4" w:space="0" w:color="auto"/>
              <w:left w:val="single" w:sz="4" w:space="0" w:color="auto"/>
              <w:bottom w:val="single" w:sz="4" w:space="0" w:color="auto"/>
              <w:right w:val="nil"/>
            </w:tcBorders>
            <w:shd w:val="clear" w:color="000000" w:fill="002060"/>
            <w:noWrap/>
            <w:vAlign w:val="center"/>
            <w:hideMark/>
          </w:tcPr>
          <w:p w14:paraId="03E33CAA" w14:textId="77777777" w:rsidR="00F41C4E" w:rsidRPr="00F41C4E" w:rsidRDefault="00F41C4E" w:rsidP="00F41C4E">
            <w:pPr>
              <w:jc w:val="center"/>
              <w:rPr>
                <w:rFonts w:ascii="Aptos Narrow" w:hAnsi="Aptos Narrow"/>
                <w:b/>
                <w:bCs/>
                <w:color w:val="FFFFFF"/>
                <w:lang w:eastAsia="ko-KR"/>
              </w:rPr>
            </w:pPr>
            <w:r w:rsidRPr="00F41C4E">
              <w:rPr>
                <w:rFonts w:ascii="Aptos Narrow" w:hAnsi="Aptos Narrow"/>
                <w:b/>
                <w:bCs/>
                <w:color w:val="FFFFFF"/>
                <w:lang w:eastAsia="ko-KR"/>
              </w:rPr>
              <w:t>Fee Type</w:t>
            </w:r>
          </w:p>
        </w:tc>
        <w:tc>
          <w:tcPr>
            <w:tcW w:w="754" w:type="pct"/>
            <w:tcBorders>
              <w:top w:val="single" w:sz="4" w:space="0" w:color="auto"/>
              <w:left w:val="nil"/>
              <w:bottom w:val="single" w:sz="4" w:space="0" w:color="auto"/>
              <w:right w:val="nil"/>
            </w:tcBorders>
            <w:shd w:val="clear" w:color="000000" w:fill="002060"/>
            <w:vAlign w:val="center"/>
            <w:hideMark/>
          </w:tcPr>
          <w:p w14:paraId="3F9B04D9" w14:textId="77777777" w:rsidR="00F41C4E" w:rsidRPr="00F41C4E" w:rsidRDefault="00F41C4E" w:rsidP="00F41C4E">
            <w:pPr>
              <w:jc w:val="center"/>
              <w:rPr>
                <w:rFonts w:ascii="Aptos Narrow" w:hAnsi="Aptos Narrow"/>
                <w:b/>
                <w:bCs/>
                <w:color w:val="FFFFFF"/>
                <w:lang w:eastAsia="ko-KR"/>
              </w:rPr>
            </w:pPr>
            <w:r w:rsidRPr="00F41C4E">
              <w:rPr>
                <w:rFonts w:ascii="Aptos Narrow" w:hAnsi="Aptos Narrow"/>
                <w:b/>
                <w:bCs/>
                <w:color w:val="FFFFFF"/>
                <w:lang w:eastAsia="ko-KR"/>
              </w:rPr>
              <w:t>Proposed Regulation Reference</w:t>
            </w:r>
          </w:p>
        </w:tc>
        <w:tc>
          <w:tcPr>
            <w:tcW w:w="684" w:type="pct"/>
            <w:tcBorders>
              <w:top w:val="single" w:sz="4" w:space="0" w:color="auto"/>
              <w:left w:val="nil"/>
              <w:bottom w:val="single" w:sz="4" w:space="0" w:color="auto"/>
              <w:right w:val="nil"/>
            </w:tcBorders>
            <w:shd w:val="clear" w:color="000000" w:fill="002060"/>
            <w:vAlign w:val="center"/>
            <w:hideMark/>
          </w:tcPr>
          <w:p w14:paraId="3915D06D" w14:textId="77777777" w:rsidR="00F41C4E" w:rsidRPr="00F41C4E" w:rsidRDefault="00F41C4E" w:rsidP="00F41C4E">
            <w:pPr>
              <w:jc w:val="center"/>
              <w:rPr>
                <w:rFonts w:ascii="Aptos Narrow" w:hAnsi="Aptos Narrow"/>
                <w:b/>
                <w:bCs/>
                <w:color w:val="FFFFFF"/>
                <w:lang w:eastAsia="ko-KR"/>
              </w:rPr>
            </w:pPr>
            <w:r w:rsidRPr="00F41C4E">
              <w:rPr>
                <w:rFonts w:ascii="Aptos Narrow" w:hAnsi="Aptos Narrow"/>
                <w:b/>
                <w:bCs/>
                <w:color w:val="FFFFFF"/>
                <w:lang w:eastAsia="ko-KR"/>
              </w:rPr>
              <w:t>Difference in Corporate ($)</w:t>
            </w:r>
          </w:p>
        </w:tc>
        <w:tc>
          <w:tcPr>
            <w:tcW w:w="685" w:type="pct"/>
            <w:tcBorders>
              <w:top w:val="single" w:sz="4" w:space="0" w:color="auto"/>
              <w:left w:val="nil"/>
              <w:bottom w:val="single" w:sz="4" w:space="0" w:color="auto"/>
              <w:right w:val="nil"/>
            </w:tcBorders>
            <w:shd w:val="clear" w:color="000000" w:fill="002060"/>
            <w:vAlign w:val="center"/>
            <w:hideMark/>
          </w:tcPr>
          <w:p w14:paraId="14E9A60A" w14:textId="77777777" w:rsidR="00F41C4E" w:rsidRPr="00F41C4E" w:rsidRDefault="00F41C4E" w:rsidP="00F41C4E">
            <w:pPr>
              <w:jc w:val="center"/>
              <w:rPr>
                <w:rFonts w:ascii="Aptos Narrow" w:hAnsi="Aptos Narrow"/>
                <w:b/>
                <w:bCs/>
                <w:color w:val="FFFFFF"/>
                <w:lang w:eastAsia="ko-KR"/>
              </w:rPr>
            </w:pPr>
            <w:r w:rsidRPr="00F41C4E">
              <w:rPr>
                <w:rFonts w:ascii="Aptos Narrow" w:hAnsi="Aptos Narrow"/>
                <w:b/>
                <w:bCs/>
                <w:color w:val="FFFFFF"/>
                <w:lang w:eastAsia="ko-KR"/>
              </w:rPr>
              <w:t>Difference in Standard ($)</w:t>
            </w:r>
          </w:p>
        </w:tc>
        <w:tc>
          <w:tcPr>
            <w:tcW w:w="685" w:type="pct"/>
            <w:tcBorders>
              <w:top w:val="single" w:sz="4" w:space="0" w:color="auto"/>
              <w:left w:val="nil"/>
              <w:bottom w:val="single" w:sz="4" w:space="0" w:color="auto"/>
              <w:right w:val="single" w:sz="4" w:space="0" w:color="auto"/>
            </w:tcBorders>
            <w:shd w:val="clear" w:color="000000" w:fill="002060"/>
            <w:vAlign w:val="center"/>
            <w:hideMark/>
          </w:tcPr>
          <w:p w14:paraId="62938933" w14:textId="77777777" w:rsidR="00F41C4E" w:rsidRPr="00F41C4E" w:rsidRDefault="00F41C4E" w:rsidP="00F41C4E">
            <w:pPr>
              <w:jc w:val="center"/>
              <w:rPr>
                <w:rFonts w:ascii="Aptos Narrow" w:hAnsi="Aptos Narrow"/>
                <w:b/>
                <w:bCs/>
                <w:color w:val="FFFFFF"/>
                <w:lang w:eastAsia="ko-KR"/>
              </w:rPr>
            </w:pPr>
            <w:r w:rsidRPr="00F41C4E">
              <w:rPr>
                <w:rFonts w:ascii="Aptos Narrow" w:hAnsi="Aptos Narrow"/>
                <w:b/>
                <w:bCs/>
                <w:color w:val="FFFFFF"/>
                <w:lang w:eastAsia="ko-KR"/>
              </w:rPr>
              <w:t>Difference in Concession ($)</w:t>
            </w:r>
          </w:p>
        </w:tc>
      </w:tr>
      <w:tr w:rsidR="00F41C4E" w:rsidRPr="00F41C4E" w14:paraId="297E5C66" w14:textId="77777777" w:rsidTr="00F41C4E">
        <w:trPr>
          <w:trHeight w:val="315"/>
        </w:trPr>
        <w:tc>
          <w:tcPr>
            <w:tcW w:w="2191" w:type="pct"/>
            <w:tcBorders>
              <w:top w:val="single" w:sz="4" w:space="0" w:color="auto"/>
              <w:left w:val="single" w:sz="4" w:space="0" w:color="auto"/>
              <w:bottom w:val="single" w:sz="4" w:space="0" w:color="auto"/>
              <w:right w:val="nil"/>
            </w:tcBorders>
            <w:shd w:val="clear" w:color="000000" w:fill="D9D9D9"/>
            <w:noWrap/>
            <w:vAlign w:val="bottom"/>
            <w:hideMark/>
          </w:tcPr>
          <w:p w14:paraId="078F440E" w14:textId="77777777" w:rsidR="00F41C4E" w:rsidRPr="00F41C4E" w:rsidRDefault="00F41C4E" w:rsidP="00F41C4E">
            <w:pPr>
              <w:rPr>
                <w:rFonts w:ascii="Aptos Narrow" w:hAnsi="Aptos Narrow"/>
                <w:b/>
                <w:bCs/>
                <w:color w:val="000000"/>
                <w:sz w:val="24"/>
                <w:szCs w:val="24"/>
                <w:lang w:eastAsia="ko-KR"/>
              </w:rPr>
            </w:pPr>
            <w:r w:rsidRPr="00F41C4E">
              <w:rPr>
                <w:rFonts w:ascii="Aptos Narrow" w:hAnsi="Aptos Narrow"/>
                <w:b/>
                <w:bCs/>
                <w:color w:val="000000"/>
                <w:sz w:val="24"/>
                <w:szCs w:val="24"/>
                <w:lang w:eastAsia="ko-KR"/>
              </w:rPr>
              <w:t>Part 1 - Fee for commencement of a proceeding</w:t>
            </w:r>
          </w:p>
        </w:tc>
        <w:tc>
          <w:tcPr>
            <w:tcW w:w="754" w:type="pct"/>
            <w:tcBorders>
              <w:top w:val="single" w:sz="4" w:space="0" w:color="auto"/>
              <w:left w:val="nil"/>
              <w:bottom w:val="single" w:sz="4" w:space="0" w:color="auto"/>
              <w:right w:val="nil"/>
            </w:tcBorders>
            <w:shd w:val="clear" w:color="000000" w:fill="D9D9D9"/>
            <w:noWrap/>
            <w:vAlign w:val="bottom"/>
            <w:hideMark/>
          </w:tcPr>
          <w:p w14:paraId="1E32770C" w14:textId="77777777" w:rsidR="00F41C4E" w:rsidRPr="00F41C4E" w:rsidRDefault="00F41C4E" w:rsidP="00F41C4E">
            <w:pPr>
              <w:rPr>
                <w:rFonts w:ascii="Aptos Narrow" w:hAnsi="Aptos Narrow"/>
                <w:b/>
                <w:bCs/>
                <w:color w:val="000000"/>
                <w:sz w:val="24"/>
                <w:szCs w:val="24"/>
                <w:lang w:eastAsia="ko-KR"/>
              </w:rPr>
            </w:pPr>
          </w:p>
        </w:tc>
        <w:tc>
          <w:tcPr>
            <w:tcW w:w="684" w:type="pct"/>
            <w:tcBorders>
              <w:top w:val="single" w:sz="4" w:space="0" w:color="auto"/>
              <w:left w:val="nil"/>
              <w:bottom w:val="single" w:sz="4" w:space="0" w:color="auto"/>
              <w:right w:val="nil"/>
            </w:tcBorders>
            <w:shd w:val="clear" w:color="000000" w:fill="D9D9D9"/>
            <w:noWrap/>
            <w:vAlign w:val="bottom"/>
            <w:hideMark/>
          </w:tcPr>
          <w:p w14:paraId="110DD669" w14:textId="77777777" w:rsidR="00F41C4E" w:rsidRPr="00F41C4E" w:rsidRDefault="00F41C4E" w:rsidP="00F41C4E">
            <w:pPr>
              <w:rPr>
                <w:rFonts w:ascii="Times New Roman" w:hAnsi="Times New Roman"/>
                <w:lang w:eastAsia="ko-KR"/>
              </w:rPr>
            </w:pPr>
          </w:p>
        </w:tc>
        <w:tc>
          <w:tcPr>
            <w:tcW w:w="685" w:type="pct"/>
            <w:tcBorders>
              <w:top w:val="single" w:sz="4" w:space="0" w:color="auto"/>
              <w:left w:val="nil"/>
              <w:bottom w:val="single" w:sz="4" w:space="0" w:color="auto"/>
              <w:right w:val="nil"/>
            </w:tcBorders>
            <w:shd w:val="clear" w:color="000000" w:fill="D9D9D9"/>
            <w:noWrap/>
            <w:vAlign w:val="bottom"/>
            <w:hideMark/>
          </w:tcPr>
          <w:p w14:paraId="5AE745D2" w14:textId="77777777" w:rsidR="00F41C4E" w:rsidRPr="00F41C4E" w:rsidRDefault="00F41C4E" w:rsidP="00F41C4E">
            <w:pPr>
              <w:rPr>
                <w:rFonts w:ascii="Times New Roman" w:hAnsi="Times New Roman"/>
                <w:lang w:eastAsia="ko-KR"/>
              </w:rPr>
            </w:pPr>
          </w:p>
        </w:tc>
        <w:tc>
          <w:tcPr>
            <w:tcW w:w="685" w:type="pct"/>
            <w:tcBorders>
              <w:top w:val="single" w:sz="4" w:space="0" w:color="auto"/>
              <w:left w:val="nil"/>
              <w:bottom w:val="single" w:sz="4" w:space="0" w:color="auto"/>
              <w:right w:val="single" w:sz="4" w:space="0" w:color="auto"/>
            </w:tcBorders>
            <w:shd w:val="clear" w:color="000000" w:fill="D9D9D9"/>
            <w:noWrap/>
            <w:vAlign w:val="bottom"/>
            <w:hideMark/>
          </w:tcPr>
          <w:p w14:paraId="756E74A9" w14:textId="77777777" w:rsidR="00F41C4E" w:rsidRPr="00F41C4E" w:rsidRDefault="00F41C4E" w:rsidP="00F41C4E">
            <w:pPr>
              <w:rPr>
                <w:rFonts w:ascii="Times New Roman" w:hAnsi="Times New Roman"/>
                <w:lang w:eastAsia="ko-KR"/>
              </w:rPr>
            </w:pPr>
          </w:p>
        </w:tc>
      </w:tr>
      <w:tr w:rsidR="00F41C4E" w:rsidRPr="00F41C4E" w14:paraId="09022E87" w14:textId="77777777" w:rsidTr="00F41C4E">
        <w:trPr>
          <w:trHeight w:val="285"/>
        </w:trPr>
        <w:tc>
          <w:tcPr>
            <w:tcW w:w="2191" w:type="pct"/>
            <w:tcBorders>
              <w:top w:val="nil"/>
              <w:left w:val="single" w:sz="4" w:space="0" w:color="auto"/>
              <w:bottom w:val="nil"/>
              <w:right w:val="single" w:sz="4" w:space="0" w:color="auto"/>
            </w:tcBorders>
            <w:vAlign w:val="center"/>
            <w:hideMark/>
          </w:tcPr>
          <w:p w14:paraId="6FAB8932"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Commencement of a Proceeding</w:t>
            </w:r>
          </w:p>
        </w:tc>
        <w:tc>
          <w:tcPr>
            <w:tcW w:w="754" w:type="pct"/>
            <w:tcBorders>
              <w:top w:val="single" w:sz="4" w:space="0" w:color="auto"/>
              <w:left w:val="single" w:sz="4" w:space="0" w:color="auto"/>
              <w:bottom w:val="nil"/>
              <w:right w:val="nil"/>
            </w:tcBorders>
            <w:noWrap/>
            <w:vAlign w:val="bottom"/>
            <w:hideMark/>
          </w:tcPr>
          <w:p w14:paraId="22BB42B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w:t>
            </w:r>
          </w:p>
        </w:tc>
        <w:tc>
          <w:tcPr>
            <w:tcW w:w="684" w:type="pct"/>
            <w:tcBorders>
              <w:top w:val="single" w:sz="4" w:space="0" w:color="auto"/>
              <w:left w:val="nil"/>
              <w:bottom w:val="nil"/>
              <w:right w:val="nil"/>
            </w:tcBorders>
            <w:noWrap/>
            <w:vAlign w:val="center"/>
            <w:hideMark/>
          </w:tcPr>
          <w:p w14:paraId="04FA602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c>
          <w:tcPr>
            <w:tcW w:w="685" w:type="pct"/>
            <w:tcBorders>
              <w:top w:val="single" w:sz="4" w:space="0" w:color="auto"/>
              <w:left w:val="nil"/>
              <w:bottom w:val="nil"/>
              <w:right w:val="nil"/>
            </w:tcBorders>
            <w:noWrap/>
            <w:vAlign w:val="center"/>
            <w:hideMark/>
          </w:tcPr>
          <w:p w14:paraId="1446DE6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c>
          <w:tcPr>
            <w:tcW w:w="685" w:type="pct"/>
            <w:tcBorders>
              <w:top w:val="single" w:sz="4" w:space="0" w:color="auto"/>
              <w:left w:val="nil"/>
              <w:bottom w:val="nil"/>
              <w:right w:val="single" w:sz="4" w:space="0" w:color="auto"/>
            </w:tcBorders>
            <w:noWrap/>
            <w:vAlign w:val="center"/>
            <w:hideMark/>
          </w:tcPr>
          <w:p w14:paraId="7DCEFE6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751D9E49"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33BFAF9C"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BC0C0D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w:t>
            </w:r>
          </w:p>
        </w:tc>
        <w:tc>
          <w:tcPr>
            <w:tcW w:w="684" w:type="pct"/>
            <w:tcBorders>
              <w:top w:val="nil"/>
              <w:left w:val="nil"/>
              <w:bottom w:val="nil"/>
              <w:right w:val="nil"/>
            </w:tcBorders>
            <w:noWrap/>
            <w:vAlign w:val="center"/>
            <w:hideMark/>
          </w:tcPr>
          <w:p w14:paraId="0CB3221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90.6</w:t>
            </w:r>
          </w:p>
        </w:tc>
        <w:tc>
          <w:tcPr>
            <w:tcW w:w="685" w:type="pct"/>
            <w:tcBorders>
              <w:top w:val="nil"/>
              <w:left w:val="nil"/>
              <w:bottom w:val="nil"/>
              <w:right w:val="nil"/>
            </w:tcBorders>
            <w:noWrap/>
            <w:vAlign w:val="center"/>
            <w:hideMark/>
          </w:tcPr>
          <w:p w14:paraId="4F30B83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-9.3</w:t>
            </w:r>
          </w:p>
        </w:tc>
        <w:tc>
          <w:tcPr>
            <w:tcW w:w="685" w:type="pct"/>
            <w:tcBorders>
              <w:top w:val="nil"/>
              <w:left w:val="nil"/>
              <w:bottom w:val="nil"/>
              <w:right w:val="single" w:sz="4" w:space="0" w:color="auto"/>
            </w:tcBorders>
            <w:noWrap/>
            <w:vAlign w:val="center"/>
            <w:hideMark/>
          </w:tcPr>
          <w:p w14:paraId="1B17A4E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524E040C"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0C4E4019"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30FDB00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w:t>
            </w:r>
          </w:p>
        </w:tc>
        <w:tc>
          <w:tcPr>
            <w:tcW w:w="684" w:type="pct"/>
            <w:tcBorders>
              <w:top w:val="nil"/>
              <w:left w:val="nil"/>
              <w:bottom w:val="nil"/>
              <w:right w:val="nil"/>
            </w:tcBorders>
            <w:noWrap/>
            <w:vAlign w:val="center"/>
            <w:hideMark/>
          </w:tcPr>
          <w:p w14:paraId="0F562E0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90.6</w:t>
            </w:r>
          </w:p>
        </w:tc>
        <w:tc>
          <w:tcPr>
            <w:tcW w:w="685" w:type="pct"/>
            <w:tcBorders>
              <w:top w:val="nil"/>
              <w:left w:val="nil"/>
              <w:bottom w:val="nil"/>
              <w:right w:val="nil"/>
            </w:tcBorders>
            <w:noWrap/>
            <w:vAlign w:val="center"/>
            <w:hideMark/>
          </w:tcPr>
          <w:p w14:paraId="783041D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-9.3</w:t>
            </w:r>
          </w:p>
        </w:tc>
        <w:tc>
          <w:tcPr>
            <w:tcW w:w="685" w:type="pct"/>
            <w:tcBorders>
              <w:top w:val="nil"/>
              <w:left w:val="nil"/>
              <w:bottom w:val="nil"/>
              <w:right w:val="single" w:sz="4" w:space="0" w:color="auto"/>
            </w:tcBorders>
            <w:noWrap/>
            <w:vAlign w:val="center"/>
            <w:hideMark/>
          </w:tcPr>
          <w:p w14:paraId="6E5BC97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21.6</w:t>
            </w:r>
          </w:p>
        </w:tc>
      </w:tr>
      <w:tr w:rsidR="00F41C4E" w:rsidRPr="00F41C4E" w14:paraId="0CD53580"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15FE2464"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1C6D69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w:t>
            </w:r>
          </w:p>
        </w:tc>
        <w:tc>
          <w:tcPr>
            <w:tcW w:w="684" w:type="pct"/>
            <w:tcBorders>
              <w:top w:val="nil"/>
              <w:left w:val="nil"/>
              <w:bottom w:val="nil"/>
              <w:right w:val="nil"/>
            </w:tcBorders>
            <w:noWrap/>
            <w:vAlign w:val="center"/>
            <w:hideMark/>
          </w:tcPr>
          <w:p w14:paraId="5424070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675.7</w:t>
            </w:r>
          </w:p>
        </w:tc>
        <w:tc>
          <w:tcPr>
            <w:tcW w:w="685" w:type="pct"/>
            <w:tcBorders>
              <w:top w:val="nil"/>
              <w:left w:val="nil"/>
              <w:bottom w:val="nil"/>
              <w:right w:val="nil"/>
            </w:tcBorders>
            <w:noWrap/>
            <w:vAlign w:val="center"/>
            <w:hideMark/>
          </w:tcPr>
          <w:p w14:paraId="052F322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-69.3</w:t>
            </w:r>
          </w:p>
        </w:tc>
        <w:tc>
          <w:tcPr>
            <w:tcW w:w="685" w:type="pct"/>
            <w:tcBorders>
              <w:top w:val="nil"/>
              <w:left w:val="nil"/>
              <w:bottom w:val="nil"/>
              <w:right w:val="single" w:sz="4" w:space="0" w:color="auto"/>
            </w:tcBorders>
            <w:noWrap/>
            <w:vAlign w:val="center"/>
            <w:hideMark/>
          </w:tcPr>
          <w:p w14:paraId="7EA4A18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w:t>
            </w:r>
          </w:p>
        </w:tc>
      </w:tr>
      <w:tr w:rsidR="00F41C4E" w:rsidRPr="00F41C4E" w14:paraId="177AEEC3"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A721C61"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36B7ADE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w:t>
            </w:r>
          </w:p>
        </w:tc>
        <w:tc>
          <w:tcPr>
            <w:tcW w:w="684" w:type="pct"/>
            <w:tcBorders>
              <w:top w:val="nil"/>
              <w:left w:val="nil"/>
              <w:bottom w:val="nil"/>
              <w:right w:val="nil"/>
            </w:tcBorders>
            <w:noWrap/>
            <w:vAlign w:val="center"/>
            <w:hideMark/>
          </w:tcPr>
          <w:p w14:paraId="3F962EC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920.1</w:t>
            </w:r>
          </w:p>
        </w:tc>
        <w:tc>
          <w:tcPr>
            <w:tcW w:w="685" w:type="pct"/>
            <w:tcBorders>
              <w:top w:val="nil"/>
              <w:left w:val="nil"/>
              <w:bottom w:val="nil"/>
              <w:right w:val="nil"/>
            </w:tcBorders>
            <w:noWrap/>
            <w:vAlign w:val="center"/>
            <w:hideMark/>
          </w:tcPr>
          <w:p w14:paraId="7F8DA8A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-94.4</w:t>
            </w:r>
          </w:p>
        </w:tc>
        <w:tc>
          <w:tcPr>
            <w:tcW w:w="685" w:type="pct"/>
            <w:tcBorders>
              <w:top w:val="nil"/>
              <w:left w:val="nil"/>
              <w:bottom w:val="nil"/>
              <w:right w:val="single" w:sz="4" w:space="0" w:color="auto"/>
            </w:tcBorders>
            <w:noWrap/>
            <w:vAlign w:val="center"/>
            <w:hideMark/>
          </w:tcPr>
          <w:p w14:paraId="788B6A5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34.6</w:t>
            </w:r>
          </w:p>
        </w:tc>
      </w:tr>
      <w:tr w:rsidR="00F41C4E" w:rsidRPr="00F41C4E" w14:paraId="6BCE4883"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2266503"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75FE0A7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w:t>
            </w:r>
          </w:p>
        </w:tc>
        <w:tc>
          <w:tcPr>
            <w:tcW w:w="684" w:type="pct"/>
            <w:tcBorders>
              <w:top w:val="nil"/>
              <w:left w:val="nil"/>
              <w:bottom w:val="nil"/>
              <w:right w:val="nil"/>
            </w:tcBorders>
            <w:noWrap/>
            <w:vAlign w:val="center"/>
            <w:hideMark/>
          </w:tcPr>
          <w:p w14:paraId="2DE36F8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1,207.7</w:t>
            </w:r>
          </w:p>
        </w:tc>
        <w:tc>
          <w:tcPr>
            <w:tcW w:w="685" w:type="pct"/>
            <w:tcBorders>
              <w:top w:val="nil"/>
              <w:left w:val="nil"/>
              <w:bottom w:val="nil"/>
              <w:right w:val="nil"/>
            </w:tcBorders>
            <w:noWrap/>
            <w:vAlign w:val="center"/>
            <w:hideMark/>
          </w:tcPr>
          <w:p w14:paraId="093AB68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-123.9</w:t>
            </w:r>
          </w:p>
        </w:tc>
        <w:tc>
          <w:tcPr>
            <w:tcW w:w="685" w:type="pct"/>
            <w:tcBorders>
              <w:top w:val="nil"/>
              <w:left w:val="nil"/>
              <w:bottom w:val="nil"/>
              <w:right w:val="single" w:sz="4" w:space="0" w:color="auto"/>
            </w:tcBorders>
            <w:noWrap/>
            <w:vAlign w:val="center"/>
            <w:hideMark/>
          </w:tcPr>
          <w:p w14:paraId="2C7A52F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103.3</w:t>
            </w:r>
          </w:p>
        </w:tc>
      </w:tr>
      <w:tr w:rsidR="00F41C4E" w:rsidRPr="00F41C4E" w14:paraId="55D3D3CC"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3C0C7EB"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75C265C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7</w:t>
            </w:r>
          </w:p>
        </w:tc>
        <w:tc>
          <w:tcPr>
            <w:tcW w:w="684" w:type="pct"/>
            <w:tcBorders>
              <w:top w:val="nil"/>
              <w:left w:val="nil"/>
              <w:bottom w:val="nil"/>
              <w:right w:val="nil"/>
            </w:tcBorders>
            <w:noWrap/>
            <w:vAlign w:val="center"/>
            <w:hideMark/>
          </w:tcPr>
          <w:p w14:paraId="3DC844B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920.1</w:t>
            </w:r>
          </w:p>
        </w:tc>
        <w:tc>
          <w:tcPr>
            <w:tcW w:w="685" w:type="pct"/>
            <w:tcBorders>
              <w:top w:val="nil"/>
              <w:left w:val="nil"/>
              <w:bottom w:val="nil"/>
              <w:right w:val="nil"/>
            </w:tcBorders>
            <w:noWrap/>
            <w:vAlign w:val="center"/>
            <w:hideMark/>
          </w:tcPr>
          <w:p w14:paraId="4701C36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c>
          <w:tcPr>
            <w:tcW w:w="685" w:type="pct"/>
            <w:tcBorders>
              <w:top w:val="nil"/>
              <w:left w:val="nil"/>
              <w:bottom w:val="nil"/>
              <w:right w:val="single" w:sz="4" w:space="0" w:color="auto"/>
            </w:tcBorders>
            <w:noWrap/>
            <w:vAlign w:val="center"/>
            <w:hideMark/>
          </w:tcPr>
          <w:p w14:paraId="29B3125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4B58AB5E"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3A710F6D"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E69AC0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8(d)</w:t>
            </w:r>
          </w:p>
        </w:tc>
        <w:tc>
          <w:tcPr>
            <w:tcW w:w="684" w:type="pct"/>
            <w:tcBorders>
              <w:top w:val="nil"/>
              <w:left w:val="nil"/>
              <w:bottom w:val="nil"/>
              <w:right w:val="nil"/>
            </w:tcBorders>
            <w:noWrap/>
            <w:vAlign w:val="center"/>
            <w:hideMark/>
          </w:tcPr>
          <w:p w14:paraId="56F963C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90.6</w:t>
            </w:r>
          </w:p>
        </w:tc>
        <w:tc>
          <w:tcPr>
            <w:tcW w:w="685" w:type="pct"/>
            <w:tcBorders>
              <w:top w:val="nil"/>
              <w:left w:val="nil"/>
              <w:bottom w:val="nil"/>
              <w:right w:val="nil"/>
            </w:tcBorders>
            <w:noWrap/>
            <w:vAlign w:val="center"/>
            <w:hideMark/>
          </w:tcPr>
          <w:p w14:paraId="3876B8D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-9.3</w:t>
            </w:r>
          </w:p>
        </w:tc>
        <w:tc>
          <w:tcPr>
            <w:tcW w:w="685" w:type="pct"/>
            <w:tcBorders>
              <w:top w:val="nil"/>
              <w:left w:val="nil"/>
              <w:bottom w:val="nil"/>
              <w:right w:val="single" w:sz="4" w:space="0" w:color="auto"/>
            </w:tcBorders>
            <w:noWrap/>
            <w:vAlign w:val="center"/>
            <w:hideMark/>
          </w:tcPr>
          <w:p w14:paraId="3D9D01B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3753BB90"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23B30AB8"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6AEF8F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8(e)</w:t>
            </w:r>
          </w:p>
        </w:tc>
        <w:tc>
          <w:tcPr>
            <w:tcW w:w="684" w:type="pct"/>
            <w:tcBorders>
              <w:top w:val="nil"/>
              <w:left w:val="nil"/>
              <w:bottom w:val="nil"/>
              <w:right w:val="nil"/>
            </w:tcBorders>
            <w:noWrap/>
            <w:vAlign w:val="center"/>
            <w:hideMark/>
          </w:tcPr>
          <w:p w14:paraId="219186C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301.9</w:t>
            </w:r>
          </w:p>
        </w:tc>
        <w:tc>
          <w:tcPr>
            <w:tcW w:w="685" w:type="pct"/>
            <w:tcBorders>
              <w:top w:val="nil"/>
              <w:left w:val="nil"/>
              <w:bottom w:val="nil"/>
              <w:right w:val="nil"/>
            </w:tcBorders>
            <w:noWrap/>
            <w:vAlign w:val="center"/>
            <w:hideMark/>
          </w:tcPr>
          <w:p w14:paraId="66EB52F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-31.0</w:t>
            </w:r>
          </w:p>
        </w:tc>
        <w:tc>
          <w:tcPr>
            <w:tcW w:w="685" w:type="pct"/>
            <w:tcBorders>
              <w:top w:val="nil"/>
              <w:left w:val="nil"/>
              <w:bottom w:val="nil"/>
              <w:right w:val="single" w:sz="4" w:space="0" w:color="auto"/>
            </w:tcBorders>
            <w:noWrap/>
            <w:vAlign w:val="center"/>
            <w:hideMark/>
          </w:tcPr>
          <w:p w14:paraId="6CDB623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1683DCBE"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224F463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645DA6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8(fi/ii)</w:t>
            </w:r>
          </w:p>
        </w:tc>
        <w:tc>
          <w:tcPr>
            <w:tcW w:w="684" w:type="pct"/>
            <w:tcBorders>
              <w:top w:val="nil"/>
              <w:left w:val="nil"/>
              <w:bottom w:val="nil"/>
              <w:right w:val="nil"/>
            </w:tcBorders>
            <w:noWrap/>
            <w:vAlign w:val="center"/>
            <w:hideMark/>
          </w:tcPr>
          <w:p w14:paraId="50D8E8F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675.7</w:t>
            </w:r>
          </w:p>
        </w:tc>
        <w:tc>
          <w:tcPr>
            <w:tcW w:w="685" w:type="pct"/>
            <w:tcBorders>
              <w:top w:val="nil"/>
              <w:left w:val="nil"/>
              <w:bottom w:val="nil"/>
              <w:right w:val="nil"/>
            </w:tcBorders>
            <w:noWrap/>
            <w:vAlign w:val="center"/>
            <w:hideMark/>
          </w:tcPr>
          <w:p w14:paraId="2C6DA75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-69.3</w:t>
            </w:r>
          </w:p>
        </w:tc>
        <w:tc>
          <w:tcPr>
            <w:tcW w:w="685" w:type="pct"/>
            <w:tcBorders>
              <w:top w:val="nil"/>
              <w:left w:val="nil"/>
              <w:bottom w:val="nil"/>
              <w:right w:val="single" w:sz="4" w:space="0" w:color="auto"/>
            </w:tcBorders>
            <w:noWrap/>
            <w:vAlign w:val="center"/>
            <w:hideMark/>
          </w:tcPr>
          <w:p w14:paraId="05B89DA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w:t>
            </w:r>
          </w:p>
        </w:tc>
      </w:tr>
      <w:tr w:rsidR="00F41C4E" w:rsidRPr="00F41C4E" w14:paraId="31510BE8"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5BB821C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41F5282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8(g)</w:t>
            </w:r>
          </w:p>
        </w:tc>
        <w:tc>
          <w:tcPr>
            <w:tcW w:w="684" w:type="pct"/>
            <w:tcBorders>
              <w:top w:val="nil"/>
              <w:left w:val="nil"/>
              <w:bottom w:val="nil"/>
              <w:right w:val="nil"/>
            </w:tcBorders>
            <w:noWrap/>
            <w:vAlign w:val="center"/>
            <w:hideMark/>
          </w:tcPr>
          <w:p w14:paraId="751193D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1,107.0</w:t>
            </w:r>
          </w:p>
        </w:tc>
        <w:tc>
          <w:tcPr>
            <w:tcW w:w="685" w:type="pct"/>
            <w:tcBorders>
              <w:top w:val="nil"/>
              <w:left w:val="nil"/>
              <w:bottom w:val="nil"/>
              <w:right w:val="nil"/>
            </w:tcBorders>
            <w:noWrap/>
            <w:vAlign w:val="center"/>
            <w:hideMark/>
          </w:tcPr>
          <w:p w14:paraId="3E608F3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-113.6</w:t>
            </w:r>
          </w:p>
        </w:tc>
        <w:tc>
          <w:tcPr>
            <w:tcW w:w="685" w:type="pct"/>
            <w:tcBorders>
              <w:top w:val="nil"/>
              <w:left w:val="nil"/>
              <w:bottom w:val="nil"/>
              <w:right w:val="single" w:sz="4" w:space="0" w:color="auto"/>
            </w:tcBorders>
            <w:noWrap/>
            <w:vAlign w:val="center"/>
            <w:hideMark/>
          </w:tcPr>
          <w:p w14:paraId="196420F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79.2</w:t>
            </w:r>
          </w:p>
        </w:tc>
      </w:tr>
      <w:tr w:rsidR="00F41C4E" w:rsidRPr="00F41C4E" w14:paraId="6DB24131"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0D427FE7"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4B31725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8(h)</w:t>
            </w:r>
          </w:p>
        </w:tc>
        <w:tc>
          <w:tcPr>
            <w:tcW w:w="684" w:type="pct"/>
            <w:tcBorders>
              <w:top w:val="nil"/>
              <w:left w:val="nil"/>
              <w:bottom w:val="nil"/>
              <w:right w:val="nil"/>
            </w:tcBorders>
            <w:noWrap/>
            <w:vAlign w:val="center"/>
            <w:hideMark/>
          </w:tcPr>
          <w:p w14:paraId="42FD7BD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1,509.6</w:t>
            </w:r>
          </w:p>
        </w:tc>
        <w:tc>
          <w:tcPr>
            <w:tcW w:w="685" w:type="pct"/>
            <w:tcBorders>
              <w:top w:val="nil"/>
              <w:left w:val="nil"/>
              <w:bottom w:val="nil"/>
              <w:right w:val="nil"/>
            </w:tcBorders>
            <w:noWrap/>
            <w:vAlign w:val="center"/>
            <w:hideMark/>
          </w:tcPr>
          <w:p w14:paraId="1185562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-154.9</w:t>
            </w:r>
          </w:p>
        </w:tc>
        <w:tc>
          <w:tcPr>
            <w:tcW w:w="685" w:type="pct"/>
            <w:tcBorders>
              <w:top w:val="nil"/>
              <w:left w:val="nil"/>
              <w:bottom w:val="nil"/>
              <w:right w:val="single" w:sz="4" w:space="0" w:color="auto"/>
            </w:tcBorders>
            <w:noWrap/>
            <w:vAlign w:val="center"/>
            <w:hideMark/>
          </w:tcPr>
          <w:p w14:paraId="4345F41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175.3</w:t>
            </w:r>
          </w:p>
        </w:tc>
      </w:tr>
      <w:tr w:rsidR="00F41C4E" w:rsidRPr="00F41C4E" w14:paraId="58965B77"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A7BD408"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B82320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8(i)</w:t>
            </w:r>
          </w:p>
        </w:tc>
        <w:tc>
          <w:tcPr>
            <w:tcW w:w="684" w:type="pct"/>
            <w:tcBorders>
              <w:top w:val="nil"/>
              <w:left w:val="nil"/>
              <w:bottom w:val="nil"/>
              <w:right w:val="nil"/>
            </w:tcBorders>
            <w:noWrap/>
            <w:vAlign w:val="center"/>
            <w:hideMark/>
          </w:tcPr>
          <w:p w14:paraId="3CC587A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1,912.1</w:t>
            </w:r>
          </w:p>
        </w:tc>
        <w:tc>
          <w:tcPr>
            <w:tcW w:w="685" w:type="pct"/>
            <w:tcBorders>
              <w:top w:val="nil"/>
              <w:left w:val="nil"/>
              <w:bottom w:val="nil"/>
              <w:right w:val="nil"/>
            </w:tcBorders>
            <w:noWrap/>
            <w:vAlign w:val="center"/>
            <w:hideMark/>
          </w:tcPr>
          <w:p w14:paraId="00F15D4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-196.2</w:t>
            </w:r>
          </w:p>
        </w:tc>
        <w:tc>
          <w:tcPr>
            <w:tcW w:w="685" w:type="pct"/>
            <w:tcBorders>
              <w:top w:val="nil"/>
              <w:left w:val="nil"/>
              <w:bottom w:val="nil"/>
              <w:right w:val="single" w:sz="4" w:space="0" w:color="auto"/>
            </w:tcBorders>
            <w:noWrap/>
            <w:vAlign w:val="center"/>
            <w:hideMark/>
          </w:tcPr>
          <w:p w14:paraId="4694E15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271.4</w:t>
            </w:r>
          </w:p>
        </w:tc>
      </w:tr>
      <w:tr w:rsidR="00F41C4E" w:rsidRPr="00F41C4E" w14:paraId="55BC3B7A"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1B3FCFC1"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7A11EBB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8(j)</w:t>
            </w:r>
          </w:p>
        </w:tc>
        <w:tc>
          <w:tcPr>
            <w:tcW w:w="684" w:type="pct"/>
            <w:tcBorders>
              <w:top w:val="nil"/>
              <w:left w:val="nil"/>
              <w:bottom w:val="nil"/>
              <w:right w:val="nil"/>
            </w:tcBorders>
            <w:noWrap/>
            <w:vAlign w:val="center"/>
            <w:hideMark/>
          </w:tcPr>
          <w:p w14:paraId="1C8BB13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2,314.7</w:t>
            </w:r>
          </w:p>
        </w:tc>
        <w:tc>
          <w:tcPr>
            <w:tcW w:w="685" w:type="pct"/>
            <w:tcBorders>
              <w:top w:val="nil"/>
              <w:left w:val="nil"/>
              <w:bottom w:val="nil"/>
              <w:right w:val="nil"/>
            </w:tcBorders>
            <w:noWrap/>
            <w:vAlign w:val="center"/>
            <w:hideMark/>
          </w:tcPr>
          <w:p w14:paraId="3619F1E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-237.5</w:t>
            </w:r>
          </w:p>
        </w:tc>
        <w:tc>
          <w:tcPr>
            <w:tcW w:w="685" w:type="pct"/>
            <w:tcBorders>
              <w:top w:val="nil"/>
              <w:left w:val="nil"/>
              <w:bottom w:val="nil"/>
              <w:right w:val="single" w:sz="4" w:space="0" w:color="auto"/>
            </w:tcBorders>
            <w:noWrap/>
            <w:vAlign w:val="center"/>
            <w:hideMark/>
          </w:tcPr>
          <w:p w14:paraId="1C61245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367.4</w:t>
            </w:r>
          </w:p>
        </w:tc>
      </w:tr>
      <w:tr w:rsidR="00F41C4E" w:rsidRPr="00F41C4E" w14:paraId="380E5EA0"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3142ACA9"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65E6941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9(a)</w:t>
            </w:r>
          </w:p>
        </w:tc>
        <w:tc>
          <w:tcPr>
            <w:tcW w:w="684" w:type="pct"/>
            <w:tcBorders>
              <w:top w:val="nil"/>
              <w:left w:val="nil"/>
              <w:bottom w:val="nil"/>
              <w:right w:val="nil"/>
            </w:tcBorders>
            <w:noWrap/>
            <w:vAlign w:val="center"/>
            <w:hideMark/>
          </w:tcPr>
          <w:p w14:paraId="59CC98F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90.6</w:t>
            </w:r>
          </w:p>
        </w:tc>
        <w:tc>
          <w:tcPr>
            <w:tcW w:w="685" w:type="pct"/>
            <w:tcBorders>
              <w:top w:val="nil"/>
              <w:left w:val="nil"/>
              <w:bottom w:val="nil"/>
              <w:right w:val="nil"/>
            </w:tcBorders>
            <w:noWrap/>
            <w:vAlign w:val="center"/>
            <w:hideMark/>
          </w:tcPr>
          <w:p w14:paraId="191413D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-9.3</w:t>
            </w:r>
          </w:p>
        </w:tc>
        <w:tc>
          <w:tcPr>
            <w:tcW w:w="685" w:type="pct"/>
            <w:tcBorders>
              <w:top w:val="nil"/>
              <w:left w:val="nil"/>
              <w:bottom w:val="nil"/>
              <w:right w:val="single" w:sz="4" w:space="0" w:color="auto"/>
            </w:tcBorders>
            <w:noWrap/>
            <w:vAlign w:val="center"/>
            <w:hideMark/>
          </w:tcPr>
          <w:p w14:paraId="3249109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-15.5</w:t>
            </w:r>
          </w:p>
        </w:tc>
      </w:tr>
      <w:tr w:rsidR="00F41C4E" w:rsidRPr="00F41C4E" w14:paraId="4BF57C96"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1A50FDF0"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302AA38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9(b)</w:t>
            </w:r>
          </w:p>
        </w:tc>
        <w:tc>
          <w:tcPr>
            <w:tcW w:w="684" w:type="pct"/>
            <w:tcBorders>
              <w:top w:val="nil"/>
              <w:left w:val="nil"/>
              <w:bottom w:val="nil"/>
              <w:right w:val="nil"/>
            </w:tcBorders>
            <w:noWrap/>
            <w:vAlign w:val="center"/>
            <w:hideMark/>
          </w:tcPr>
          <w:p w14:paraId="6ED1170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301.9</w:t>
            </w:r>
          </w:p>
        </w:tc>
        <w:tc>
          <w:tcPr>
            <w:tcW w:w="685" w:type="pct"/>
            <w:tcBorders>
              <w:top w:val="nil"/>
              <w:left w:val="nil"/>
              <w:bottom w:val="nil"/>
              <w:right w:val="nil"/>
            </w:tcBorders>
            <w:noWrap/>
            <w:vAlign w:val="center"/>
            <w:hideMark/>
          </w:tcPr>
          <w:p w14:paraId="666CB02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-31.0</w:t>
            </w:r>
          </w:p>
        </w:tc>
        <w:tc>
          <w:tcPr>
            <w:tcW w:w="685" w:type="pct"/>
            <w:tcBorders>
              <w:top w:val="nil"/>
              <w:left w:val="nil"/>
              <w:bottom w:val="nil"/>
              <w:right w:val="single" w:sz="4" w:space="0" w:color="auto"/>
            </w:tcBorders>
            <w:noWrap/>
            <w:vAlign w:val="center"/>
            <w:hideMark/>
          </w:tcPr>
          <w:p w14:paraId="72AF58F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-51.5</w:t>
            </w:r>
          </w:p>
        </w:tc>
      </w:tr>
      <w:tr w:rsidR="00F41C4E" w:rsidRPr="00F41C4E" w14:paraId="7CC99BC9"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23B95372"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7C304C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9(c)</w:t>
            </w:r>
          </w:p>
        </w:tc>
        <w:tc>
          <w:tcPr>
            <w:tcW w:w="684" w:type="pct"/>
            <w:tcBorders>
              <w:top w:val="nil"/>
              <w:left w:val="nil"/>
              <w:bottom w:val="nil"/>
              <w:right w:val="nil"/>
            </w:tcBorders>
            <w:noWrap/>
            <w:vAlign w:val="center"/>
            <w:hideMark/>
          </w:tcPr>
          <w:p w14:paraId="2F9BCB6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675.7</w:t>
            </w:r>
          </w:p>
        </w:tc>
        <w:tc>
          <w:tcPr>
            <w:tcW w:w="685" w:type="pct"/>
            <w:tcBorders>
              <w:top w:val="nil"/>
              <w:left w:val="nil"/>
              <w:bottom w:val="nil"/>
              <w:right w:val="nil"/>
            </w:tcBorders>
            <w:noWrap/>
            <w:vAlign w:val="center"/>
            <w:hideMark/>
          </w:tcPr>
          <w:p w14:paraId="06D7A26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-69.3</w:t>
            </w:r>
          </w:p>
        </w:tc>
        <w:tc>
          <w:tcPr>
            <w:tcW w:w="685" w:type="pct"/>
            <w:tcBorders>
              <w:top w:val="nil"/>
              <w:left w:val="nil"/>
              <w:bottom w:val="nil"/>
              <w:right w:val="single" w:sz="4" w:space="0" w:color="auto"/>
            </w:tcBorders>
            <w:noWrap/>
            <w:vAlign w:val="center"/>
            <w:hideMark/>
          </w:tcPr>
          <w:p w14:paraId="197D73A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w:t>
            </w:r>
          </w:p>
        </w:tc>
      </w:tr>
      <w:tr w:rsidR="00F41C4E" w:rsidRPr="00F41C4E" w14:paraId="5043F36F"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5D6A65F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5D720A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9(d)</w:t>
            </w:r>
          </w:p>
        </w:tc>
        <w:tc>
          <w:tcPr>
            <w:tcW w:w="684" w:type="pct"/>
            <w:tcBorders>
              <w:top w:val="nil"/>
              <w:left w:val="nil"/>
              <w:bottom w:val="nil"/>
              <w:right w:val="nil"/>
            </w:tcBorders>
            <w:noWrap/>
            <w:vAlign w:val="center"/>
            <w:hideMark/>
          </w:tcPr>
          <w:p w14:paraId="390D8C8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1,107.0</w:t>
            </w:r>
          </w:p>
        </w:tc>
        <w:tc>
          <w:tcPr>
            <w:tcW w:w="685" w:type="pct"/>
            <w:tcBorders>
              <w:top w:val="nil"/>
              <w:left w:val="nil"/>
              <w:bottom w:val="nil"/>
              <w:right w:val="nil"/>
            </w:tcBorders>
            <w:noWrap/>
            <w:vAlign w:val="center"/>
            <w:hideMark/>
          </w:tcPr>
          <w:p w14:paraId="57D4DE4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-113.6</w:t>
            </w:r>
          </w:p>
        </w:tc>
        <w:tc>
          <w:tcPr>
            <w:tcW w:w="685" w:type="pct"/>
            <w:tcBorders>
              <w:top w:val="nil"/>
              <w:left w:val="nil"/>
              <w:bottom w:val="nil"/>
              <w:right w:val="single" w:sz="4" w:space="0" w:color="auto"/>
            </w:tcBorders>
            <w:noWrap/>
            <w:vAlign w:val="center"/>
            <w:hideMark/>
          </w:tcPr>
          <w:p w14:paraId="1C60FFD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79.2</w:t>
            </w:r>
          </w:p>
        </w:tc>
      </w:tr>
      <w:tr w:rsidR="00F41C4E" w:rsidRPr="00F41C4E" w14:paraId="58C854B2"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59DECDB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38741B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9(e)</w:t>
            </w:r>
          </w:p>
        </w:tc>
        <w:tc>
          <w:tcPr>
            <w:tcW w:w="684" w:type="pct"/>
            <w:tcBorders>
              <w:top w:val="nil"/>
              <w:left w:val="nil"/>
              <w:bottom w:val="nil"/>
              <w:right w:val="nil"/>
            </w:tcBorders>
            <w:noWrap/>
            <w:vAlign w:val="center"/>
            <w:hideMark/>
          </w:tcPr>
          <w:p w14:paraId="06F01D7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1,509.6</w:t>
            </w:r>
          </w:p>
        </w:tc>
        <w:tc>
          <w:tcPr>
            <w:tcW w:w="685" w:type="pct"/>
            <w:tcBorders>
              <w:top w:val="nil"/>
              <w:left w:val="nil"/>
              <w:bottom w:val="nil"/>
              <w:right w:val="nil"/>
            </w:tcBorders>
            <w:noWrap/>
            <w:vAlign w:val="center"/>
            <w:hideMark/>
          </w:tcPr>
          <w:p w14:paraId="44A6080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-154.9</w:t>
            </w:r>
          </w:p>
        </w:tc>
        <w:tc>
          <w:tcPr>
            <w:tcW w:w="685" w:type="pct"/>
            <w:tcBorders>
              <w:top w:val="nil"/>
              <w:left w:val="nil"/>
              <w:bottom w:val="nil"/>
              <w:right w:val="single" w:sz="4" w:space="0" w:color="auto"/>
            </w:tcBorders>
            <w:noWrap/>
            <w:vAlign w:val="center"/>
            <w:hideMark/>
          </w:tcPr>
          <w:p w14:paraId="308E290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175.3</w:t>
            </w:r>
          </w:p>
        </w:tc>
      </w:tr>
      <w:tr w:rsidR="00F41C4E" w:rsidRPr="00F41C4E" w14:paraId="2E339028"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18660D21"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E12640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9(f)</w:t>
            </w:r>
          </w:p>
        </w:tc>
        <w:tc>
          <w:tcPr>
            <w:tcW w:w="684" w:type="pct"/>
            <w:tcBorders>
              <w:top w:val="nil"/>
              <w:left w:val="nil"/>
              <w:bottom w:val="nil"/>
              <w:right w:val="nil"/>
            </w:tcBorders>
            <w:noWrap/>
            <w:vAlign w:val="center"/>
            <w:hideMark/>
          </w:tcPr>
          <w:p w14:paraId="4293835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1,912.1</w:t>
            </w:r>
          </w:p>
        </w:tc>
        <w:tc>
          <w:tcPr>
            <w:tcW w:w="685" w:type="pct"/>
            <w:tcBorders>
              <w:top w:val="nil"/>
              <w:left w:val="nil"/>
              <w:bottom w:val="nil"/>
              <w:right w:val="nil"/>
            </w:tcBorders>
            <w:noWrap/>
            <w:vAlign w:val="center"/>
            <w:hideMark/>
          </w:tcPr>
          <w:p w14:paraId="30222F3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-196.2</w:t>
            </w:r>
          </w:p>
        </w:tc>
        <w:tc>
          <w:tcPr>
            <w:tcW w:w="685" w:type="pct"/>
            <w:tcBorders>
              <w:top w:val="nil"/>
              <w:left w:val="nil"/>
              <w:bottom w:val="nil"/>
              <w:right w:val="single" w:sz="4" w:space="0" w:color="auto"/>
            </w:tcBorders>
            <w:noWrap/>
            <w:vAlign w:val="center"/>
            <w:hideMark/>
          </w:tcPr>
          <w:p w14:paraId="2A7A3AE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271.4</w:t>
            </w:r>
          </w:p>
        </w:tc>
      </w:tr>
      <w:tr w:rsidR="00F41C4E" w:rsidRPr="00F41C4E" w14:paraId="1E5998F9"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0B2E2441"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04317D4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9(g)</w:t>
            </w:r>
          </w:p>
        </w:tc>
        <w:tc>
          <w:tcPr>
            <w:tcW w:w="684" w:type="pct"/>
            <w:tcBorders>
              <w:top w:val="nil"/>
              <w:left w:val="nil"/>
              <w:bottom w:val="nil"/>
              <w:right w:val="nil"/>
            </w:tcBorders>
            <w:noWrap/>
            <w:vAlign w:val="center"/>
            <w:hideMark/>
          </w:tcPr>
          <w:p w14:paraId="79A0A27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2,314.7</w:t>
            </w:r>
          </w:p>
        </w:tc>
        <w:tc>
          <w:tcPr>
            <w:tcW w:w="685" w:type="pct"/>
            <w:tcBorders>
              <w:top w:val="nil"/>
              <w:left w:val="nil"/>
              <w:bottom w:val="nil"/>
              <w:right w:val="nil"/>
            </w:tcBorders>
            <w:noWrap/>
            <w:vAlign w:val="center"/>
            <w:hideMark/>
          </w:tcPr>
          <w:p w14:paraId="2286024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-237.5</w:t>
            </w:r>
          </w:p>
        </w:tc>
        <w:tc>
          <w:tcPr>
            <w:tcW w:w="685" w:type="pct"/>
            <w:tcBorders>
              <w:top w:val="nil"/>
              <w:left w:val="nil"/>
              <w:bottom w:val="nil"/>
              <w:right w:val="single" w:sz="4" w:space="0" w:color="auto"/>
            </w:tcBorders>
            <w:noWrap/>
            <w:vAlign w:val="center"/>
            <w:hideMark/>
          </w:tcPr>
          <w:p w14:paraId="0A13380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367.4</w:t>
            </w:r>
          </w:p>
        </w:tc>
      </w:tr>
      <w:tr w:rsidR="00F41C4E" w:rsidRPr="00F41C4E" w14:paraId="71BBDAF5"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E4E4AE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4C9CF7A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10(a)</w:t>
            </w:r>
          </w:p>
        </w:tc>
        <w:tc>
          <w:tcPr>
            <w:tcW w:w="684" w:type="pct"/>
            <w:tcBorders>
              <w:top w:val="nil"/>
              <w:left w:val="nil"/>
              <w:bottom w:val="nil"/>
              <w:right w:val="nil"/>
            </w:tcBorders>
            <w:noWrap/>
            <w:vAlign w:val="center"/>
            <w:hideMark/>
          </w:tcPr>
          <w:p w14:paraId="3CD4C8C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90.6</w:t>
            </w:r>
          </w:p>
        </w:tc>
        <w:tc>
          <w:tcPr>
            <w:tcW w:w="685" w:type="pct"/>
            <w:tcBorders>
              <w:top w:val="nil"/>
              <w:left w:val="nil"/>
              <w:bottom w:val="nil"/>
              <w:right w:val="nil"/>
            </w:tcBorders>
            <w:noWrap/>
            <w:vAlign w:val="center"/>
            <w:hideMark/>
          </w:tcPr>
          <w:p w14:paraId="4A28879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-9.3</w:t>
            </w:r>
          </w:p>
        </w:tc>
        <w:tc>
          <w:tcPr>
            <w:tcW w:w="685" w:type="pct"/>
            <w:tcBorders>
              <w:top w:val="nil"/>
              <w:left w:val="nil"/>
              <w:bottom w:val="nil"/>
              <w:right w:val="single" w:sz="4" w:space="0" w:color="auto"/>
            </w:tcBorders>
            <w:noWrap/>
            <w:vAlign w:val="center"/>
            <w:hideMark/>
          </w:tcPr>
          <w:p w14:paraId="0FE57B6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79AA1572"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4ECBE037"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7E65778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10(b)</w:t>
            </w:r>
          </w:p>
        </w:tc>
        <w:tc>
          <w:tcPr>
            <w:tcW w:w="684" w:type="pct"/>
            <w:tcBorders>
              <w:top w:val="nil"/>
              <w:left w:val="nil"/>
              <w:bottom w:val="nil"/>
              <w:right w:val="nil"/>
            </w:tcBorders>
            <w:noWrap/>
            <w:vAlign w:val="center"/>
            <w:hideMark/>
          </w:tcPr>
          <w:p w14:paraId="15A7057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301.9</w:t>
            </w:r>
          </w:p>
        </w:tc>
        <w:tc>
          <w:tcPr>
            <w:tcW w:w="685" w:type="pct"/>
            <w:tcBorders>
              <w:top w:val="nil"/>
              <w:left w:val="nil"/>
              <w:bottom w:val="nil"/>
              <w:right w:val="nil"/>
            </w:tcBorders>
            <w:noWrap/>
            <w:vAlign w:val="center"/>
            <w:hideMark/>
          </w:tcPr>
          <w:p w14:paraId="438A035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-31.0</w:t>
            </w:r>
          </w:p>
        </w:tc>
        <w:tc>
          <w:tcPr>
            <w:tcW w:w="685" w:type="pct"/>
            <w:tcBorders>
              <w:top w:val="nil"/>
              <w:left w:val="nil"/>
              <w:bottom w:val="nil"/>
              <w:right w:val="single" w:sz="4" w:space="0" w:color="auto"/>
            </w:tcBorders>
            <w:noWrap/>
            <w:vAlign w:val="center"/>
            <w:hideMark/>
          </w:tcPr>
          <w:p w14:paraId="20AF21A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5B9D0D69"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0D05AF34"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E1F09E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11(a)</w:t>
            </w:r>
          </w:p>
        </w:tc>
        <w:tc>
          <w:tcPr>
            <w:tcW w:w="684" w:type="pct"/>
            <w:tcBorders>
              <w:top w:val="nil"/>
              <w:left w:val="nil"/>
              <w:bottom w:val="nil"/>
              <w:right w:val="nil"/>
            </w:tcBorders>
            <w:noWrap/>
            <w:vAlign w:val="center"/>
            <w:hideMark/>
          </w:tcPr>
          <w:p w14:paraId="77CAA1C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675.7</w:t>
            </w:r>
          </w:p>
        </w:tc>
        <w:tc>
          <w:tcPr>
            <w:tcW w:w="685" w:type="pct"/>
            <w:tcBorders>
              <w:top w:val="nil"/>
              <w:left w:val="nil"/>
              <w:bottom w:val="nil"/>
              <w:right w:val="nil"/>
            </w:tcBorders>
            <w:noWrap/>
            <w:vAlign w:val="center"/>
            <w:hideMark/>
          </w:tcPr>
          <w:p w14:paraId="33AC389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-69.3</w:t>
            </w:r>
          </w:p>
        </w:tc>
        <w:tc>
          <w:tcPr>
            <w:tcW w:w="685" w:type="pct"/>
            <w:tcBorders>
              <w:top w:val="nil"/>
              <w:left w:val="nil"/>
              <w:bottom w:val="nil"/>
              <w:right w:val="single" w:sz="4" w:space="0" w:color="auto"/>
            </w:tcBorders>
            <w:noWrap/>
            <w:vAlign w:val="center"/>
            <w:hideMark/>
          </w:tcPr>
          <w:p w14:paraId="7104AE3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w:t>
            </w:r>
          </w:p>
        </w:tc>
      </w:tr>
      <w:tr w:rsidR="00F41C4E" w:rsidRPr="00F41C4E" w14:paraId="41AE8CB3"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33185847"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47FF5B2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11(b)</w:t>
            </w:r>
          </w:p>
        </w:tc>
        <w:tc>
          <w:tcPr>
            <w:tcW w:w="684" w:type="pct"/>
            <w:tcBorders>
              <w:top w:val="nil"/>
              <w:left w:val="nil"/>
              <w:bottom w:val="nil"/>
              <w:right w:val="nil"/>
            </w:tcBorders>
            <w:noWrap/>
            <w:vAlign w:val="center"/>
            <w:hideMark/>
          </w:tcPr>
          <w:p w14:paraId="2A59E72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1,107.0</w:t>
            </w:r>
          </w:p>
        </w:tc>
        <w:tc>
          <w:tcPr>
            <w:tcW w:w="685" w:type="pct"/>
            <w:tcBorders>
              <w:top w:val="nil"/>
              <w:left w:val="nil"/>
              <w:bottom w:val="nil"/>
              <w:right w:val="nil"/>
            </w:tcBorders>
            <w:noWrap/>
            <w:vAlign w:val="center"/>
            <w:hideMark/>
          </w:tcPr>
          <w:p w14:paraId="56067FA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-113.6</w:t>
            </w:r>
          </w:p>
        </w:tc>
        <w:tc>
          <w:tcPr>
            <w:tcW w:w="685" w:type="pct"/>
            <w:tcBorders>
              <w:top w:val="nil"/>
              <w:left w:val="nil"/>
              <w:bottom w:val="nil"/>
              <w:right w:val="single" w:sz="4" w:space="0" w:color="auto"/>
            </w:tcBorders>
            <w:noWrap/>
            <w:vAlign w:val="center"/>
            <w:hideMark/>
          </w:tcPr>
          <w:p w14:paraId="525C803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79.2</w:t>
            </w:r>
          </w:p>
        </w:tc>
      </w:tr>
      <w:tr w:rsidR="00F41C4E" w:rsidRPr="00F41C4E" w14:paraId="7975951C"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0589202"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40E62E8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11(c)</w:t>
            </w:r>
          </w:p>
        </w:tc>
        <w:tc>
          <w:tcPr>
            <w:tcW w:w="684" w:type="pct"/>
            <w:tcBorders>
              <w:top w:val="nil"/>
              <w:left w:val="nil"/>
              <w:bottom w:val="nil"/>
              <w:right w:val="nil"/>
            </w:tcBorders>
            <w:noWrap/>
            <w:vAlign w:val="center"/>
            <w:hideMark/>
          </w:tcPr>
          <w:p w14:paraId="59945FD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1,509.6</w:t>
            </w:r>
          </w:p>
        </w:tc>
        <w:tc>
          <w:tcPr>
            <w:tcW w:w="685" w:type="pct"/>
            <w:tcBorders>
              <w:top w:val="nil"/>
              <w:left w:val="nil"/>
              <w:bottom w:val="nil"/>
              <w:right w:val="nil"/>
            </w:tcBorders>
            <w:noWrap/>
            <w:vAlign w:val="center"/>
            <w:hideMark/>
          </w:tcPr>
          <w:p w14:paraId="2C2D90A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-154.9</w:t>
            </w:r>
          </w:p>
        </w:tc>
        <w:tc>
          <w:tcPr>
            <w:tcW w:w="685" w:type="pct"/>
            <w:tcBorders>
              <w:top w:val="nil"/>
              <w:left w:val="nil"/>
              <w:bottom w:val="nil"/>
              <w:right w:val="single" w:sz="4" w:space="0" w:color="auto"/>
            </w:tcBorders>
            <w:noWrap/>
            <w:vAlign w:val="center"/>
            <w:hideMark/>
          </w:tcPr>
          <w:p w14:paraId="6B1400F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175.3</w:t>
            </w:r>
          </w:p>
        </w:tc>
      </w:tr>
      <w:tr w:rsidR="00F41C4E" w:rsidRPr="00F41C4E" w14:paraId="5C754D83"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2EE658C5"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5E8524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11(d)</w:t>
            </w:r>
          </w:p>
        </w:tc>
        <w:tc>
          <w:tcPr>
            <w:tcW w:w="684" w:type="pct"/>
            <w:tcBorders>
              <w:top w:val="nil"/>
              <w:left w:val="nil"/>
              <w:bottom w:val="nil"/>
              <w:right w:val="nil"/>
            </w:tcBorders>
            <w:noWrap/>
            <w:vAlign w:val="center"/>
            <w:hideMark/>
          </w:tcPr>
          <w:p w14:paraId="4CAA8B3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1,912.1</w:t>
            </w:r>
          </w:p>
        </w:tc>
        <w:tc>
          <w:tcPr>
            <w:tcW w:w="685" w:type="pct"/>
            <w:tcBorders>
              <w:top w:val="nil"/>
              <w:left w:val="nil"/>
              <w:bottom w:val="nil"/>
              <w:right w:val="nil"/>
            </w:tcBorders>
            <w:noWrap/>
            <w:vAlign w:val="center"/>
            <w:hideMark/>
          </w:tcPr>
          <w:p w14:paraId="45ACD4F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-196.2</w:t>
            </w:r>
          </w:p>
        </w:tc>
        <w:tc>
          <w:tcPr>
            <w:tcW w:w="685" w:type="pct"/>
            <w:tcBorders>
              <w:top w:val="nil"/>
              <w:left w:val="nil"/>
              <w:bottom w:val="nil"/>
              <w:right w:val="single" w:sz="4" w:space="0" w:color="auto"/>
            </w:tcBorders>
            <w:noWrap/>
            <w:vAlign w:val="center"/>
            <w:hideMark/>
          </w:tcPr>
          <w:p w14:paraId="1272E2D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271.4</w:t>
            </w:r>
          </w:p>
        </w:tc>
      </w:tr>
      <w:tr w:rsidR="00F41C4E" w:rsidRPr="00F41C4E" w14:paraId="78033813"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1B2B7AA7"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6E0D06E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11(e)</w:t>
            </w:r>
          </w:p>
        </w:tc>
        <w:tc>
          <w:tcPr>
            <w:tcW w:w="684" w:type="pct"/>
            <w:tcBorders>
              <w:top w:val="nil"/>
              <w:left w:val="nil"/>
              <w:bottom w:val="nil"/>
              <w:right w:val="nil"/>
            </w:tcBorders>
            <w:noWrap/>
            <w:vAlign w:val="center"/>
            <w:hideMark/>
          </w:tcPr>
          <w:p w14:paraId="04CE822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2,314.7</w:t>
            </w:r>
          </w:p>
        </w:tc>
        <w:tc>
          <w:tcPr>
            <w:tcW w:w="685" w:type="pct"/>
            <w:tcBorders>
              <w:top w:val="nil"/>
              <w:left w:val="nil"/>
              <w:bottom w:val="nil"/>
              <w:right w:val="nil"/>
            </w:tcBorders>
            <w:noWrap/>
            <w:vAlign w:val="center"/>
            <w:hideMark/>
          </w:tcPr>
          <w:p w14:paraId="0164729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-237.5</w:t>
            </w:r>
          </w:p>
        </w:tc>
        <w:tc>
          <w:tcPr>
            <w:tcW w:w="685" w:type="pct"/>
            <w:tcBorders>
              <w:top w:val="nil"/>
              <w:left w:val="nil"/>
              <w:bottom w:val="nil"/>
              <w:right w:val="single" w:sz="4" w:space="0" w:color="auto"/>
            </w:tcBorders>
            <w:noWrap/>
            <w:vAlign w:val="center"/>
            <w:hideMark/>
          </w:tcPr>
          <w:p w14:paraId="058C722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367.4</w:t>
            </w:r>
          </w:p>
        </w:tc>
      </w:tr>
      <w:tr w:rsidR="00F41C4E" w:rsidRPr="00F41C4E" w14:paraId="5A51EBB6"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2E8B1F4E"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A3CCB3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12(a)</w:t>
            </w:r>
          </w:p>
        </w:tc>
        <w:tc>
          <w:tcPr>
            <w:tcW w:w="684" w:type="pct"/>
            <w:tcBorders>
              <w:top w:val="nil"/>
              <w:left w:val="nil"/>
              <w:bottom w:val="nil"/>
              <w:right w:val="nil"/>
            </w:tcBorders>
            <w:noWrap/>
            <w:vAlign w:val="center"/>
            <w:hideMark/>
          </w:tcPr>
          <w:p w14:paraId="794D4C6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90.6</w:t>
            </w:r>
          </w:p>
        </w:tc>
        <w:tc>
          <w:tcPr>
            <w:tcW w:w="685" w:type="pct"/>
            <w:tcBorders>
              <w:top w:val="nil"/>
              <w:left w:val="nil"/>
              <w:bottom w:val="nil"/>
              <w:right w:val="nil"/>
            </w:tcBorders>
            <w:noWrap/>
            <w:vAlign w:val="center"/>
            <w:hideMark/>
          </w:tcPr>
          <w:p w14:paraId="25781D0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-9.3</w:t>
            </w:r>
          </w:p>
        </w:tc>
        <w:tc>
          <w:tcPr>
            <w:tcW w:w="685" w:type="pct"/>
            <w:tcBorders>
              <w:top w:val="nil"/>
              <w:left w:val="nil"/>
              <w:bottom w:val="nil"/>
              <w:right w:val="single" w:sz="4" w:space="0" w:color="auto"/>
            </w:tcBorders>
            <w:noWrap/>
            <w:vAlign w:val="center"/>
            <w:hideMark/>
          </w:tcPr>
          <w:p w14:paraId="0BFF404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-15.5</w:t>
            </w:r>
          </w:p>
        </w:tc>
      </w:tr>
      <w:tr w:rsidR="00F41C4E" w:rsidRPr="00F41C4E" w14:paraId="33E5CC0F"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13CC91FE"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A096DD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12(b)</w:t>
            </w:r>
          </w:p>
        </w:tc>
        <w:tc>
          <w:tcPr>
            <w:tcW w:w="684" w:type="pct"/>
            <w:tcBorders>
              <w:top w:val="nil"/>
              <w:left w:val="nil"/>
              <w:bottom w:val="nil"/>
              <w:right w:val="nil"/>
            </w:tcBorders>
            <w:noWrap/>
            <w:vAlign w:val="center"/>
            <w:hideMark/>
          </w:tcPr>
          <w:p w14:paraId="46C72C7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301.9</w:t>
            </w:r>
          </w:p>
        </w:tc>
        <w:tc>
          <w:tcPr>
            <w:tcW w:w="685" w:type="pct"/>
            <w:tcBorders>
              <w:top w:val="nil"/>
              <w:left w:val="nil"/>
              <w:bottom w:val="nil"/>
              <w:right w:val="nil"/>
            </w:tcBorders>
            <w:noWrap/>
            <w:vAlign w:val="center"/>
            <w:hideMark/>
          </w:tcPr>
          <w:p w14:paraId="6201B1E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-31.0</w:t>
            </w:r>
          </w:p>
        </w:tc>
        <w:tc>
          <w:tcPr>
            <w:tcW w:w="685" w:type="pct"/>
            <w:tcBorders>
              <w:top w:val="nil"/>
              <w:left w:val="nil"/>
              <w:bottom w:val="nil"/>
              <w:right w:val="single" w:sz="4" w:space="0" w:color="auto"/>
            </w:tcBorders>
            <w:noWrap/>
            <w:vAlign w:val="center"/>
            <w:hideMark/>
          </w:tcPr>
          <w:p w14:paraId="7612377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-51.5</w:t>
            </w:r>
          </w:p>
        </w:tc>
      </w:tr>
      <w:tr w:rsidR="00F41C4E" w:rsidRPr="00F41C4E" w14:paraId="49B63A59"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11D22568"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45F1C4F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12(c)</w:t>
            </w:r>
          </w:p>
        </w:tc>
        <w:tc>
          <w:tcPr>
            <w:tcW w:w="684" w:type="pct"/>
            <w:tcBorders>
              <w:top w:val="nil"/>
              <w:left w:val="nil"/>
              <w:bottom w:val="nil"/>
              <w:right w:val="nil"/>
            </w:tcBorders>
            <w:noWrap/>
            <w:vAlign w:val="center"/>
            <w:hideMark/>
          </w:tcPr>
          <w:p w14:paraId="671E552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675.7</w:t>
            </w:r>
          </w:p>
        </w:tc>
        <w:tc>
          <w:tcPr>
            <w:tcW w:w="685" w:type="pct"/>
            <w:tcBorders>
              <w:top w:val="nil"/>
              <w:left w:val="nil"/>
              <w:bottom w:val="nil"/>
              <w:right w:val="nil"/>
            </w:tcBorders>
            <w:noWrap/>
            <w:vAlign w:val="center"/>
            <w:hideMark/>
          </w:tcPr>
          <w:p w14:paraId="11B5AB1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-69.3</w:t>
            </w:r>
          </w:p>
        </w:tc>
        <w:tc>
          <w:tcPr>
            <w:tcW w:w="685" w:type="pct"/>
            <w:tcBorders>
              <w:top w:val="nil"/>
              <w:left w:val="nil"/>
              <w:bottom w:val="nil"/>
              <w:right w:val="single" w:sz="4" w:space="0" w:color="auto"/>
            </w:tcBorders>
            <w:noWrap/>
            <w:vAlign w:val="center"/>
            <w:hideMark/>
          </w:tcPr>
          <w:p w14:paraId="01703BE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w:t>
            </w:r>
          </w:p>
        </w:tc>
      </w:tr>
      <w:tr w:rsidR="00F41C4E" w:rsidRPr="00F41C4E" w14:paraId="24E11572"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EE93BB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04A53A3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12(d)</w:t>
            </w:r>
          </w:p>
        </w:tc>
        <w:tc>
          <w:tcPr>
            <w:tcW w:w="684" w:type="pct"/>
            <w:tcBorders>
              <w:top w:val="nil"/>
              <w:left w:val="nil"/>
              <w:bottom w:val="nil"/>
              <w:right w:val="nil"/>
            </w:tcBorders>
            <w:noWrap/>
            <w:vAlign w:val="center"/>
            <w:hideMark/>
          </w:tcPr>
          <w:p w14:paraId="51B8371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1,107.0</w:t>
            </w:r>
          </w:p>
        </w:tc>
        <w:tc>
          <w:tcPr>
            <w:tcW w:w="685" w:type="pct"/>
            <w:tcBorders>
              <w:top w:val="nil"/>
              <w:left w:val="nil"/>
              <w:bottom w:val="nil"/>
              <w:right w:val="nil"/>
            </w:tcBorders>
            <w:noWrap/>
            <w:vAlign w:val="center"/>
            <w:hideMark/>
          </w:tcPr>
          <w:p w14:paraId="23271E2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-113.6</w:t>
            </w:r>
          </w:p>
        </w:tc>
        <w:tc>
          <w:tcPr>
            <w:tcW w:w="685" w:type="pct"/>
            <w:tcBorders>
              <w:top w:val="nil"/>
              <w:left w:val="nil"/>
              <w:bottom w:val="nil"/>
              <w:right w:val="single" w:sz="4" w:space="0" w:color="auto"/>
            </w:tcBorders>
            <w:noWrap/>
            <w:vAlign w:val="center"/>
            <w:hideMark/>
          </w:tcPr>
          <w:p w14:paraId="2EBD07C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79.2</w:t>
            </w:r>
          </w:p>
        </w:tc>
      </w:tr>
      <w:tr w:rsidR="00F41C4E" w:rsidRPr="00F41C4E" w14:paraId="2CB2D495"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A008550"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3107322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12(e)</w:t>
            </w:r>
          </w:p>
        </w:tc>
        <w:tc>
          <w:tcPr>
            <w:tcW w:w="684" w:type="pct"/>
            <w:tcBorders>
              <w:top w:val="nil"/>
              <w:left w:val="nil"/>
              <w:bottom w:val="nil"/>
              <w:right w:val="nil"/>
            </w:tcBorders>
            <w:noWrap/>
            <w:vAlign w:val="center"/>
            <w:hideMark/>
          </w:tcPr>
          <w:p w14:paraId="7C1C68D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1,509.6</w:t>
            </w:r>
          </w:p>
        </w:tc>
        <w:tc>
          <w:tcPr>
            <w:tcW w:w="685" w:type="pct"/>
            <w:tcBorders>
              <w:top w:val="nil"/>
              <w:left w:val="nil"/>
              <w:bottom w:val="nil"/>
              <w:right w:val="nil"/>
            </w:tcBorders>
            <w:noWrap/>
            <w:vAlign w:val="center"/>
            <w:hideMark/>
          </w:tcPr>
          <w:p w14:paraId="68F0174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-154.9</w:t>
            </w:r>
          </w:p>
        </w:tc>
        <w:tc>
          <w:tcPr>
            <w:tcW w:w="685" w:type="pct"/>
            <w:tcBorders>
              <w:top w:val="nil"/>
              <w:left w:val="nil"/>
              <w:bottom w:val="nil"/>
              <w:right w:val="single" w:sz="4" w:space="0" w:color="auto"/>
            </w:tcBorders>
            <w:noWrap/>
            <w:vAlign w:val="center"/>
            <w:hideMark/>
          </w:tcPr>
          <w:p w14:paraId="5DB9670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175.3</w:t>
            </w:r>
          </w:p>
        </w:tc>
      </w:tr>
      <w:tr w:rsidR="00F41C4E" w:rsidRPr="00F41C4E" w14:paraId="147B532A"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3922BD2"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79A8135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12(f)</w:t>
            </w:r>
          </w:p>
        </w:tc>
        <w:tc>
          <w:tcPr>
            <w:tcW w:w="684" w:type="pct"/>
            <w:tcBorders>
              <w:top w:val="nil"/>
              <w:left w:val="nil"/>
              <w:bottom w:val="nil"/>
              <w:right w:val="nil"/>
            </w:tcBorders>
            <w:noWrap/>
            <w:vAlign w:val="center"/>
            <w:hideMark/>
          </w:tcPr>
          <w:p w14:paraId="3FFBF58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1,912.1</w:t>
            </w:r>
          </w:p>
        </w:tc>
        <w:tc>
          <w:tcPr>
            <w:tcW w:w="685" w:type="pct"/>
            <w:tcBorders>
              <w:top w:val="nil"/>
              <w:left w:val="nil"/>
              <w:bottom w:val="nil"/>
              <w:right w:val="nil"/>
            </w:tcBorders>
            <w:noWrap/>
            <w:vAlign w:val="center"/>
            <w:hideMark/>
          </w:tcPr>
          <w:p w14:paraId="400844E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-196.2</w:t>
            </w:r>
          </w:p>
        </w:tc>
        <w:tc>
          <w:tcPr>
            <w:tcW w:w="685" w:type="pct"/>
            <w:tcBorders>
              <w:top w:val="nil"/>
              <w:left w:val="nil"/>
              <w:bottom w:val="nil"/>
              <w:right w:val="single" w:sz="4" w:space="0" w:color="auto"/>
            </w:tcBorders>
            <w:noWrap/>
            <w:vAlign w:val="center"/>
            <w:hideMark/>
          </w:tcPr>
          <w:p w14:paraId="1847C5C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271.4</w:t>
            </w:r>
          </w:p>
        </w:tc>
      </w:tr>
      <w:tr w:rsidR="00F41C4E" w:rsidRPr="00F41C4E" w14:paraId="02064DFB"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5A322D00"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1F5426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12(g)</w:t>
            </w:r>
          </w:p>
        </w:tc>
        <w:tc>
          <w:tcPr>
            <w:tcW w:w="684" w:type="pct"/>
            <w:tcBorders>
              <w:top w:val="nil"/>
              <w:left w:val="nil"/>
              <w:bottom w:val="nil"/>
              <w:right w:val="nil"/>
            </w:tcBorders>
            <w:noWrap/>
            <w:vAlign w:val="center"/>
            <w:hideMark/>
          </w:tcPr>
          <w:p w14:paraId="490218E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2,314.7</w:t>
            </w:r>
          </w:p>
        </w:tc>
        <w:tc>
          <w:tcPr>
            <w:tcW w:w="685" w:type="pct"/>
            <w:tcBorders>
              <w:top w:val="nil"/>
              <w:left w:val="nil"/>
              <w:bottom w:val="nil"/>
              <w:right w:val="nil"/>
            </w:tcBorders>
            <w:noWrap/>
            <w:vAlign w:val="center"/>
            <w:hideMark/>
          </w:tcPr>
          <w:p w14:paraId="70813BF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-237.5</w:t>
            </w:r>
          </w:p>
        </w:tc>
        <w:tc>
          <w:tcPr>
            <w:tcW w:w="685" w:type="pct"/>
            <w:tcBorders>
              <w:top w:val="nil"/>
              <w:left w:val="nil"/>
              <w:bottom w:val="nil"/>
              <w:right w:val="single" w:sz="4" w:space="0" w:color="auto"/>
            </w:tcBorders>
            <w:noWrap/>
            <w:vAlign w:val="center"/>
            <w:hideMark/>
          </w:tcPr>
          <w:p w14:paraId="28E55BF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367.4</w:t>
            </w:r>
          </w:p>
        </w:tc>
      </w:tr>
      <w:tr w:rsidR="00F41C4E" w:rsidRPr="00F41C4E" w14:paraId="685BB98B"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46EA4696"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4A2CF6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13(a)</w:t>
            </w:r>
          </w:p>
        </w:tc>
        <w:tc>
          <w:tcPr>
            <w:tcW w:w="684" w:type="pct"/>
            <w:tcBorders>
              <w:top w:val="nil"/>
              <w:left w:val="nil"/>
              <w:bottom w:val="nil"/>
              <w:right w:val="nil"/>
            </w:tcBorders>
            <w:noWrap/>
            <w:vAlign w:val="center"/>
            <w:hideMark/>
          </w:tcPr>
          <w:p w14:paraId="14FA490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1,207.7</w:t>
            </w:r>
          </w:p>
        </w:tc>
        <w:tc>
          <w:tcPr>
            <w:tcW w:w="685" w:type="pct"/>
            <w:tcBorders>
              <w:top w:val="nil"/>
              <w:left w:val="nil"/>
              <w:bottom w:val="nil"/>
              <w:right w:val="nil"/>
            </w:tcBorders>
            <w:noWrap/>
            <w:vAlign w:val="center"/>
            <w:hideMark/>
          </w:tcPr>
          <w:p w14:paraId="60D153E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-123.9</w:t>
            </w:r>
          </w:p>
        </w:tc>
        <w:tc>
          <w:tcPr>
            <w:tcW w:w="685" w:type="pct"/>
            <w:tcBorders>
              <w:top w:val="nil"/>
              <w:left w:val="nil"/>
              <w:bottom w:val="nil"/>
              <w:right w:val="single" w:sz="4" w:space="0" w:color="auto"/>
            </w:tcBorders>
            <w:noWrap/>
            <w:vAlign w:val="center"/>
            <w:hideMark/>
          </w:tcPr>
          <w:p w14:paraId="598BEEF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103.3</w:t>
            </w:r>
          </w:p>
        </w:tc>
      </w:tr>
      <w:tr w:rsidR="00F41C4E" w:rsidRPr="00F41C4E" w14:paraId="2CD063B9"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21EA09B3"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A82E9B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13(b)(i)</w:t>
            </w:r>
          </w:p>
        </w:tc>
        <w:tc>
          <w:tcPr>
            <w:tcW w:w="684" w:type="pct"/>
            <w:tcBorders>
              <w:top w:val="nil"/>
              <w:left w:val="nil"/>
              <w:bottom w:val="nil"/>
              <w:right w:val="nil"/>
            </w:tcBorders>
            <w:noWrap/>
            <w:vAlign w:val="center"/>
            <w:hideMark/>
          </w:tcPr>
          <w:p w14:paraId="7B4C516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1,595.9</w:t>
            </w:r>
          </w:p>
        </w:tc>
        <w:tc>
          <w:tcPr>
            <w:tcW w:w="685" w:type="pct"/>
            <w:tcBorders>
              <w:top w:val="nil"/>
              <w:left w:val="nil"/>
              <w:bottom w:val="nil"/>
              <w:right w:val="nil"/>
            </w:tcBorders>
            <w:noWrap/>
            <w:vAlign w:val="center"/>
            <w:hideMark/>
          </w:tcPr>
          <w:p w14:paraId="39DC441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-163.8</w:t>
            </w:r>
          </w:p>
        </w:tc>
        <w:tc>
          <w:tcPr>
            <w:tcW w:w="685" w:type="pct"/>
            <w:tcBorders>
              <w:top w:val="nil"/>
              <w:left w:val="nil"/>
              <w:bottom w:val="nil"/>
              <w:right w:val="single" w:sz="4" w:space="0" w:color="auto"/>
            </w:tcBorders>
            <w:noWrap/>
            <w:vAlign w:val="center"/>
            <w:hideMark/>
          </w:tcPr>
          <w:p w14:paraId="522D3ED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195.9</w:t>
            </w:r>
          </w:p>
        </w:tc>
      </w:tr>
      <w:tr w:rsidR="00F41C4E" w:rsidRPr="00F41C4E" w14:paraId="34E15339"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518E6AB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FA1361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13(b)(ii)</w:t>
            </w:r>
          </w:p>
        </w:tc>
        <w:tc>
          <w:tcPr>
            <w:tcW w:w="684" w:type="pct"/>
            <w:tcBorders>
              <w:top w:val="nil"/>
              <w:left w:val="nil"/>
              <w:bottom w:val="nil"/>
              <w:right w:val="nil"/>
            </w:tcBorders>
            <w:noWrap/>
            <w:vAlign w:val="center"/>
            <w:hideMark/>
          </w:tcPr>
          <w:p w14:paraId="46A4E60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1,351.4</w:t>
            </w:r>
          </w:p>
        </w:tc>
        <w:tc>
          <w:tcPr>
            <w:tcW w:w="685" w:type="pct"/>
            <w:tcBorders>
              <w:top w:val="nil"/>
              <w:left w:val="nil"/>
              <w:bottom w:val="nil"/>
              <w:right w:val="nil"/>
            </w:tcBorders>
            <w:noWrap/>
            <w:vAlign w:val="center"/>
            <w:hideMark/>
          </w:tcPr>
          <w:p w14:paraId="3F18591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-138.7</w:t>
            </w:r>
          </w:p>
        </w:tc>
        <w:tc>
          <w:tcPr>
            <w:tcW w:w="685" w:type="pct"/>
            <w:tcBorders>
              <w:top w:val="nil"/>
              <w:left w:val="nil"/>
              <w:bottom w:val="nil"/>
              <w:right w:val="single" w:sz="4" w:space="0" w:color="auto"/>
            </w:tcBorders>
            <w:noWrap/>
            <w:vAlign w:val="center"/>
            <w:hideMark/>
          </w:tcPr>
          <w:p w14:paraId="241E2E4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137.6</w:t>
            </w:r>
          </w:p>
        </w:tc>
      </w:tr>
      <w:tr w:rsidR="00F41C4E" w:rsidRPr="00F41C4E" w14:paraId="1743A478"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434282DB"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69A2DA8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13(b)(iii)</w:t>
            </w:r>
          </w:p>
        </w:tc>
        <w:tc>
          <w:tcPr>
            <w:tcW w:w="684" w:type="pct"/>
            <w:tcBorders>
              <w:top w:val="nil"/>
              <w:left w:val="nil"/>
              <w:bottom w:val="nil"/>
              <w:right w:val="nil"/>
            </w:tcBorders>
            <w:noWrap/>
            <w:vAlign w:val="center"/>
            <w:hideMark/>
          </w:tcPr>
          <w:p w14:paraId="27A67E7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1,595.9</w:t>
            </w:r>
          </w:p>
        </w:tc>
        <w:tc>
          <w:tcPr>
            <w:tcW w:w="685" w:type="pct"/>
            <w:tcBorders>
              <w:top w:val="nil"/>
              <w:left w:val="nil"/>
              <w:bottom w:val="nil"/>
              <w:right w:val="nil"/>
            </w:tcBorders>
            <w:noWrap/>
            <w:vAlign w:val="center"/>
            <w:hideMark/>
          </w:tcPr>
          <w:p w14:paraId="394EFDD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-163.8</w:t>
            </w:r>
          </w:p>
        </w:tc>
        <w:tc>
          <w:tcPr>
            <w:tcW w:w="685" w:type="pct"/>
            <w:tcBorders>
              <w:top w:val="nil"/>
              <w:left w:val="nil"/>
              <w:bottom w:val="nil"/>
              <w:right w:val="single" w:sz="4" w:space="0" w:color="auto"/>
            </w:tcBorders>
            <w:noWrap/>
            <w:vAlign w:val="center"/>
            <w:hideMark/>
          </w:tcPr>
          <w:p w14:paraId="266BF93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195.9</w:t>
            </w:r>
          </w:p>
        </w:tc>
      </w:tr>
      <w:tr w:rsidR="00F41C4E" w:rsidRPr="00F41C4E" w14:paraId="3AADC9C8"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19095701"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65B78D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13(b)(iv)</w:t>
            </w:r>
          </w:p>
        </w:tc>
        <w:tc>
          <w:tcPr>
            <w:tcW w:w="684" w:type="pct"/>
            <w:tcBorders>
              <w:top w:val="nil"/>
              <w:left w:val="nil"/>
              <w:bottom w:val="nil"/>
              <w:right w:val="nil"/>
            </w:tcBorders>
            <w:noWrap/>
            <w:vAlign w:val="center"/>
            <w:hideMark/>
          </w:tcPr>
          <w:p w14:paraId="4E3686E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1,998.4</w:t>
            </w:r>
          </w:p>
        </w:tc>
        <w:tc>
          <w:tcPr>
            <w:tcW w:w="685" w:type="pct"/>
            <w:tcBorders>
              <w:top w:val="nil"/>
              <w:left w:val="nil"/>
              <w:bottom w:val="nil"/>
              <w:right w:val="nil"/>
            </w:tcBorders>
            <w:noWrap/>
            <w:vAlign w:val="center"/>
            <w:hideMark/>
          </w:tcPr>
          <w:p w14:paraId="1CE2F0E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-205.1</w:t>
            </w:r>
          </w:p>
        </w:tc>
        <w:tc>
          <w:tcPr>
            <w:tcW w:w="685" w:type="pct"/>
            <w:tcBorders>
              <w:top w:val="nil"/>
              <w:left w:val="nil"/>
              <w:bottom w:val="nil"/>
              <w:right w:val="single" w:sz="4" w:space="0" w:color="auto"/>
            </w:tcBorders>
            <w:noWrap/>
            <w:vAlign w:val="center"/>
            <w:hideMark/>
          </w:tcPr>
          <w:p w14:paraId="4940168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291.9</w:t>
            </w:r>
          </w:p>
        </w:tc>
      </w:tr>
      <w:tr w:rsidR="00F41C4E" w:rsidRPr="00F41C4E" w14:paraId="0657B959"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3822DE17"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CAEE96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13(b)(v)</w:t>
            </w:r>
          </w:p>
        </w:tc>
        <w:tc>
          <w:tcPr>
            <w:tcW w:w="684" w:type="pct"/>
            <w:tcBorders>
              <w:top w:val="nil"/>
              <w:left w:val="nil"/>
              <w:bottom w:val="nil"/>
              <w:right w:val="nil"/>
            </w:tcBorders>
            <w:noWrap/>
            <w:vAlign w:val="center"/>
            <w:hideMark/>
          </w:tcPr>
          <w:p w14:paraId="4D3DE8F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2,415.3</w:t>
            </w:r>
          </w:p>
        </w:tc>
        <w:tc>
          <w:tcPr>
            <w:tcW w:w="685" w:type="pct"/>
            <w:tcBorders>
              <w:top w:val="nil"/>
              <w:left w:val="nil"/>
              <w:bottom w:val="nil"/>
              <w:right w:val="nil"/>
            </w:tcBorders>
            <w:noWrap/>
            <w:vAlign w:val="center"/>
            <w:hideMark/>
          </w:tcPr>
          <w:p w14:paraId="5B1F3AE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-247.8</w:t>
            </w:r>
          </w:p>
        </w:tc>
        <w:tc>
          <w:tcPr>
            <w:tcW w:w="685" w:type="pct"/>
            <w:tcBorders>
              <w:top w:val="nil"/>
              <w:left w:val="nil"/>
              <w:bottom w:val="nil"/>
              <w:right w:val="single" w:sz="4" w:space="0" w:color="auto"/>
            </w:tcBorders>
            <w:noWrap/>
            <w:vAlign w:val="center"/>
            <w:hideMark/>
          </w:tcPr>
          <w:p w14:paraId="58245ED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391.4</w:t>
            </w:r>
          </w:p>
        </w:tc>
      </w:tr>
      <w:tr w:rsidR="00F41C4E" w:rsidRPr="00F41C4E" w14:paraId="618269A0"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E6E513D"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92F7D0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13(b)(vi)</w:t>
            </w:r>
          </w:p>
        </w:tc>
        <w:tc>
          <w:tcPr>
            <w:tcW w:w="684" w:type="pct"/>
            <w:tcBorders>
              <w:top w:val="nil"/>
              <w:left w:val="nil"/>
              <w:bottom w:val="nil"/>
              <w:right w:val="nil"/>
            </w:tcBorders>
            <w:noWrap/>
            <w:vAlign w:val="center"/>
            <w:hideMark/>
          </w:tcPr>
          <w:p w14:paraId="4DDD718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2,803.5</w:t>
            </w:r>
          </w:p>
        </w:tc>
        <w:tc>
          <w:tcPr>
            <w:tcW w:w="685" w:type="pct"/>
            <w:tcBorders>
              <w:top w:val="nil"/>
              <w:left w:val="nil"/>
              <w:bottom w:val="nil"/>
              <w:right w:val="nil"/>
            </w:tcBorders>
            <w:noWrap/>
            <w:vAlign w:val="center"/>
            <w:hideMark/>
          </w:tcPr>
          <w:p w14:paraId="43583F8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-287.7</w:t>
            </w:r>
          </w:p>
        </w:tc>
        <w:tc>
          <w:tcPr>
            <w:tcW w:w="685" w:type="pct"/>
            <w:tcBorders>
              <w:top w:val="nil"/>
              <w:left w:val="nil"/>
              <w:bottom w:val="nil"/>
              <w:right w:val="single" w:sz="4" w:space="0" w:color="auto"/>
            </w:tcBorders>
            <w:noWrap/>
            <w:vAlign w:val="center"/>
            <w:hideMark/>
          </w:tcPr>
          <w:p w14:paraId="2B89D37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484.1</w:t>
            </w:r>
          </w:p>
        </w:tc>
      </w:tr>
      <w:tr w:rsidR="00F41C4E" w:rsidRPr="00F41C4E" w14:paraId="22FDF852" w14:textId="77777777" w:rsidTr="00F41C4E">
        <w:trPr>
          <w:trHeight w:val="285"/>
        </w:trPr>
        <w:tc>
          <w:tcPr>
            <w:tcW w:w="2191" w:type="pct"/>
            <w:tcBorders>
              <w:top w:val="nil"/>
              <w:left w:val="single" w:sz="4" w:space="0" w:color="auto"/>
              <w:bottom w:val="single" w:sz="4" w:space="0" w:color="auto"/>
              <w:right w:val="single" w:sz="4" w:space="0" w:color="auto"/>
            </w:tcBorders>
            <w:noWrap/>
            <w:vAlign w:val="bottom"/>
            <w:hideMark/>
          </w:tcPr>
          <w:p w14:paraId="631B0074"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single" w:sz="4" w:space="0" w:color="auto"/>
              <w:right w:val="nil"/>
            </w:tcBorders>
            <w:noWrap/>
            <w:vAlign w:val="bottom"/>
            <w:hideMark/>
          </w:tcPr>
          <w:p w14:paraId="1DED607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14</w:t>
            </w:r>
          </w:p>
        </w:tc>
        <w:tc>
          <w:tcPr>
            <w:tcW w:w="684" w:type="pct"/>
            <w:tcBorders>
              <w:top w:val="nil"/>
              <w:left w:val="nil"/>
              <w:bottom w:val="single" w:sz="4" w:space="0" w:color="auto"/>
              <w:right w:val="nil"/>
            </w:tcBorders>
            <w:noWrap/>
            <w:vAlign w:val="center"/>
            <w:hideMark/>
          </w:tcPr>
          <w:p w14:paraId="369ABEE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244.4</w:t>
            </w:r>
          </w:p>
        </w:tc>
        <w:tc>
          <w:tcPr>
            <w:tcW w:w="685" w:type="pct"/>
            <w:tcBorders>
              <w:top w:val="nil"/>
              <w:left w:val="nil"/>
              <w:bottom w:val="single" w:sz="4" w:space="0" w:color="auto"/>
              <w:right w:val="nil"/>
            </w:tcBorders>
            <w:noWrap/>
            <w:vAlign w:val="center"/>
            <w:hideMark/>
          </w:tcPr>
          <w:p w14:paraId="699964B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-25.1</w:t>
            </w:r>
          </w:p>
        </w:tc>
        <w:tc>
          <w:tcPr>
            <w:tcW w:w="685" w:type="pct"/>
            <w:tcBorders>
              <w:top w:val="nil"/>
              <w:left w:val="nil"/>
              <w:bottom w:val="single" w:sz="4" w:space="0" w:color="auto"/>
              <w:right w:val="single" w:sz="4" w:space="0" w:color="auto"/>
            </w:tcBorders>
            <w:noWrap/>
            <w:vAlign w:val="center"/>
            <w:hideMark/>
          </w:tcPr>
          <w:p w14:paraId="3CB9124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-41.7</w:t>
            </w:r>
          </w:p>
        </w:tc>
      </w:tr>
      <w:tr w:rsidR="00F41C4E" w:rsidRPr="00F41C4E" w14:paraId="6F9C3785" w14:textId="77777777" w:rsidTr="00F41C4E">
        <w:trPr>
          <w:trHeight w:val="285"/>
        </w:trPr>
        <w:tc>
          <w:tcPr>
            <w:tcW w:w="2191" w:type="pct"/>
            <w:tcBorders>
              <w:top w:val="single" w:sz="4" w:space="0" w:color="auto"/>
              <w:left w:val="single" w:sz="4" w:space="0" w:color="auto"/>
              <w:bottom w:val="nil"/>
              <w:right w:val="single" w:sz="4" w:space="0" w:color="auto"/>
            </w:tcBorders>
            <w:noWrap/>
            <w:vAlign w:val="bottom"/>
            <w:hideMark/>
          </w:tcPr>
          <w:p w14:paraId="042C17D1"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Proceedings Related to Major Cases</w:t>
            </w:r>
          </w:p>
        </w:tc>
        <w:tc>
          <w:tcPr>
            <w:tcW w:w="754" w:type="pct"/>
            <w:tcBorders>
              <w:top w:val="single" w:sz="4" w:space="0" w:color="auto"/>
              <w:left w:val="single" w:sz="4" w:space="0" w:color="auto"/>
              <w:bottom w:val="nil"/>
              <w:right w:val="nil"/>
            </w:tcBorders>
            <w:noWrap/>
            <w:vAlign w:val="bottom"/>
            <w:hideMark/>
          </w:tcPr>
          <w:p w14:paraId="2A9A5EF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15(a)</w:t>
            </w:r>
          </w:p>
        </w:tc>
        <w:tc>
          <w:tcPr>
            <w:tcW w:w="684" w:type="pct"/>
            <w:tcBorders>
              <w:top w:val="single" w:sz="4" w:space="0" w:color="auto"/>
              <w:left w:val="nil"/>
              <w:bottom w:val="nil"/>
              <w:right w:val="nil"/>
            </w:tcBorders>
            <w:noWrap/>
            <w:vAlign w:val="center"/>
            <w:hideMark/>
          </w:tcPr>
          <w:p w14:paraId="7F3A838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3,206.1</w:t>
            </w:r>
          </w:p>
        </w:tc>
        <w:tc>
          <w:tcPr>
            <w:tcW w:w="685" w:type="pct"/>
            <w:tcBorders>
              <w:top w:val="single" w:sz="4" w:space="0" w:color="auto"/>
              <w:left w:val="nil"/>
              <w:bottom w:val="nil"/>
              <w:right w:val="nil"/>
            </w:tcBorders>
            <w:noWrap/>
            <w:vAlign w:val="center"/>
            <w:hideMark/>
          </w:tcPr>
          <w:p w14:paraId="02D56CD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3,206.1</w:t>
            </w:r>
          </w:p>
        </w:tc>
        <w:tc>
          <w:tcPr>
            <w:tcW w:w="685" w:type="pct"/>
            <w:tcBorders>
              <w:top w:val="single" w:sz="4" w:space="0" w:color="auto"/>
              <w:left w:val="nil"/>
              <w:bottom w:val="nil"/>
              <w:right w:val="single" w:sz="4" w:space="0" w:color="auto"/>
            </w:tcBorders>
            <w:noWrap/>
            <w:vAlign w:val="center"/>
            <w:hideMark/>
          </w:tcPr>
          <w:p w14:paraId="50BCA1E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3,206.1</w:t>
            </w:r>
          </w:p>
        </w:tc>
      </w:tr>
      <w:tr w:rsidR="00F41C4E" w:rsidRPr="00F41C4E" w14:paraId="3D909517"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570ACBEC"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43DF81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15(b)</w:t>
            </w:r>
          </w:p>
        </w:tc>
        <w:tc>
          <w:tcPr>
            <w:tcW w:w="684" w:type="pct"/>
            <w:tcBorders>
              <w:top w:val="nil"/>
              <w:left w:val="nil"/>
              <w:bottom w:val="nil"/>
              <w:right w:val="nil"/>
            </w:tcBorders>
            <w:noWrap/>
            <w:vAlign w:val="center"/>
            <w:hideMark/>
          </w:tcPr>
          <w:p w14:paraId="6862B47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2,961.7</w:t>
            </w:r>
          </w:p>
        </w:tc>
        <w:tc>
          <w:tcPr>
            <w:tcW w:w="685" w:type="pct"/>
            <w:tcBorders>
              <w:top w:val="nil"/>
              <w:left w:val="nil"/>
              <w:bottom w:val="nil"/>
              <w:right w:val="nil"/>
            </w:tcBorders>
            <w:noWrap/>
            <w:vAlign w:val="center"/>
            <w:hideMark/>
          </w:tcPr>
          <w:p w14:paraId="2DB2F31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2,961.7</w:t>
            </w:r>
          </w:p>
        </w:tc>
        <w:tc>
          <w:tcPr>
            <w:tcW w:w="685" w:type="pct"/>
            <w:tcBorders>
              <w:top w:val="nil"/>
              <w:left w:val="nil"/>
              <w:bottom w:val="nil"/>
              <w:right w:val="single" w:sz="4" w:space="0" w:color="auto"/>
            </w:tcBorders>
            <w:noWrap/>
            <w:vAlign w:val="center"/>
            <w:hideMark/>
          </w:tcPr>
          <w:p w14:paraId="4525288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2,961.7</w:t>
            </w:r>
          </w:p>
        </w:tc>
      </w:tr>
      <w:tr w:rsidR="00F41C4E" w:rsidRPr="00F41C4E" w14:paraId="4AB23A74"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6EB46939"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A358FB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15(c)</w:t>
            </w:r>
          </w:p>
        </w:tc>
        <w:tc>
          <w:tcPr>
            <w:tcW w:w="684" w:type="pct"/>
            <w:tcBorders>
              <w:top w:val="nil"/>
              <w:left w:val="nil"/>
              <w:bottom w:val="nil"/>
              <w:right w:val="nil"/>
            </w:tcBorders>
            <w:noWrap/>
            <w:vAlign w:val="center"/>
            <w:hideMark/>
          </w:tcPr>
          <w:p w14:paraId="13D6470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3,206.1</w:t>
            </w:r>
          </w:p>
        </w:tc>
        <w:tc>
          <w:tcPr>
            <w:tcW w:w="685" w:type="pct"/>
            <w:tcBorders>
              <w:top w:val="nil"/>
              <w:left w:val="nil"/>
              <w:bottom w:val="nil"/>
              <w:right w:val="nil"/>
            </w:tcBorders>
            <w:noWrap/>
            <w:vAlign w:val="center"/>
            <w:hideMark/>
          </w:tcPr>
          <w:p w14:paraId="1E6EB2B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3,206.1</w:t>
            </w:r>
          </w:p>
        </w:tc>
        <w:tc>
          <w:tcPr>
            <w:tcW w:w="685" w:type="pct"/>
            <w:tcBorders>
              <w:top w:val="nil"/>
              <w:left w:val="nil"/>
              <w:bottom w:val="nil"/>
              <w:right w:val="single" w:sz="4" w:space="0" w:color="auto"/>
            </w:tcBorders>
            <w:noWrap/>
            <w:vAlign w:val="center"/>
            <w:hideMark/>
          </w:tcPr>
          <w:p w14:paraId="17CA65D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3,206.1</w:t>
            </w:r>
          </w:p>
        </w:tc>
      </w:tr>
      <w:tr w:rsidR="00F41C4E" w:rsidRPr="00F41C4E" w14:paraId="4DDD5247"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32796150"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7597067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15(d)</w:t>
            </w:r>
          </w:p>
        </w:tc>
        <w:tc>
          <w:tcPr>
            <w:tcW w:w="684" w:type="pct"/>
            <w:tcBorders>
              <w:top w:val="nil"/>
              <w:left w:val="nil"/>
              <w:bottom w:val="nil"/>
              <w:right w:val="nil"/>
            </w:tcBorders>
            <w:noWrap/>
            <w:vAlign w:val="center"/>
            <w:hideMark/>
          </w:tcPr>
          <w:p w14:paraId="3DE0CDB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3,608.6</w:t>
            </w:r>
          </w:p>
        </w:tc>
        <w:tc>
          <w:tcPr>
            <w:tcW w:w="685" w:type="pct"/>
            <w:tcBorders>
              <w:top w:val="nil"/>
              <w:left w:val="nil"/>
              <w:bottom w:val="nil"/>
              <w:right w:val="nil"/>
            </w:tcBorders>
            <w:noWrap/>
            <w:vAlign w:val="center"/>
            <w:hideMark/>
          </w:tcPr>
          <w:p w14:paraId="7441ADE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3,608.6</w:t>
            </w:r>
          </w:p>
        </w:tc>
        <w:tc>
          <w:tcPr>
            <w:tcW w:w="685" w:type="pct"/>
            <w:tcBorders>
              <w:top w:val="nil"/>
              <w:left w:val="nil"/>
              <w:bottom w:val="nil"/>
              <w:right w:val="single" w:sz="4" w:space="0" w:color="auto"/>
            </w:tcBorders>
            <w:noWrap/>
            <w:vAlign w:val="center"/>
            <w:hideMark/>
          </w:tcPr>
          <w:p w14:paraId="16B8E2B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3,608.6</w:t>
            </w:r>
          </w:p>
        </w:tc>
      </w:tr>
      <w:tr w:rsidR="00F41C4E" w:rsidRPr="00F41C4E" w14:paraId="1745E398" w14:textId="77777777" w:rsidTr="00F41C4E">
        <w:trPr>
          <w:trHeight w:val="285"/>
        </w:trPr>
        <w:tc>
          <w:tcPr>
            <w:tcW w:w="2191" w:type="pct"/>
            <w:tcBorders>
              <w:top w:val="nil"/>
              <w:left w:val="single" w:sz="4" w:space="0" w:color="auto"/>
              <w:bottom w:val="nil"/>
              <w:right w:val="single" w:sz="4" w:space="0" w:color="auto"/>
            </w:tcBorders>
            <w:noWrap/>
            <w:vAlign w:val="bottom"/>
            <w:hideMark/>
          </w:tcPr>
          <w:p w14:paraId="3EAA4D8D"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66DF94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15(e)</w:t>
            </w:r>
          </w:p>
        </w:tc>
        <w:tc>
          <w:tcPr>
            <w:tcW w:w="684" w:type="pct"/>
            <w:tcBorders>
              <w:top w:val="nil"/>
              <w:left w:val="nil"/>
              <w:bottom w:val="nil"/>
              <w:right w:val="nil"/>
            </w:tcBorders>
            <w:noWrap/>
            <w:vAlign w:val="center"/>
            <w:hideMark/>
          </w:tcPr>
          <w:p w14:paraId="6402126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4,011.2</w:t>
            </w:r>
          </w:p>
        </w:tc>
        <w:tc>
          <w:tcPr>
            <w:tcW w:w="685" w:type="pct"/>
            <w:tcBorders>
              <w:top w:val="nil"/>
              <w:left w:val="nil"/>
              <w:bottom w:val="nil"/>
              <w:right w:val="nil"/>
            </w:tcBorders>
            <w:noWrap/>
            <w:vAlign w:val="center"/>
            <w:hideMark/>
          </w:tcPr>
          <w:p w14:paraId="3E89F1C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4,011.2</w:t>
            </w:r>
          </w:p>
        </w:tc>
        <w:tc>
          <w:tcPr>
            <w:tcW w:w="685" w:type="pct"/>
            <w:tcBorders>
              <w:top w:val="nil"/>
              <w:left w:val="nil"/>
              <w:bottom w:val="nil"/>
              <w:right w:val="single" w:sz="4" w:space="0" w:color="auto"/>
            </w:tcBorders>
            <w:noWrap/>
            <w:vAlign w:val="center"/>
            <w:hideMark/>
          </w:tcPr>
          <w:p w14:paraId="4D0D6E1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4,011.2</w:t>
            </w:r>
          </w:p>
        </w:tc>
      </w:tr>
      <w:tr w:rsidR="00F41C4E" w:rsidRPr="00F41C4E" w14:paraId="0184A5ED" w14:textId="77777777" w:rsidTr="00F41C4E">
        <w:trPr>
          <w:trHeight w:val="285"/>
        </w:trPr>
        <w:tc>
          <w:tcPr>
            <w:tcW w:w="2191" w:type="pct"/>
            <w:tcBorders>
              <w:top w:val="nil"/>
              <w:left w:val="single" w:sz="4" w:space="0" w:color="auto"/>
              <w:bottom w:val="single" w:sz="4" w:space="0" w:color="auto"/>
              <w:right w:val="single" w:sz="4" w:space="0" w:color="auto"/>
            </w:tcBorders>
            <w:noWrap/>
            <w:vAlign w:val="bottom"/>
            <w:hideMark/>
          </w:tcPr>
          <w:p w14:paraId="6F38F344"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single" w:sz="4" w:space="0" w:color="auto"/>
              <w:right w:val="nil"/>
            </w:tcBorders>
            <w:noWrap/>
            <w:vAlign w:val="bottom"/>
            <w:hideMark/>
          </w:tcPr>
          <w:p w14:paraId="76D9689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15(f)</w:t>
            </w:r>
          </w:p>
        </w:tc>
        <w:tc>
          <w:tcPr>
            <w:tcW w:w="684" w:type="pct"/>
            <w:tcBorders>
              <w:top w:val="nil"/>
              <w:left w:val="nil"/>
              <w:bottom w:val="single" w:sz="4" w:space="0" w:color="auto"/>
              <w:right w:val="nil"/>
            </w:tcBorders>
            <w:noWrap/>
            <w:vAlign w:val="center"/>
            <w:hideMark/>
          </w:tcPr>
          <w:p w14:paraId="0D8F6B6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4,413.8</w:t>
            </w:r>
          </w:p>
        </w:tc>
        <w:tc>
          <w:tcPr>
            <w:tcW w:w="685" w:type="pct"/>
            <w:tcBorders>
              <w:top w:val="nil"/>
              <w:left w:val="nil"/>
              <w:bottom w:val="single" w:sz="4" w:space="0" w:color="auto"/>
              <w:right w:val="nil"/>
            </w:tcBorders>
            <w:noWrap/>
            <w:vAlign w:val="center"/>
            <w:hideMark/>
          </w:tcPr>
          <w:p w14:paraId="5218784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4,413.8</w:t>
            </w:r>
          </w:p>
        </w:tc>
        <w:tc>
          <w:tcPr>
            <w:tcW w:w="685" w:type="pct"/>
            <w:tcBorders>
              <w:top w:val="nil"/>
              <w:left w:val="nil"/>
              <w:bottom w:val="single" w:sz="4" w:space="0" w:color="auto"/>
              <w:right w:val="single" w:sz="4" w:space="0" w:color="auto"/>
            </w:tcBorders>
            <w:noWrap/>
            <w:vAlign w:val="center"/>
            <w:hideMark/>
          </w:tcPr>
          <w:p w14:paraId="0FCB338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4,413.8</w:t>
            </w:r>
          </w:p>
        </w:tc>
      </w:tr>
      <w:tr w:rsidR="00F41C4E" w:rsidRPr="00F41C4E" w14:paraId="0A50650A" w14:textId="77777777" w:rsidTr="00F41C4E">
        <w:trPr>
          <w:trHeight w:val="870"/>
        </w:trPr>
        <w:tc>
          <w:tcPr>
            <w:tcW w:w="2191" w:type="pct"/>
            <w:tcBorders>
              <w:top w:val="nil"/>
              <w:left w:val="single" w:sz="4" w:space="0" w:color="auto"/>
              <w:bottom w:val="single" w:sz="4" w:space="0" w:color="auto"/>
              <w:right w:val="single" w:sz="4" w:space="0" w:color="auto"/>
            </w:tcBorders>
            <w:vAlign w:val="bottom"/>
            <w:hideMark/>
          </w:tcPr>
          <w:p w14:paraId="58DE2D71"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Commencements related to Planning or Environmental Protection not otherwise specified</w:t>
            </w:r>
          </w:p>
        </w:tc>
        <w:tc>
          <w:tcPr>
            <w:tcW w:w="754" w:type="pct"/>
            <w:tcBorders>
              <w:top w:val="nil"/>
              <w:left w:val="single" w:sz="4" w:space="0" w:color="auto"/>
              <w:bottom w:val="single" w:sz="4" w:space="0" w:color="auto"/>
              <w:right w:val="nil"/>
            </w:tcBorders>
            <w:noWrap/>
            <w:vAlign w:val="center"/>
            <w:hideMark/>
          </w:tcPr>
          <w:p w14:paraId="5E8238A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16</w:t>
            </w:r>
          </w:p>
        </w:tc>
        <w:tc>
          <w:tcPr>
            <w:tcW w:w="684" w:type="pct"/>
            <w:tcBorders>
              <w:top w:val="nil"/>
              <w:left w:val="nil"/>
              <w:bottom w:val="single" w:sz="4" w:space="0" w:color="auto"/>
              <w:right w:val="nil"/>
            </w:tcBorders>
            <w:noWrap/>
            <w:vAlign w:val="center"/>
            <w:hideMark/>
          </w:tcPr>
          <w:p w14:paraId="44C4DDA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1,207.7</w:t>
            </w:r>
          </w:p>
        </w:tc>
        <w:tc>
          <w:tcPr>
            <w:tcW w:w="685" w:type="pct"/>
            <w:tcBorders>
              <w:top w:val="nil"/>
              <w:left w:val="nil"/>
              <w:bottom w:val="single" w:sz="4" w:space="0" w:color="auto"/>
              <w:right w:val="nil"/>
            </w:tcBorders>
            <w:noWrap/>
            <w:vAlign w:val="center"/>
            <w:hideMark/>
          </w:tcPr>
          <w:p w14:paraId="4F7807D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-123.9</w:t>
            </w:r>
          </w:p>
        </w:tc>
        <w:tc>
          <w:tcPr>
            <w:tcW w:w="685" w:type="pct"/>
            <w:tcBorders>
              <w:top w:val="nil"/>
              <w:left w:val="nil"/>
              <w:bottom w:val="single" w:sz="4" w:space="0" w:color="auto"/>
              <w:right w:val="single" w:sz="4" w:space="0" w:color="auto"/>
            </w:tcBorders>
            <w:noWrap/>
            <w:vAlign w:val="center"/>
            <w:hideMark/>
          </w:tcPr>
          <w:p w14:paraId="4AD28BF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103.3</w:t>
            </w:r>
          </w:p>
        </w:tc>
      </w:tr>
      <w:tr w:rsidR="00F41C4E" w:rsidRPr="00F41C4E" w14:paraId="3CE583F5" w14:textId="77777777" w:rsidTr="00F41C4E">
        <w:trPr>
          <w:trHeight w:val="285"/>
        </w:trPr>
        <w:tc>
          <w:tcPr>
            <w:tcW w:w="2191" w:type="pct"/>
            <w:tcBorders>
              <w:top w:val="nil"/>
              <w:left w:val="single" w:sz="4" w:space="0" w:color="auto"/>
              <w:bottom w:val="single" w:sz="4" w:space="0" w:color="auto"/>
              <w:right w:val="nil"/>
            </w:tcBorders>
            <w:vAlign w:val="bottom"/>
            <w:hideMark/>
          </w:tcPr>
          <w:p w14:paraId="4940F019"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Commencements not otherwise specified</w:t>
            </w:r>
          </w:p>
        </w:tc>
        <w:tc>
          <w:tcPr>
            <w:tcW w:w="754" w:type="pct"/>
            <w:tcBorders>
              <w:top w:val="single" w:sz="4" w:space="0" w:color="auto"/>
              <w:left w:val="single" w:sz="4" w:space="0" w:color="auto"/>
              <w:bottom w:val="nil"/>
              <w:right w:val="nil"/>
            </w:tcBorders>
            <w:noWrap/>
            <w:vAlign w:val="center"/>
            <w:hideMark/>
          </w:tcPr>
          <w:p w14:paraId="5B47C32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17</w:t>
            </w:r>
          </w:p>
        </w:tc>
        <w:tc>
          <w:tcPr>
            <w:tcW w:w="684" w:type="pct"/>
            <w:tcBorders>
              <w:top w:val="single" w:sz="4" w:space="0" w:color="auto"/>
              <w:left w:val="nil"/>
              <w:bottom w:val="nil"/>
              <w:right w:val="nil"/>
            </w:tcBorders>
            <w:noWrap/>
            <w:vAlign w:val="center"/>
            <w:hideMark/>
          </w:tcPr>
          <w:p w14:paraId="6B16815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920.1</w:t>
            </w:r>
          </w:p>
        </w:tc>
        <w:tc>
          <w:tcPr>
            <w:tcW w:w="685" w:type="pct"/>
            <w:tcBorders>
              <w:top w:val="single" w:sz="4" w:space="0" w:color="auto"/>
              <w:left w:val="nil"/>
              <w:bottom w:val="nil"/>
              <w:right w:val="nil"/>
            </w:tcBorders>
            <w:noWrap/>
            <w:vAlign w:val="center"/>
            <w:hideMark/>
          </w:tcPr>
          <w:p w14:paraId="596DB09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-94.4</w:t>
            </w:r>
          </w:p>
        </w:tc>
        <w:tc>
          <w:tcPr>
            <w:tcW w:w="685" w:type="pct"/>
            <w:tcBorders>
              <w:top w:val="single" w:sz="4" w:space="0" w:color="auto"/>
              <w:left w:val="nil"/>
              <w:bottom w:val="nil"/>
              <w:right w:val="single" w:sz="4" w:space="0" w:color="auto"/>
            </w:tcBorders>
            <w:noWrap/>
            <w:vAlign w:val="center"/>
            <w:hideMark/>
          </w:tcPr>
          <w:p w14:paraId="601C689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34.6</w:t>
            </w:r>
          </w:p>
        </w:tc>
      </w:tr>
      <w:tr w:rsidR="00F41C4E" w:rsidRPr="00F41C4E" w14:paraId="267AF22A" w14:textId="77777777" w:rsidTr="00F41C4E">
        <w:trPr>
          <w:trHeight w:val="315"/>
        </w:trPr>
        <w:tc>
          <w:tcPr>
            <w:tcW w:w="2191" w:type="pct"/>
            <w:tcBorders>
              <w:top w:val="single" w:sz="4" w:space="0" w:color="auto"/>
              <w:left w:val="single" w:sz="4" w:space="0" w:color="auto"/>
              <w:bottom w:val="single" w:sz="4" w:space="0" w:color="auto"/>
              <w:right w:val="nil"/>
            </w:tcBorders>
            <w:shd w:val="clear" w:color="000000" w:fill="D9D9D9"/>
            <w:noWrap/>
            <w:vAlign w:val="bottom"/>
            <w:hideMark/>
          </w:tcPr>
          <w:p w14:paraId="4C0427B1" w14:textId="77777777" w:rsidR="00F41C4E" w:rsidRPr="00F41C4E" w:rsidRDefault="00F41C4E" w:rsidP="00F41C4E">
            <w:pPr>
              <w:rPr>
                <w:rFonts w:ascii="Aptos Narrow" w:hAnsi="Aptos Narrow"/>
                <w:b/>
                <w:bCs/>
                <w:color w:val="000000"/>
                <w:sz w:val="24"/>
                <w:szCs w:val="24"/>
                <w:lang w:eastAsia="ko-KR"/>
              </w:rPr>
            </w:pPr>
            <w:r w:rsidRPr="00F41C4E">
              <w:rPr>
                <w:rFonts w:ascii="Aptos Narrow" w:hAnsi="Aptos Narrow"/>
                <w:b/>
                <w:bCs/>
                <w:color w:val="000000"/>
                <w:sz w:val="24"/>
                <w:szCs w:val="24"/>
                <w:lang w:eastAsia="ko-KR"/>
              </w:rPr>
              <w:t>Part 2 - Fee for an application and other matters in relation to an existing proceeding</w:t>
            </w:r>
          </w:p>
        </w:tc>
        <w:tc>
          <w:tcPr>
            <w:tcW w:w="754" w:type="pct"/>
            <w:tcBorders>
              <w:top w:val="single" w:sz="4" w:space="0" w:color="auto"/>
              <w:left w:val="nil"/>
              <w:bottom w:val="single" w:sz="4" w:space="0" w:color="auto"/>
              <w:right w:val="nil"/>
            </w:tcBorders>
            <w:shd w:val="clear" w:color="000000" w:fill="D9D9D9"/>
            <w:noWrap/>
            <w:vAlign w:val="bottom"/>
            <w:hideMark/>
          </w:tcPr>
          <w:p w14:paraId="56739B66" w14:textId="77777777" w:rsidR="00F41C4E" w:rsidRPr="00F41C4E" w:rsidRDefault="00F41C4E" w:rsidP="00F41C4E">
            <w:pPr>
              <w:rPr>
                <w:rFonts w:ascii="Aptos Narrow" w:hAnsi="Aptos Narrow"/>
                <w:b/>
                <w:bCs/>
                <w:color w:val="000000"/>
                <w:sz w:val="24"/>
                <w:szCs w:val="24"/>
                <w:lang w:eastAsia="ko-KR"/>
              </w:rPr>
            </w:pPr>
          </w:p>
        </w:tc>
        <w:tc>
          <w:tcPr>
            <w:tcW w:w="684" w:type="pct"/>
            <w:tcBorders>
              <w:top w:val="single" w:sz="4" w:space="0" w:color="auto"/>
              <w:left w:val="nil"/>
              <w:bottom w:val="single" w:sz="4" w:space="0" w:color="auto"/>
              <w:right w:val="nil"/>
            </w:tcBorders>
            <w:shd w:val="clear" w:color="000000" w:fill="D9D9D9"/>
            <w:noWrap/>
            <w:vAlign w:val="center"/>
            <w:hideMark/>
          </w:tcPr>
          <w:p w14:paraId="2C1D79B0" w14:textId="77777777" w:rsidR="00F41C4E" w:rsidRPr="00F41C4E" w:rsidRDefault="00F41C4E" w:rsidP="00F41C4E">
            <w:pPr>
              <w:jc w:val="center"/>
              <w:rPr>
                <w:rFonts w:ascii="Times New Roman" w:hAnsi="Times New Roman"/>
                <w:lang w:eastAsia="ko-KR"/>
              </w:rPr>
            </w:pPr>
          </w:p>
        </w:tc>
        <w:tc>
          <w:tcPr>
            <w:tcW w:w="685" w:type="pct"/>
            <w:tcBorders>
              <w:top w:val="single" w:sz="4" w:space="0" w:color="auto"/>
              <w:left w:val="nil"/>
              <w:bottom w:val="single" w:sz="4" w:space="0" w:color="auto"/>
              <w:right w:val="nil"/>
            </w:tcBorders>
            <w:shd w:val="clear" w:color="000000" w:fill="D9D9D9"/>
            <w:noWrap/>
            <w:vAlign w:val="center"/>
            <w:hideMark/>
          </w:tcPr>
          <w:p w14:paraId="01D2226B" w14:textId="77777777" w:rsidR="00F41C4E" w:rsidRPr="00F41C4E" w:rsidRDefault="00F41C4E" w:rsidP="00F41C4E">
            <w:pPr>
              <w:jc w:val="center"/>
              <w:rPr>
                <w:rFonts w:ascii="Times New Roman" w:hAnsi="Times New Roman"/>
                <w:lang w:eastAsia="ko-KR"/>
              </w:rPr>
            </w:pPr>
          </w:p>
        </w:tc>
        <w:tc>
          <w:tcPr>
            <w:tcW w:w="685" w:type="pct"/>
            <w:tcBorders>
              <w:top w:val="single" w:sz="4" w:space="0" w:color="auto"/>
              <w:left w:val="nil"/>
              <w:bottom w:val="single" w:sz="4" w:space="0" w:color="auto"/>
              <w:right w:val="single" w:sz="4" w:space="0" w:color="auto"/>
            </w:tcBorders>
            <w:shd w:val="clear" w:color="000000" w:fill="D9D9D9"/>
            <w:noWrap/>
            <w:vAlign w:val="center"/>
            <w:hideMark/>
          </w:tcPr>
          <w:p w14:paraId="757F0F4D" w14:textId="77777777" w:rsidR="00F41C4E" w:rsidRPr="00F41C4E" w:rsidRDefault="00F41C4E" w:rsidP="00F41C4E">
            <w:pPr>
              <w:jc w:val="center"/>
              <w:rPr>
                <w:rFonts w:ascii="Times New Roman" w:hAnsi="Times New Roman"/>
                <w:lang w:eastAsia="ko-KR"/>
              </w:rPr>
            </w:pPr>
          </w:p>
        </w:tc>
      </w:tr>
      <w:tr w:rsidR="00F41C4E" w:rsidRPr="00F41C4E" w14:paraId="2E097A1F" w14:textId="77777777" w:rsidTr="00F41C4E">
        <w:trPr>
          <w:trHeight w:val="285"/>
        </w:trPr>
        <w:tc>
          <w:tcPr>
            <w:tcW w:w="2191" w:type="pct"/>
            <w:tcBorders>
              <w:top w:val="single" w:sz="4" w:space="0" w:color="auto"/>
              <w:left w:val="single" w:sz="4" w:space="0" w:color="auto"/>
              <w:bottom w:val="nil"/>
              <w:right w:val="nil"/>
            </w:tcBorders>
            <w:noWrap/>
            <w:vAlign w:val="bottom"/>
            <w:hideMark/>
          </w:tcPr>
          <w:p w14:paraId="55A9031B"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Costs Proceeding</w:t>
            </w:r>
          </w:p>
        </w:tc>
        <w:tc>
          <w:tcPr>
            <w:tcW w:w="754" w:type="pct"/>
            <w:tcBorders>
              <w:top w:val="nil"/>
              <w:left w:val="single" w:sz="4" w:space="0" w:color="auto"/>
              <w:bottom w:val="nil"/>
              <w:right w:val="nil"/>
            </w:tcBorders>
            <w:noWrap/>
            <w:vAlign w:val="bottom"/>
            <w:hideMark/>
          </w:tcPr>
          <w:p w14:paraId="4FE9187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18(a)</w:t>
            </w:r>
          </w:p>
        </w:tc>
        <w:tc>
          <w:tcPr>
            <w:tcW w:w="684" w:type="pct"/>
            <w:tcBorders>
              <w:top w:val="nil"/>
              <w:left w:val="nil"/>
              <w:bottom w:val="nil"/>
              <w:right w:val="nil"/>
            </w:tcBorders>
            <w:noWrap/>
            <w:vAlign w:val="center"/>
            <w:hideMark/>
          </w:tcPr>
          <w:p w14:paraId="3C5BADF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920.1</w:t>
            </w:r>
          </w:p>
        </w:tc>
        <w:tc>
          <w:tcPr>
            <w:tcW w:w="685" w:type="pct"/>
            <w:tcBorders>
              <w:top w:val="nil"/>
              <w:left w:val="nil"/>
              <w:bottom w:val="nil"/>
              <w:right w:val="nil"/>
            </w:tcBorders>
            <w:noWrap/>
            <w:vAlign w:val="center"/>
            <w:hideMark/>
          </w:tcPr>
          <w:p w14:paraId="242EEEA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-94.4</w:t>
            </w:r>
          </w:p>
        </w:tc>
        <w:tc>
          <w:tcPr>
            <w:tcW w:w="685" w:type="pct"/>
            <w:tcBorders>
              <w:top w:val="nil"/>
              <w:left w:val="nil"/>
              <w:bottom w:val="nil"/>
              <w:right w:val="single" w:sz="4" w:space="0" w:color="auto"/>
            </w:tcBorders>
            <w:noWrap/>
            <w:vAlign w:val="center"/>
            <w:hideMark/>
          </w:tcPr>
          <w:p w14:paraId="3786161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34.6</w:t>
            </w:r>
          </w:p>
        </w:tc>
      </w:tr>
      <w:tr w:rsidR="00F41C4E" w:rsidRPr="00F41C4E" w14:paraId="470439F2" w14:textId="77777777" w:rsidTr="00F41C4E">
        <w:trPr>
          <w:trHeight w:val="285"/>
        </w:trPr>
        <w:tc>
          <w:tcPr>
            <w:tcW w:w="2191" w:type="pct"/>
            <w:tcBorders>
              <w:top w:val="nil"/>
              <w:left w:val="single" w:sz="4" w:space="0" w:color="auto"/>
              <w:bottom w:val="single" w:sz="4" w:space="0" w:color="auto"/>
              <w:right w:val="nil"/>
            </w:tcBorders>
            <w:noWrap/>
            <w:vAlign w:val="bottom"/>
            <w:hideMark/>
          </w:tcPr>
          <w:p w14:paraId="3C9EB8F9"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single" w:sz="4" w:space="0" w:color="auto"/>
              <w:right w:val="nil"/>
            </w:tcBorders>
            <w:noWrap/>
            <w:vAlign w:val="bottom"/>
            <w:hideMark/>
          </w:tcPr>
          <w:p w14:paraId="302B0DC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18(b)</w:t>
            </w:r>
          </w:p>
        </w:tc>
        <w:tc>
          <w:tcPr>
            <w:tcW w:w="684" w:type="pct"/>
            <w:tcBorders>
              <w:top w:val="nil"/>
              <w:left w:val="nil"/>
              <w:bottom w:val="single" w:sz="4" w:space="0" w:color="auto"/>
              <w:right w:val="nil"/>
            </w:tcBorders>
            <w:noWrap/>
            <w:vAlign w:val="center"/>
            <w:hideMark/>
          </w:tcPr>
          <w:p w14:paraId="7EBBBB7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517.6</w:t>
            </w:r>
          </w:p>
        </w:tc>
        <w:tc>
          <w:tcPr>
            <w:tcW w:w="685" w:type="pct"/>
            <w:tcBorders>
              <w:top w:val="nil"/>
              <w:left w:val="nil"/>
              <w:bottom w:val="single" w:sz="4" w:space="0" w:color="auto"/>
              <w:right w:val="nil"/>
            </w:tcBorders>
            <w:noWrap/>
            <w:vAlign w:val="center"/>
            <w:hideMark/>
          </w:tcPr>
          <w:p w14:paraId="0314BFD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-53.1</w:t>
            </w:r>
          </w:p>
        </w:tc>
        <w:tc>
          <w:tcPr>
            <w:tcW w:w="685" w:type="pct"/>
            <w:tcBorders>
              <w:top w:val="nil"/>
              <w:left w:val="nil"/>
              <w:bottom w:val="single" w:sz="4" w:space="0" w:color="auto"/>
              <w:right w:val="single" w:sz="4" w:space="0" w:color="auto"/>
            </w:tcBorders>
            <w:noWrap/>
            <w:vAlign w:val="center"/>
            <w:hideMark/>
          </w:tcPr>
          <w:p w14:paraId="4E0F964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-61.4</w:t>
            </w:r>
          </w:p>
        </w:tc>
      </w:tr>
      <w:tr w:rsidR="00F41C4E" w:rsidRPr="00F41C4E" w14:paraId="79072812" w14:textId="77777777" w:rsidTr="00F41C4E">
        <w:trPr>
          <w:trHeight w:val="285"/>
        </w:trPr>
        <w:tc>
          <w:tcPr>
            <w:tcW w:w="2191" w:type="pct"/>
            <w:tcBorders>
              <w:top w:val="single" w:sz="4" w:space="0" w:color="auto"/>
              <w:left w:val="single" w:sz="4" w:space="0" w:color="auto"/>
              <w:bottom w:val="nil"/>
              <w:right w:val="nil"/>
            </w:tcBorders>
            <w:noWrap/>
            <w:vAlign w:val="bottom"/>
            <w:hideMark/>
          </w:tcPr>
          <w:p w14:paraId="082FCCD6"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Review of Order</w:t>
            </w:r>
          </w:p>
        </w:tc>
        <w:tc>
          <w:tcPr>
            <w:tcW w:w="754" w:type="pct"/>
            <w:tcBorders>
              <w:top w:val="nil"/>
              <w:left w:val="single" w:sz="4" w:space="0" w:color="auto"/>
              <w:bottom w:val="nil"/>
              <w:right w:val="nil"/>
            </w:tcBorders>
            <w:noWrap/>
            <w:vAlign w:val="bottom"/>
            <w:hideMark/>
          </w:tcPr>
          <w:p w14:paraId="2CD1F20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19(a)</w:t>
            </w:r>
          </w:p>
        </w:tc>
        <w:tc>
          <w:tcPr>
            <w:tcW w:w="684" w:type="pct"/>
            <w:tcBorders>
              <w:top w:val="nil"/>
              <w:left w:val="nil"/>
              <w:bottom w:val="nil"/>
              <w:right w:val="nil"/>
            </w:tcBorders>
            <w:noWrap/>
            <w:vAlign w:val="center"/>
            <w:hideMark/>
          </w:tcPr>
          <w:p w14:paraId="0D3DD60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244.4</w:t>
            </w:r>
          </w:p>
        </w:tc>
        <w:tc>
          <w:tcPr>
            <w:tcW w:w="685" w:type="pct"/>
            <w:tcBorders>
              <w:top w:val="nil"/>
              <w:left w:val="nil"/>
              <w:bottom w:val="nil"/>
              <w:right w:val="nil"/>
            </w:tcBorders>
            <w:noWrap/>
            <w:vAlign w:val="center"/>
            <w:hideMark/>
          </w:tcPr>
          <w:p w14:paraId="1849615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-25.1</w:t>
            </w:r>
          </w:p>
        </w:tc>
        <w:tc>
          <w:tcPr>
            <w:tcW w:w="685" w:type="pct"/>
            <w:tcBorders>
              <w:top w:val="nil"/>
              <w:left w:val="nil"/>
              <w:bottom w:val="nil"/>
              <w:right w:val="single" w:sz="4" w:space="0" w:color="auto"/>
            </w:tcBorders>
            <w:noWrap/>
            <w:vAlign w:val="center"/>
            <w:hideMark/>
          </w:tcPr>
          <w:p w14:paraId="52288F1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-41.7</w:t>
            </w:r>
          </w:p>
        </w:tc>
      </w:tr>
      <w:tr w:rsidR="00F41C4E" w:rsidRPr="00F41C4E" w14:paraId="12F062EC" w14:textId="77777777" w:rsidTr="00F41C4E">
        <w:trPr>
          <w:trHeight w:val="285"/>
        </w:trPr>
        <w:tc>
          <w:tcPr>
            <w:tcW w:w="2191" w:type="pct"/>
            <w:tcBorders>
              <w:top w:val="nil"/>
              <w:left w:val="single" w:sz="4" w:space="0" w:color="auto"/>
              <w:bottom w:val="nil"/>
              <w:right w:val="nil"/>
            </w:tcBorders>
            <w:noWrap/>
            <w:vAlign w:val="bottom"/>
            <w:hideMark/>
          </w:tcPr>
          <w:p w14:paraId="229920E5"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678FA97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19(b)</w:t>
            </w:r>
          </w:p>
        </w:tc>
        <w:tc>
          <w:tcPr>
            <w:tcW w:w="684" w:type="pct"/>
            <w:tcBorders>
              <w:top w:val="nil"/>
              <w:left w:val="nil"/>
              <w:bottom w:val="nil"/>
              <w:right w:val="nil"/>
            </w:tcBorders>
            <w:noWrap/>
            <w:vAlign w:val="center"/>
            <w:hideMark/>
          </w:tcPr>
          <w:p w14:paraId="0D64FD8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90.6</w:t>
            </w:r>
          </w:p>
        </w:tc>
        <w:tc>
          <w:tcPr>
            <w:tcW w:w="685" w:type="pct"/>
            <w:tcBorders>
              <w:top w:val="nil"/>
              <w:left w:val="nil"/>
              <w:bottom w:val="nil"/>
              <w:right w:val="nil"/>
            </w:tcBorders>
            <w:noWrap/>
            <w:vAlign w:val="center"/>
            <w:hideMark/>
          </w:tcPr>
          <w:p w14:paraId="765E8F2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-9.3</w:t>
            </w:r>
          </w:p>
        </w:tc>
        <w:tc>
          <w:tcPr>
            <w:tcW w:w="685" w:type="pct"/>
            <w:tcBorders>
              <w:top w:val="nil"/>
              <w:left w:val="nil"/>
              <w:bottom w:val="nil"/>
              <w:right w:val="single" w:sz="4" w:space="0" w:color="auto"/>
            </w:tcBorders>
            <w:noWrap/>
            <w:vAlign w:val="center"/>
            <w:hideMark/>
          </w:tcPr>
          <w:p w14:paraId="24A617E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-15.5</w:t>
            </w:r>
          </w:p>
        </w:tc>
      </w:tr>
      <w:tr w:rsidR="00F41C4E" w:rsidRPr="00F41C4E" w14:paraId="7F3A665D" w14:textId="77777777" w:rsidTr="00F41C4E">
        <w:trPr>
          <w:trHeight w:val="285"/>
        </w:trPr>
        <w:tc>
          <w:tcPr>
            <w:tcW w:w="2191" w:type="pct"/>
            <w:tcBorders>
              <w:top w:val="nil"/>
              <w:left w:val="single" w:sz="4" w:space="0" w:color="auto"/>
              <w:bottom w:val="nil"/>
              <w:right w:val="nil"/>
            </w:tcBorders>
            <w:noWrap/>
            <w:vAlign w:val="bottom"/>
            <w:hideMark/>
          </w:tcPr>
          <w:p w14:paraId="2B0FB554"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4AC16D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20(a)</w:t>
            </w:r>
          </w:p>
        </w:tc>
        <w:tc>
          <w:tcPr>
            <w:tcW w:w="684" w:type="pct"/>
            <w:tcBorders>
              <w:top w:val="nil"/>
              <w:left w:val="nil"/>
              <w:bottom w:val="nil"/>
              <w:right w:val="nil"/>
            </w:tcBorders>
            <w:noWrap/>
            <w:vAlign w:val="center"/>
            <w:hideMark/>
          </w:tcPr>
          <w:p w14:paraId="28F4AF8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920.1</w:t>
            </w:r>
          </w:p>
        </w:tc>
        <w:tc>
          <w:tcPr>
            <w:tcW w:w="685" w:type="pct"/>
            <w:tcBorders>
              <w:top w:val="nil"/>
              <w:left w:val="nil"/>
              <w:bottom w:val="nil"/>
              <w:right w:val="nil"/>
            </w:tcBorders>
            <w:noWrap/>
            <w:vAlign w:val="center"/>
            <w:hideMark/>
          </w:tcPr>
          <w:p w14:paraId="4DFE0F0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-94.4</w:t>
            </w:r>
          </w:p>
        </w:tc>
        <w:tc>
          <w:tcPr>
            <w:tcW w:w="685" w:type="pct"/>
            <w:tcBorders>
              <w:top w:val="nil"/>
              <w:left w:val="nil"/>
              <w:bottom w:val="nil"/>
              <w:right w:val="single" w:sz="4" w:space="0" w:color="auto"/>
            </w:tcBorders>
            <w:noWrap/>
            <w:vAlign w:val="center"/>
            <w:hideMark/>
          </w:tcPr>
          <w:p w14:paraId="2693629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34.6</w:t>
            </w:r>
          </w:p>
        </w:tc>
      </w:tr>
      <w:tr w:rsidR="00F41C4E" w:rsidRPr="00F41C4E" w14:paraId="73702630" w14:textId="77777777" w:rsidTr="00F41C4E">
        <w:trPr>
          <w:trHeight w:val="285"/>
        </w:trPr>
        <w:tc>
          <w:tcPr>
            <w:tcW w:w="2191" w:type="pct"/>
            <w:tcBorders>
              <w:top w:val="nil"/>
              <w:left w:val="single" w:sz="4" w:space="0" w:color="auto"/>
              <w:bottom w:val="single" w:sz="4" w:space="0" w:color="auto"/>
              <w:right w:val="nil"/>
            </w:tcBorders>
            <w:noWrap/>
            <w:vAlign w:val="bottom"/>
            <w:hideMark/>
          </w:tcPr>
          <w:p w14:paraId="7E75F55E"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single" w:sz="4" w:space="0" w:color="auto"/>
              <w:right w:val="nil"/>
            </w:tcBorders>
            <w:noWrap/>
            <w:vAlign w:val="bottom"/>
            <w:hideMark/>
          </w:tcPr>
          <w:p w14:paraId="0E53137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20(b)</w:t>
            </w:r>
          </w:p>
        </w:tc>
        <w:tc>
          <w:tcPr>
            <w:tcW w:w="684" w:type="pct"/>
            <w:tcBorders>
              <w:top w:val="nil"/>
              <w:left w:val="nil"/>
              <w:bottom w:val="single" w:sz="4" w:space="0" w:color="auto"/>
              <w:right w:val="nil"/>
            </w:tcBorders>
            <w:noWrap/>
            <w:vAlign w:val="center"/>
            <w:hideMark/>
          </w:tcPr>
          <w:p w14:paraId="241E302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517.6</w:t>
            </w:r>
          </w:p>
        </w:tc>
        <w:tc>
          <w:tcPr>
            <w:tcW w:w="685" w:type="pct"/>
            <w:tcBorders>
              <w:top w:val="nil"/>
              <w:left w:val="nil"/>
              <w:bottom w:val="single" w:sz="4" w:space="0" w:color="auto"/>
              <w:right w:val="nil"/>
            </w:tcBorders>
            <w:noWrap/>
            <w:vAlign w:val="center"/>
            <w:hideMark/>
          </w:tcPr>
          <w:p w14:paraId="352AB21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-53.1</w:t>
            </w:r>
          </w:p>
        </w:tc>
        <w:tc>
          <w:tcPr>
            <w:tcW w:w="685" w:type="pct"/>
            <w:tcBorders>
              <w:top w:val="nil"/>
              <w:left w:val="nil"/>
              <w:bottom w:val="single" w:sz="4" w:space="0" w:color="auto"/>
              <w:right w:val="single" w:sz="4" w:space="0" w:color="auto"/>
            </w:tcBorders>
            <w:noWrap/>
            <w:vAlign w:val="center"/>
            <w:hideMark/>
          </w:tcPr>
          <w:p w14:paraId="41FF1FB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-61.4</w:t>
            </w:r>
          </w:p>
        </w:tc>
      </w:tr>
      <w:tr w:rsidR="00F41C4E" w:rsidRPr="00F41C4E" w14:paraId="0363BC26" w14:textId="77777777" w:rsidTr="00F41C4E">
        <w:trPr>
          <w:trHeight w:val="285"/>
        </w:trPr>
        <w:tc>
          <w:tcPr>
            <w:tcW w:w="2191" w:type="pct"/>
            <w:tcBorders>
              <w:top w:val="single" w:sz="4" w:space="0" w:color="auto"/>
              <w:left w:val="single" w:sz="4" w:space="0" w:color="auto"/>
              <w:bottom w:val="single" w:sz="4" w:space="0" w:color="auto"/>
              <w:right w:val="nil"/>
            </w:tcBorders>
            <w:noWrap/>
            <w:vAlign w:val="bottom"/>
            <w:hideMark/>
          </w:tcPr>
          <w:p w14:paraId="3075EB8F"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Statement of Grounds</w:t>
            </w:r>
          </w:p>
        </w:tc>
        <w:tc>
          <w:tcPr>
            <w:tcW w:w="754" w:type="pct"/>
            <w:tcBorders>
              <w:top w:val="single" w:sz="4" w:space="0" w:color="auto"/>
              <w:left w:val="single" w:sz="4" w:space="0" w:color="auto"/>
              <w:bottom w:val="single" w:sz="4" w:space="0" w:color="auto"/>
              <w:right w:val="nil"/>
            </w:tcBorders>
            <w:noWrap/>
            <w:vAlign w:val="bottom"/>
            <w:hideMark/>
          </w:tcPr>
          <w:p w14:paraId="36DAAAF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21</w:t>
            </w:r>
          </w:p>
        </w:tc>
        <w:tc>
          <w:tcPr>
            <w:tcW w:w="684" w:type="pct"/>
            <w:tcBorders>
              <w:top w:val="single" w:sz="4" w:space="0" w:color="auto"/>
              <w:left w:val="nil"/>
              <w:bottom w:val="single" w:sz="4" w:space="0" w:color="auto"/>
              <w:right w:val="nil"/>
            </w:tcBorders>
            <w:noWrap/>
            <w:vAlign w:val="center"/>
            <w:hideMark/>
          </w:tcPr>
          <w:p w14:paraId="7DDE5DC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32.6</w:t>
            </w:r>
          </w:p>
        </w:tc>
        <w:tc>
          <w:tcPr>
            <w:tcW w:w="685" w:type="pct"/>
            <w:tcBorders>
              <w:top w:val="single" w:sz="4" w:space="0" w:color="auto"/>
              <w:left w:val="nil"/>
              <w:bottom w:val="single" w:sz="4" w:space="0" w:color="auto"/>
              <w:right w:val="nil"/>
            </w:tcBorders>
            <w:noWrap/>
            <w:vAlign w:val="center"/>
            <w:hideMark/>
          </w:tcPr>
          <w:p w14:paraId="56C1CD5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0.8</w:t>
            </w:r>
          </w:p>
        </w:tc>
        <w:tc>
          <w:tcPr>
            <w:tcW w:w="685" w:type="pct"/>
            <w:tcBorders>
              <w:top w:val="single" w:sz="4" w:space="0" w:color="auto"/>
              <w:left w:val="nil"/>
              <w:bottom w:val="single" w:sz="4" w:space="0" w:color="auto"/>
              <w:right w:val="single" w:sz="4" w:space="0" w:color="auto"/>
            </w:tcBorders>
            <w:noWrap/>
            <w:vAlign w:val="center"/>
            <w:hideMark/>
          </w:tcPr>
          <w:p w14:paraId="63EFD8F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-2.9</w:t>
            </w:r>
          </w:p>
        </w:tc>
      </w:tr>
      <w:tr w:rsidR="00F41C4E" w:rsidRPr="00F41C4E" w14:paraId="34DE9708" w14:textId="77777777" w:rsidTr="00F41C4E">
        <w:trPr>
          <w:trHeight w:val="285"/>
        </w:trPr>
        <w:tc>
          <w:tcPr>
            <w:tcW w:w="2191" w:type="pct"/>
            <w:tcBorders>
              <w:top w:val="single" w:sz="4" w:space="0" w:color="auto"/>
              <w:left w:val="single" w:sz="4" w:space="0" w:color="auto"/>
              <w:bottom w:val="single" w:sz="4" w:space="0" w:color="auto"/>
              <w:right w:val="nil"/>
            </w:tcBorders>
            <w:noWrap/>
            <w:vAlign w:val="bottom"/>
            <w:hideMark/>
          </w:tcPr>
          <w:p w14:paraId="2435C2AA"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Elect to have proceeding as a major case</w:t>
            </w:r>
          </w:p>
        </w:tc>
        <w:tc>
          <w:tcPr>
            <w:tcW w:w="754" w:type="pct"/>
            <w:tcBorders>
              <w:top w:val="single" w:sz="4" w:space="0" w:color="auto"/>
              <w:left w:val="single" w:sz="4" w:space="0" w:color="auto"/>
              <w:bottom w:val="single" w:sz="4" w:space="0" w:color="auto"/>
              <w:right w:val="nil"/>
            </w:tcBorders>
            <w:noWrap/>
            <w:vAlign w:val="bottom"/>
            <w:hideMark/>
          </w:tcPr>
          <w:p w14:paraId="3D79CAD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22</w:t>
            </w:r>
          </w:p>
        </w:tc>
        <w:tc>
          <w:tcPr>
            <w:tcW w:w="684" w:type="pct"/>
            <w:tcBorders>
              <w:top w:val="single" w:sz="4" w:space="0" w:color="auto"/>
              <w:left w:val="nil"/>
              <w:bottom w:val="single" w:sz="4" w:space="0" w:color="auto"/>
              <w:right w:val="nil"/>
            </w:tcBorders>
            <w:noWrap/>
            <w:vAlign w:val="center"/>
            <w:hideMark/>
          </w:tcPr>
          <w:p w14:paraId="0466DD0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3,364.9</w:t>
            </w:r>
          </w:p>
        </w:tc>
        <w:tc>
          <w:tcPr>
            <w:tcW w:w="685" w:type="pct"/>
            <w:tcBorders>
              <w:top w:val="single" w:sz="4" w:space="0" w:color="auto"/>
              <w:left w:val="nil"/>
              <w:bottom w:val="single" w:sz="4" w:space="0" w:color="auto"/>
              <w:right w:val="nil"/>
            </w:tcBorders>
            <w:noWrap/>
            <w:vAlign w:val="center"/>
            <w:hideMark/>
          </w:tcPr>
          <w:p w14:paraId="793AA10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3,364.9</w:t>
            </w:r>
          </w:p>
        </w:tc>
        <w:tc>
          <w:tcPr>
            <w:tcW w:w="685" w:type="pct"/>
            <w:tcBorders>
              <w:top w:val="single" w:sz="4" w:space="0" w:color="auto"/>
              <w:left w:val="nil"/>
              <w:bottom w:val="single" w:sz="4" w:space="0" w:color="auto"/>
              <w:right w:val="single" w:sz="4" w:space="0" w:color="auto"/>
            </w:tcBorders>
            <w:noWrap/>
            <w:vAlign w:val="center"/>
            <w:hideMark/>
          </w:tcPr>
          <w:p w14:paraId="5941301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3,364.9</w:t>
            </w:r>
          </w:p>
        </w:tc>
      </w:tr>
      <w:tr w:rsidR="00F41C4E" w:rsidRPr="00F41C4E" w14:paraId="74449C63" w14:textId="77777777" w:rsidTr="00F41C4E">
        <w:trPr>
          <w:trHeight w:val="285"/>
        </w:trPr>
        <w:tc>
          <w:tcPr>
            <w:tcW w:w="2191" w:type="pct"/>
            <w:tcBorders>
              <w:top w:val="single" w:sz="4" w:space="0" w:color="auto"/>
              <w:left w:val="single" w:sz="4" w:space="0" w:color="auto"/>
              <w:bottom w:val="single" w:sz="4" w:space="0" w:color="auto"/>
              <w:right w:val="nil"/>
            </w:tcBorders>
            <w:noWrap/>
            <w:vAlign w:val="bottom"/>
            <w:hideMark/>
          </w:tcPr>
          <w:p w14:paraId="5A54DBFB"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Injunction or Stay</w:t>
            </w:r>
          </w:p>
        </w:tc>
        <w:tc>
          <w:tcPr>
            <w:tcW w:w="754" w:type="pct"/>
            <w:tcBorders>
              <w:top w:val="single" w:sz="4" w:space="0" w:color="auto"/>
              <w:left w:val="single" w:sz="4" w:space="0" w:color="auto"/>
              <w:bottom w:val="single" w:sz="4" w:space="0" w:color="auto"/>
              <w:right w:val="nil"/>
            </w:tcBorders>
            <w:noWrap/>
            <w:vAlign w:val="bottom"/>
            <w:hideMark/>
          </w:tcPr>
          <w:p w14:paraId="0488105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23</w:t>
            </w:r>
          </w:p>
        </w:tc>
        <w:tc>
          <w:tcPr>
            <w:tcW w:w="684" w:type="pct"/>
            <w:tcBorders>
              <w:top w:val="single" w:sz="4" w:space="0" w:color="auto"/>
              <w:left w:val="nil"/>
              <w:bottom w:val="single" w:sz="4" w:space="0" w:color="auto"/>
              <w:right w:val="nil"/>
            </w:tcBorders>
            <w:noWrap/>
            <w:vAlign w:val="center"/>
            <w:hideMark/>
          </w:tcPr>
          <w:p w14:paraId="72E8940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781.3</w:t>
            </w:r>
          </w:p>
        </w:tc>
        <w:tc>
          <w:tcPr>
            <w:tcW w:w="685" w:type="pct"/>
            <w:tcBorders>
              <w:top w:val="single" w:sz="4" w:space="0" w:color="auto"/>
              <w:left w:val="nil"/>
              <w:bottom w:val="single" w:sz="4" w:space="0" w:color="auto"/>
              <w:right w:val="nil"/>
            </w:tcBorders>
            <w:noWrap/>
            <w:vAlign w:val="center"/>
            <w:hideMark/>
          </w:tcPr>
          <w:p w14:paraId="5F82CA7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257.8</w:t>
            </w:r>
          </w:p>
        </w:tc>
        <w:tc>
          <w:tcPr>
            <w:tcW w:w="685" w:type="pct"/>
            <w:tcBorders>
              <w:top w:val="single" w:sz="4" w:space="0" w:color="auto"/>
              <w:left w:val="nil"/>
              <w:bottom w:val="single" w:sz="4" w:space="0" w:color="auto"/>
              <w:right w:val="single" w:sz="4" w:space="0" w:color="auto"/>
            </w:tcBorders>
            <w:noWrap/>
            <w:vAlign w:val="center"/>
            <w:hideMark/>
          </w:tcPr>
          <w:p w14:paraId="379F45C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85.9</w:t>
            </w:r>
          </w:p>
        </w:tc>
      </w:tr>
      <w:tr w:rsidR="00F41C4E" w:rsidRPr="00F41C4E" w14:paraId="2713F470" w14:textId="77777777" w:rsidTr="00F41C4E">
        <w:trPr>
          <w:trHeight w:val="285"/>
        </w:trPr>
        <w:tc>
          <w:tcPr>
            <w:tcW w:w="2191" w:type="pct"/>
            <w:tcBorders>
              <w:top w:val="single" w:sz="4" w:space="0" w:color="auto"/>
              <w:left w:val="single" w:sz="4" w:space="0" w:color="auto"/>
              <w:bottom w:val="single" w:sz="4" w:space="0" w:color="auto"/>
              <w:right w:val="nil"/>
            </w:tcBorders>
            <w:noWrap/>
            <w:vAlign w:val="bottom"/>
            <w:hideMark/>
          </w:tcPr>
          <w:p w14:paraId="07306B8B"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Urgent Injunction</w:t>
            </w:r>
          </w:p>
        </w:tc>
        <w:tc>
          <w:tcPr>
            <w:tcW w:w="754" w:type="pct"/>
            <w:tcBorders>
              <w:top w:val="single" w:sz="4" w:space="0" w:color="auto"/>
              <w:left w:val="single" w:sz="4" w:space="0" w:color="auto"/>
              <w:bottom w:val="single" w:sz="4" w:space="0" w:color="auto"/>
              <w:right w:val="nil"/>
            </w:tcBorders>
            <w:noWrap/>
            <w:vAlign w:val="bottom"/>
            <w:hideMark/>
          </w:tcPr>
          <w:p w14:paraId="679A646C"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24</w:t>
            </w:r>
          </w:p>
        </w:tc>
        <w:tc>
          <w:tcPr>
            <w:tcW w:w="684" w:type="pct"/>
            <w:tcBorders>
              <w:top w:val="single" w:sz="4" w:space="0" w:color="auto"/>
              <w:left w:val="nil"/>
              <w:bottom w:val="single" w:sz="4" w:space="0" w:color="auto"/>
              <w:right w:val="nil"/>
            </w:tcBorders>
            <w:noWrap/>
            <w:vAlign w:val="center"/>
            <w:hideMark/>
          </w:tcPr>
          <w:p w14:paraId="290B748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428.3</w:t>
            </w:r>
          </w:p>
        </w:tc>
        <w:tc>
          <w:tcPr>
            <w:tcW w:w="685" w:type="pct"/>
            <w:tcBorders>
              <w:top w:val="single" w:sz="4" w:space="0" w:color="auto"/>
              <w:left w:val="nil"/>
              <w:bottom w:val="single" w:sz="4" w:space="0" w:color="auto"/>
              <w:right w:val="nil"/>
            </w:tcBorders>
            <w:noWrap/>
            <w:vAlign w:val="center"/>
            <w:hideMark/>
          </w:tcPr>
          <w:p w14:paraId="37822B1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10.7</w:t>
            </w:r>
          </w:p>
        </w:tc>
        <w:tc>
          <w:tcPr>
            <w:tcW w:w="685" w:type="pct"/>
            <w:tcBorders>
              <w:top w:val="single" w:sz="4" w:space="0" w:color="auto"/>
              <w:left w:val="nil"/>
              <w:bottom w:val="single" w:sz="4" w:space="0" w:color="auto"/>
              <w:right w:val="single" w:sz="4" w:space="0" w:color="auto"/>
            </w:tcBorders>
            <w:noWrap/>
            <w:vAlign w:val="center"/>
            <w:hideMark/>
          </w:tcPr>
          <w:p w14:paraId="17BC1F9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-37.6</w:t>
            </w:r>
          </w:p>
        </w:tc>
      </w:tr>
      <w:tr w:rsidR="00F41C4E" w:rsidRPr="00F41C4E" w14:paraId="58BC0FC1" w14:textId="77777777" w:rsidTr="00F41C4E">
        <w:trPr>
          <w:trHeight w:val="285"/>
        </w:trPr>
        <w:tc>
          <w:tcPr>
            <w:tcW w:w="2191" w:type="pct"/>
            <w:tcBorders>
              <w:top w:val="single" w:sz="4" w:space="0" w:color="auto"/>
              <w:left w:val="single" w:sz="4" w:space="0" w:color="auto"/>
              <w:bottom w:val="single" w:sz="4" w:space="0" w:color="auto"/>
              <w:right w:val="nil"/>
            </w:tcBorders>
            <w:noWrap/>
            <w:vAlign w:val="bottom"/>
            <w:hideMark/>
          </w:tcPr>
          <w:p w14:paraId="439542B5"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Issuing a warrant</w:t>
            </w:r>
          </w:p>
        </w:tc>
        <w:tc>
          <w:tcPr>
            <w:tcW w:w="754" w:type="pct"/>
            <w:tcBorders>
              <w:top w:val="single" w:sz="4" w:space="0" w:color="auto"/>
              <w:left w:val="single" w:sz="4" w:space="0" w:color="auto"/>
              <w:bottom w:val="single" w:sz="4" w:space="0" w:color="auto"/>
              <w:right w:val="nil"/>
            </w:tcBorders>
            <w:noWrap/>
            <w:vAlign w:val="bottom"/>
            <w:hideMark/>
          </w:tcPr>
          <w:p w14:paraId="502CE14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25</w:t>
            </w:r>
          </w:p>
        </w:tc>
        <w:tc>
          <w:tcPr>
            <w:tcW w:w="684" w:type="pct"/>
            <w:tcBorders>
              <w:top w:val="single" w:sz="4" w:space="0" w:color="auto"/>
              <w:left w:val="nil"/>
              <w:bottom w:val="single" w:sz="4" w:space="0" w:color="auto"/>
              <w:right w:val="nil"/>
            </w:tcBorders>
            <w:noWrap/>
            <w:vAlign w:val="center"/>
            <w:hideMark/>
          </w:tcPr>
          <w:p w14:paraId="64CC7F7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224.3</w:t>
            </w:r>
          </w:p>
        </w:tc>
        <w:tc>
          <w:tcPr>
            <w:tcW w:w="685" w:type="pct"/>
            <w:tcBorders>
              <w:top w:val="single" w:sz="4" w:space="0" w:color="auto"/>
              <w:left w:val="nil"/>
              <w:bottom w:val="single" w:sz="4" w:space="0" w:color="auto"/>
              <w:right w:val="nil"/>
            </w:tcBorders>
            <w:noWrap/>
            <w:vAlign w:val="center"/>
            <w:hideMark/>
          </w:tcPr>
          <w:p w14:paraId="144219E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279.8</w:t>
            </w:r>
          </w:p>
        </w:tc>
        <w:tc>
          <w:tcPr>
            <w:tcW w:w="685" w:type="pct"/>
            <w:tcBorders>
              <w:top w:val="single" w:sz="4" w:space="0" w:color="auto"/>
              <w:left w:val="nil"/>
              <w:bottom w:val="single" w:sz="4" w:space="0" w:color="auto"/>
              <w:right w:val="single" w:sz="4" w:space="0" w:color="auto"/>
            </w:tcBorders>
            <w:noWrap/>
            <w:vAlign w:val="center"/>
            <w:hideMark/>
          </w:tcPr>
          <w:p w14:paraId="46E84C1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579BA6AE" w14:textId="77777777" w:rsidTr="00F41C4E">
        <w:trPr>
          <w:trHeight w:val="285"/>
        </w:trPr>
        <w:tc>
          <w:tcPr>
            <w:tcW w:w="2191" w:type="pct"/>
            <w:tcBorders>
              <w:top w:val="single" w:sz="4" w:space="0" w:color="auto"/>
              <w:left w:val="single" w:sz="4" w:space="0" w:color="auto"/>
              <w:bottom w:val="single" w:sz="4" w:space="0" w:color="auto"/>
              <w:right w:val="nil"/>
            </w:tcBorders>
            <w:noWrap/>
            <w:vAlign w:val="bottom"/>
            <w:hideMark/>
          </w:tcPr>
          <w:p w14:paraId="41B5538D"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Compulsory conference</w:t>
            </w:r>
          </w:p>
        </w:tc>
        <w:tc>
          <w:tcPr>
            <w:tcW w:w="754" w:type="pct"/>
            <w:tcBorders>
              <w:top w:val="single" w:sz="4" w:space="0" w:color="auto"/>
              <w:left w:val="single" w:sz="4" w:space="0" w:color="auto"/>
              <w:bottom w:val="single" w:sz="4" w:space="0" w:color="auto"/>
              <w:right w:val="nil"/>
            </w:tcBorders>
            <w:noWrap/>
            <w:vAlign w:val="bottom"/>
            <w:hideMark/>
          </w:tcPr>
          <w:p w14:paraId="64532C6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26</w:t>
            </w:r>
          </w:p>
        </w:tc>
        <w:tc>
          <w:tcPr>
            <w:tcW w:w="684" w:type="pct"/>
            <w:tcBorders>
              <w:top w:val="single" w:sz="4" w:space="0" w:color="auto"/>
              <w:left w:val="nil"/>
              <w:bottom w:val="single" w:sz="4" w:space="0" w:color="auto"/>
              <w:right w:val="nil"/>
            </w:tcBorders>
            <w:noWrap/>
            <w:vAlign w:val="center"/>
            <w:hideMark/>
          </w:tcPr>
          <w:p w14:paraId="65DB3FA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1,281.6</w:t>
            </w:r>
          </w:p>
        </w:tc>
        <w:tc>
          <w:tcPr>
            <w:tcW w:w="685" w:type="pct"/>
            <w:tcBorders>
              <w:top w:val="single" w:sz="4" w:space="0" w:color="auto"/>
              <w:left w:val="nil"/>
              <w:bottom w:val="single" w:sz="4" w:space="0" w:color="auto"/>
              <w:right w:val="nil"/>
            </w:tcBorders>
            <w:noWrap/>
            <w:vAlign w:val="center"/>
            <w:hideMark/>
          </w:tcPr>
          <w:p w14:paraId="2725305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422.9</w:t>
            </w:r>
          </w:p>
        </w:tc>
        <w:tc>
          <w:tcPr>
            <w:tcW w:w="685" w:type="pct"/>
            <w:tcBorders>
              <w:top w:val="single" w:sz="4" w:space="0" w:color="auto"/>
              <w:left w:val="nil"/>
              <w:bottom w:val="single" w:sz="4" w:space="0" w:color="auto"/>
              <w:right w:val="single" w:sz="4" w:space="0" w:color="auto"/>
            </w:tcBorders>
            <w:noWrap/>
            <w:vAlign w:val="center"/>
            <w:hideMark/>
          </w:tcPr>
          <w:p w14:paraId="58BCA1E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141.0</w:t>
            </w:r>
          </w:p>
        </w:tc>
      </w:tr>
      <w:tr w:rsidR="00F41C4E" w:rsidRPr="00F41C4E" w14:paraId="373F6E3F" w14:textId="77777777" w:rsidTr="00F41C4E">
        <w:trPr>
          <w:trHeight w:val="285"/>
        </w:trPr>
        <w:tc>
          <w:tcPr>
            <w:tcW w:w="2191" w:type="pct"/>
            <w:tcBorders>
              <w:top w:val="single" w:sz="4" w:space="0" w:color="auto"/>
              <w:left w:val="single" w:sz="4" w:space="0" w:color="auto"/>
              <w:bottom w:val="nil"/>
              <w:right w:val="nil"/>
            </w:tcBorders>
            <w:noWrap/>
            <w:vAlign w:val="bottom"/>
            <w:hideMark/>
          </w:tcPr>
          <w:p w14:paraId="09564EE9"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Mediation</w:t>
            </w:r>
          </w:p>
        </w:tc>
        <w:tc>
          <w:tcPr>
            <w:tcW w:w="754" w:type="pct"/>
            <w:tcBorders>
              <w:top w:val="single" w:sz="4" w:space="0" w:color="auto"/>
              <w:left w:val="single" w:sz="4" w:space="0" w:color="auto"/>
              <w:bottom w:val="nil"/>
              <w:right w:val="nil"/>
            </w:tcBorders>
            <w:noWrap/>
            <w:vAlign w:val="bottom"/>
            <w:hideMark/>
          </w:tcPr>
          <w:p w14:paraId="4F1DF11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27</w:t>
            </w:r>
          </w:p>
        </w:tc>
        <w:tc>
          <w:tcPr>
            <w:tcW w:w="684" w:type="pct"/>
            <w:tcBorders>
              <w:top w:val="single" w:sz="4" w:space="0" w:color="auto"/>
              <w:left w:val="nil"/>
              <w:bottom w:val="nil"/>
              <w:right w:val="nil"/>
            </w:tcBorders>
            <w:noWrap/>
            <w:vAlign w:val="center"/>
            <w:hideMark/>
          </w:tcPr>
          <w:p w14:paraId="4AB8201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897.1</w:t>
            </w:r>
          </w:p>
        </w:tc>
        <w:tc>
          <w:tcPr>
            <w:tcW w:w="685" w:type="pct"/>
            <w:tcBorders>
              <w:top w:val="single" w:sz="4" w:space="0" w:color="auto"/>
              <w:left w:val="nil"/>
              <w:bottom w:val="nil"/>
              <w:right w:val="nil"/>
            </w:tcBorders>
            <w:noWrap/>
            <w:vAlign w:val="center"/>
            <w:hideMark/>
          </w:tcPr>
          <w:p w14:paraId="14B4909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296.0</w:t>
            </w:r>
          </w:p>
        </w:tc>
        <w:tc>
          <w:tcPr>
            <w:tcW w:w="685" w:type="pct"/>
            <w:tcBorders>
              <w:top w:val="single" w:sz="4" w:space="0" w:color="auto"/>
              <w:left w:val="nil"/>
              <w:bottom w:val="nil"/>
              <w:right w:val="single" w:sz="4" w:space="0" w:color="auto"/>
            </w:tcBorders>
            <w:noWrap/>
            <w:vAlign w:val="center"/>
            <w:hideMark/>
          </w:tcPr>
          <w:p w14:paraId="6E1BB01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98.7</w:t>
            </w:r>
          </w:p>
        </w:tc>
      </w:tr>
      <w:tr w:rsidR="00F41C4E" w:rsidRPr="00F41C4E" w14:paraId="026E3337" w14:textId="77777777" w:rsidTr="00F41C4E">
        <w:trPr>
          <w:trHeight w:val="315"/>
        </w:trPr>
        <w:tc>
          <w:tcPr>
            <w:tcW w:w="2191" w:type="pct"/>
            <w:tcBorders>
              <w:top w:val="single" w:sz="4" w:space="0" w:color="auto"/>
              <w:left w:val="nil"/>
              <w:bottom w:val="single" w:sz="4" w:space="0" w:color="auto"/>
              <w:right w:val="nil"/>
            </w:tcBorders>
            <w:shd w:val="clear" w:color="000000" w:fill="D9D9D9"/>
            <w:noWrap/>
            <w:vAlign w:val="bottom"/>
            <w:hideMark/>
          </w:tcPr>
          <w:p w14:paraId="17754586" w14:textId="77777777" w:rsidR="00F41C4E" w:rsidRPr="00F41C4E" w:rsidRDefault="00F41C4E" w:rsidP="00F41C4E">
            <w:pPr>
              <w:rPr>
                <w:rFonts w:ascii="Aptos Narrow" w:hAnsi="Aptos Narrow"/>
                <w:b/>
                <w:bCs/>
                <w:color w:val="000000"/>
                <w:sz w:val="24"/>
                <w:szCs w:val="24"/>
                <w:lang w:eastAsia="ko-KR"/>
              </w:rPr>
            </w:pPr>
            <w:r w:rsidRPr="00F41C4E">
              <w:rPr>
                <w:rFonts w:ascii="Aptos Narrow" w:hAnsi="Aptos Narrow"/>
                <w:b/>
                <w:bCs/>
                <w:color w:val="000000"/>
                <w:sz w:val="24"/>
                <w:szCs w:val="24"/>
                <w:lang w:eastAsia="ko-KR"/>
              </w:rPr>
              <w:t>Part 3 - Hearing Fee</w:t>
            </w:r>
          </w:p>
        </w:tc>
        <w:tc>
          <w:tcPr>
            <w:tcW w:w="754" w:type="pct"/>
            <w:tcBorders>
              <w:top w:val="single" w:sz="4" w:space="0" w:color="auto"/>
              <w:left w:val="nil"/>
              <w:bottom w:val="single" w:sz="4" w:space="0" w:color="auto"/>
              <w:right w:val="nil"/>
            </w:tcBorders>
            <w:shd w:val="clear" w:color="000000" w:fill="D9D9D9"/>
            <w:noWrap/>
            <w:vAlign w:val="bottom"/>
            <w:hideMark/>
          </w:tcPr>
          <w:p w14:paraId="08F8E8F8" w14:textId="77777777" w:rsidR="00F41C4E" w:rsidRPr="00F41C4E" w:rsidRDefault="00F41C4E" w:rsidP="00F41C4E">
            <w:pPr>
              <w:rPr>
                <w:rFonts w:ascii="Aptos Narrow" w:hAnsi="Aptos Narrow"/>
                <w:b/>
                <w:bCs/>
                <w:color w:val="000000"/>
                <w:sz w:val="24"/>
                <w:szCs w:val="24"/>
                <w:lang w:eastAsia="ko-KR"/>
              </w:rPr>
            </w:pPr>
          </w:p>
        </w:tc>
        <w:tc>
          <w:tcPr>
            <w:tcW w:w="684" w:type="pct"/>
            <w:tcBorders>
              <w:top w:val="single" w:sz="4" w:space="0" w:color="auto"/>
              <w:left w:val="nil"/>
              <w:bottom w:val="single" w:sz="4" w:space="0" w:color="auto"/>
              <w:right w:val="nil"/>
            </w:tcBorders>
            <w:shd w:val="clear" w:color="000000" w:fill="D9D9D9"/>
            <w:noWrap/>
            <w:vAlign w:val="center"/>
            <w:hideMark/>
          </w:tcPr>
          <w:p w14:paraId="500E29EA" w14:textId="77777777" w:rsidR="00F41C4E" w:rsidRPr="00F41C4E" w:rsidRDefault="00F41C4E" w:rsidP="00F41C4E">
            <w:pPr>
              <w:jc w:val="center"/>
              <w:rPr>
                <w:rFonts w:ascii="Times New Roman" w:hAnsi="Times New Roman"/>
                <w:lang w:eastAsia="ko-KR"/>
              </w:rPr>
            </w:pPr>
          </w:p>
        </w:tc>
        <w:tc>
          <w:tcPr>
            <w:tcW w:w="685" w:type="pct"/>
            <w:tcBorders>
              <w:top w:val="single" w:sz="4" w:space="0" w:color="auto"/>
              <w:left w:val="nil"/>
              <w:bottom w:val="single" w:sz="4" w:space="0" w:color="auto"/>
              <w:right w:val="nil"/>
            </w:tcBorders>
            <w:shd w:val="clear" w:color="000000" w:fill="D9D9D9"/>
            <w:noWrap/>
            <w:vAlign w:val="center"/>
            <w:hideMark/>
          </w:tcPr>
          <w:p w14:paraId="4A6ADC36" w14:textId="77777777" w:rsidR="00F41C4E" w:rsidRPr="00F41C4E" w:rsidRDefault="00F41C4E" w:rsidP="00F41C4E">
            <w:pPr>
              <w:jc w:val="center"/>
              <w:rPr>
                <w:rFonts w:ascii="Times New Roman" w:hAnsi="Times New Roman"/>
                <w:lang w:eastAsia="ko-KR"/>
              </w:rPr>
            </w:pPr>
          </w:p>
        </w:tc>
        <w:tc>
          <w:tcPr>
            <w:tcW w:w="685" w:type="pct"/>
            <w:tcBorders>
              <w:top w:val="single" w:sz="4" w:space="0" w:color="auto"/>
              <w:left w:val="nil"/>
              <w:bottom w:val="single" w:sz="4" w:space="0" w:color="auto"/>
              <w:right w:val="single" w:sz="4" w:space="0" w:color="auto"/>
            </w:tcBorders>
            <w:shd w:val="clear" w:color="000000" w:fill="D9D9D9"/>
            <w:noWrap/>
            <w:vAlign w:val="center"/>
            <w:hideMark/>
          </w:tcPr>
          <w:p w14:paraId="008ED42B" w14:textId="77777777" w:rsidR="00F41C4E" w:rsidRPr="00F41C4E" w:rsidRDefault="00F41C4E" w:rsidP="00F41C4E">
            <w:pPr>
              <w:jc w:val="center"/>
              <w:rPr>
                <w:rFonts w:ascii="Times New Roman" w:hAnsi="Times New Roman"/>
                <w:lang w:eastAsia="ko-KR"/>
              </w:rPr>
            </w:pPr>
          </w:p>
        </w:tc>
      </w:tr>
      <w:tr w:rsidR="00F41C4E" w:rsidRPr="00F41C4E" w14:paraId="5E7ACD88" w14:textId="77777777" w:rsidTr="00F41C4E">
        <w:trPr>
          <w:trHeight w:val="285"/>
        </w:trPr>
        <w:tc>
          <w:tcPr>
            <w:tcW w:w="2191" w:type="pct"/>
            <w:tcBorders>
              <w:top w:val="nil"/>
              <w:left w:val="single" w:sz="4" w:space="0" w:color="auto"/>
              <w:bottom w:val="nil"/>
              <w:right w:val="nil"/>
            </w:tcBorders>
            <w:noWrap/>
            <w:vAlign w:val="bottom"/>
            <w:hideMark/>
          </w:tcPr>
          <w:p w14:paraId="58AF844B"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For each day or part day of a hearing</w:t>
            </w:r>
          </w:p>
        </w:tc>
        <w:tc>
          <w:tcPr>
            <w:tcW w:w="754" w:type="pct"/>
            <w:tcBorders>
              <w:top w:val="nil"/>
              <w:left w:val="single" w:sz="4" w:space="0" w:color="auto"/>
              <w:bottom w:val="nil"/>
              <w:right w:val="nil"/>
            </w:tcBorders>
            <w:noWrap/>
            <w:vAlign w:val="bottom"/>
            <w:hideMark/>
          </w:tcPr>
          <w:p w14:paraId="6073293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28(a)</w:t>
            </w:r>
          </w:p>
        </w:tc>
        <w:tc>
          <w:tcPr>
            <w:tcW w:w="684" w:type="pct"/>
            <w:tcBorders>
              <w:top w:val="nil"/>
              <w:left w:val="nil"/>
              <w:bottom w:val="nil"/>
              <w:right w:val="nil"/>
            </w:tcBorders>
            <w:noWrap/>
            <w:vAlign w:val="center"/>
            <w:hideMark/>
          </w:tcPr>
          <w:p w14:paraId="3D0201A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625.4</w:t>
            </w:r>
          </w:p>
        </w:tc>
        <w:tc>
          <w:tcPr>
            <w:tcW w:w="685" w:type="pct"/>
            <w:tcBorders>
              <w:top w:val="nil"/>
              <w:left w:val="nil"/>
              <w:bottom w:val="nil"/>
              <w:right w:val="nil"/>
            </w:tcBorders>
            <w:noWrap/>
            <w:vAlign w:val="center"/>
            <w:hideMark/>
          </w:tcPr>
          <w:p w14:paraId="1105F3C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-1,292.6</w:t>
            </w:r>
          </w:p>
        </w:tc>
        <w:tc>
          <w:tcPr>
            <w:tcW w:w="685" w:type="pct"/>
            <w:tcBorders>
              <w:top w:val="nil"/>
              <w:left w:val="nil"/>
              <w:bottom w:val="nil"/>
              <w:right w:val="single" w:sz="4" w:space="0" w:color="auto"/>
            </w:tcBorders>
            <w:noWrap/>
            <w:vAlign w:val="center"/>
            <w:hideMark/>
          </w:tcPr>
          <w:p w14:paraId="2C65F52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329.5</w:t>
            </w:r>
          </w:p>
        </w:tc>
      </w:tr>
      <w:tr w:rsidR="00F41C4E" w:rsidRPr="00F41C4E" w14:paraId="61FBDA1E" w14:textId="77777777" w:rsidTr="00F41C4E">
        <w:trPr>
          <w:trHeight w:val="285"/>
        </w:trPr>
        <w:tc>
          <w:tcPr>
            <w:tcW w:w="2191" w:type="pct"/>
            <w:tcBorders>
              <w:top w:val="nil"/>
              <w:left w:val="single" w:sz="4" w:space="0" w:color="auto"/>
              <w:bottom w:val="nil"/>
              <w:right w:val="nil"/>
            </w:tcBorders>
            <w:noWrap/>
            <w:vAlign w:val="bottom"/>
            <w:hideMark/>
          </w:tcPr>
          <w:p w14:paraId="282BB79E"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303000B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28(b)</w:t>
            </w:r>
          </w:p>
        </w:tc>
        <w:tc>
          <w:tcPr>
            <w:tcW w:w="684" w:type="pct"/>
            <w:tcBorders>
              <w:top w:val="nil"/>
              <w:left w:val="nil"/>
              <w:bottom w:val="nil"/>
              <w:right w:val="nil"/>
            </w:tcBorders>
            <w:noWrap/>
            <w:vAlign w:val="center"/>
            <w:hideMark/>
          </w:tcPr>
          <w:p w14:paraId="3C99326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625.4</w:t>
            </w:r>
          </w:p>
        </w:tc>
        <w:tc>
          <w:tcPr>
            <w:tcW w:w="685" w:type="pct"/>
            <w:tcBorders>
              <w:top w:val="nil"/>
              <w:left w:val="nil"/>
              <w:bottom w:val="nil"/>
              <w:right w:val="nil"/>
            </w:tcBorders>
            <w:noWrap/>
            <w:vAlign w:val="center"/>
            <w:hideMark/>
          </w:tcPr>
          <w:p w14:paraId="5C3011F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-1,292.6</w:t>
            </w:r>
          </w:p>
        </w:tc>
        <w:tc>
          <w:tcPr>
            <w:tcW w:w="685" w:type="pct"/>
            <w:tcBorders>
              <w:top w:val="nil"/>
              <w:left w:val="nil"/>
              <w:bottom w:val="nil"/>
              <w:right w:val="single" w:sz="4" w:space="0" w:color="auto"/>
            </w:tcBorders>
            <w:noWrap/>
            <w:vAlign w:val="center"/>
            <w:hideMark/>
          </w:tcPr>
          <w:p w14:paraId="3B2DAAB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329.5</w:t>
            </w:r>
          </w:p>
        </w:tc>
      </w:tr>
      <w:tr w:rsidR="00F41C4E" w:rsidRPr="00F41C4E" w14:paraId="11A928BD" w14:textId="77777777" w:rsidTr="00F41C4E">
        <w:trPr>
          <w:trHeight w:val="285"/>
        </w:trPr>
        <w:tc>
          <w:tcPr>
            <w:tcW w:w="2191" w:type="pct"/>
            <w:tcBorders>
              <w:top w:val="nil"/>
              <w:left w:val="single" w:sz="4" w:space="0" w:color="auto"/>
              <w:bottom w:val="nil"/>
              <w:right w:val="nil"/>
            </w:tcBorders>
            <w:noWrap/>
            <w:vAlign w:val="bottom"/>
            <w:hideMark/>
          </w:tcPr>
          <w:p w14:paraId="15EB995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0A66CD1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28(c)</w:t>
            </w:r>
          </w:p>
        </w:tc>
        <w:tc>
          <w:tcPr>
            <w:tcW w:w="684" w:type="pct"/>
            <w:tcBorders>
              <w:top w:val="nil"/>
              <w:left w:val="nil"/>
              <w:bottom w:val="nil"/>
              <w:right w:val="nil"/>
            </w:tcBorders>
            <w:noWrap/>
            <w:vAlign w:val="center"/>
            <w:hideMark/>
          </w:tcPr>
          <w:p w14:paraId="24D7ACF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625.4</w:t>
            </w:r>
          </w:p>
        </w:tc>
        <w:tc>
          <w:tcPr>
            <w:tcW w:w="685" w:type="pct"/>
            <w:tcBorders>
              <w:top w:val="nil"/>
              <w:left w:val="nil"/>
              <w:bottom w:val="nil"/>
              <w:right w:val="nil"/>
            </w:tcBorders>
            <w:noWrap/>
            <w:vAlign w:val="center"/>
            <w:hideMark/>
          </w:tcPr>
          <w:p w14:paraId="0112B0D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625.4</w:t>
            </w:r>
          </w:p>
        </w:tc>
        <w:tc>
          <w:tcPr>
            <w:tcW w:w="685" w:type="pct"/>
            <w:tcBorders>
              <w:top w:val="nil"/>
              <w:left w:val="nil"/>
              <w:bottom w:val="nil"/>
              <w:right w:val="single" w:sz="4" w:space="0" w:color="auto"/>
            </w:tcBorders>
            <w:noWrap/>
            <w:vAlign w:val="center"/>
            <w:hideMark/>
          </w:tcPr>
          <w:p w14:paraId="4516AAF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625.4</w:t>
            </w:r>
          </w:p>
        </w:tc>
      </w:tr>
      <w:tr w:rsidR="00F41C4E" w:rsidRPr="00F41C4E" w14:paraId="3473C539" w14:textId="77777777" w:rsidTr="00F41C4E">
        <w:trPr>
          <w:trHeight w:val="285"/>
        </w:trPr>
        <w:tc>
          <w:tcPr>
            <w:tcW w:w="2191" w:type="pct"/>
            <w:tcBorders>
              <w:top w:val="nil"/>
              <w:left w:val="single" w:sz="4" w:space="0" w:color="auto"/>
              <w:bottom w:val="nil"/>
              <w:right w:val="nil"/>
            </w:tcBorders>
            <w:noWrap/>
            <w:vAlign w:val="bottom"/>
            <w:hideMark/>
          </w:tcPr>
          <w:p w14:paraId="218C8E4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83B662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28(d)</w:t>
            </w:r>
          </w:p>
        </w:tc>
        <w:tc>
          <w:tcPr>
            <w:tcW w:w="684" w:type="pct"/>
            <w:tcBorders>
              <w:top w:val="nil"/>
              <w:left w:val="nil"/>
              <w:bottom w:val="nil"/>
              <w:right w:val="nil"/>
            </w:tcBorders>
            <w:noWrap/>
            <w:vAlign w:val="center"/>
            <w:hideMark/>
          </w:tcPr>
          <w:p w14:paraId="09C9D12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459.3</w:t>
            </w:r>
          </w:p>
        </w:tc>
        <w:tc>
          <w:tcPr>
            <w:tcW w:w="685" w:type="pct"/>
            <w:tcBorders>
              <w:top w:val="nil"/>
              <w:left w:val="nil"/>
              <w:bottom w:val="nil"/>
              <w:right w:val="nil"/>
            </w:tcBorders>
            <w:noWrap/>
            <w:vAlign w:val="center"/>
            <w:hideMark/>
          </w:tcPr>
          <w:p w14:paraId="1E68FAB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-949.3</w:t>
            </w:r>
          </w:p>
        </w:tc>
        <w:tc>
          <w:tcPr>
            <w:tcW w:w="685" w:type="pct"/>
            <w:tcBorders>
              <w:top w:val="nil"/>
              <w:left w:val="nil"/>
              <w:bottom w:val="nil"/>
              <w:right w:val="single" w:sz="4" w:space="0" w:color="auto"/>
            </w:tcBorders>
            <w:noWrap/>
            <w:vAlign w:val="center"/>
            <w:hideMark/>
          </w:tcPr>
          <w:p w14:paraId="3C661D0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192.9</w:t>
            </w:r>
          </w:p>
        </w:tc>
      </w:tr>
      <w:tr w:rsidR="00F41C4E" w:rsidRPr="00F41C4E" w14:paraId="7E86EA0A" w14:textId="77777777" w:rsidTr="00F41C4E">
        <w:trPr>
          <w:trHeight w:val="285"/>
        </w:trPr>
        <w:tc>
          <w:tcPr>
            <w:tcW w:w="2191" w:type="pct"/>
            <w:tcBorders>
              <w:top w:val="nil"/>
              <w:left w:val="single" w:sz="4" w:space="0" w:color="auto"/>
              <w:bottom w:val="nil"/>
              <w:right w:val="nil"/>
            </w:tcBorders>
            <w:noWrap/>
            <w:vAlign w:val="bottom"/>
            <w:hideMark/>
          </w:tcPr>
          <w:p w14:paraId="5861D9F9"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3CF3FD2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28(e)(i)</w:t>
            </w:r>
          </w:p>
        </w:tc>
        <w:tc>
          <w:tcPr>
            <w:tcW w:w="684" w:type="pct"/>
            <w:tcBorders>
              <w:top w:val="nil"/>
              <w:left w:val="nil"/>
              <w:bottom w:val="nil"/>
              <w:right w:val="nil"/>
            </w:tcBorders>
            <w:noWrap/>
            <w:vAlign w:val="center"/>
            <w:hideMark/>
          </w:tcPr>
          <w:p w14:paraId="77427C0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c>
          <w:tcPr>
            <w:tcW w:w="685" w:type="pct"/>
            <w:tcBorders>
              <w:top w:val="nil"/>
              <w:left w:val="nil"/>
              <w:bottom w:val="nil"/>
              <w:right w:val="nil"/>
            </w:tcBorders>
            <w:noWrap/>
            <w:vAlign w:val="center"/>
            <w:hideMark/>
          </w:tcPr>
          <w:p w14:paraId="4C9D1CB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c>
          <w:tcPr>
            <w:tcW w:w="685" w:type="pct"/>
            <w:tcBorders>
              <w:top w:val="nil"/>
              <w:left w:val="nil"/>
              <w:bottom w:val="nil"/>
              <w:right w:val="single" w:sz="4" w:space="0" w:color="auto"/>
            </w:tcBorders>
            <w:noWrap/>
            <w:vAlign w:val="center"/>
            <w:hideMark/>
          </w:tcPr>
          <w:p w14:paraId="4263823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0.0</w:t>
            </w:r>
          </w:p>
        </w:tc>
      </w:tr>
      <w:tr w:rsidR="00F41C4E" w:rsidRPr="00F41C4E" w14:paraId="76FEC711" w14:textId="77777777" w:rsidTr="00F41C4E">
        <w:trPr>
          <w:trHeight w:val="285"/>
        </w:trPr>
        <w:tc>
          <w:tcPr>
            <w:tcW w:w="2191" w:type="pct"/>
            <w:tcBorders>
              <w:top w:val="nil"/>
              <w:left w:val="single" w:sz="4" w:space="0" w:color="auto"/>
              <w:bottom w:val="nil"/>
              <w:right w:val="nil"/>
            </w:tcBorders>
            <w:noWrap/>
            <w:vAlign w:val="bottom"/>
            <w:hideMark/>
          </w:tcPr>
          <w:p w14:paraId="18CD8A14"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2036F24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28(e)(ii)</w:t>
            </w:r>
          </w:p>
        </w:tc>
        <w:tc>
          <w:tcPr>
            <w:tcW w:w="684" w:type="pct"/>
            <w:tcBorders>
              <w:top w:val="nil"/>
              <w:left w:val="nil"/>
              <w:bottom w:val="nil"/>
              <w:right w:val="nil"/>
            </w:tcBorders>
            <w:noWrap/>
            <w:vAlign w:val="center"/>
            <w:hideMark/>
          </w:tcPr>
          <w:p w14:paraId="76F8DBB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90.8</w:t>
            </w:r>
          </w:p>
        </w:tc>
        <w:tc>
          <w:tcPr>
            <w:tcW w:w="685" w:type="pct"/>
            <w:tcBorders>
              <w:top w:val="nil"/>
              <w:left w:val="nil"/>
              <w:bottom w:val="nil"/>
              <w:right w:val="nil"/>
            </w:tcBorders>
            <w:noWrap/>
            <w:vAlign w:val="center"/>
            <w:hideMark/>
          </w:tcPr>
          <w:p w14:paraId="4412D4F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-187.7</w:t>
            </w:r>
          </w:p>
        </w:tc>
        <w:tc>
          <w:tcPr>
            <w:tcW w:w="685" w:type="pct"/>
            <w:tcBorders>
              <w:top w:val="nil"/>
              <w:left w:val="nil"/>
              <w:bottom w:val="nil"/>
              <w:right w:val="single" w:sz="4" w:space="0" w:color="auto"/>
            </w:tcBorders>
            <w:noWrap/>
            <w:vAlign w:val="center"/>
            <w:hideMark/>
          </w:tcPr>
          <w:p w14:paraId="2181434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-110.2</w:t>
            </w:r>
          </w:p>
        </w:tc>
      </w:tr>
      <w:tr w:rsidR="00F41C4E" w:rsidRPr="00F41C4E" w14:paraId="6898677A" w14:textId="77777777" w:rsidTr="00F41C4E">
        <w:trPr>
          <w:trHeight w:val="285"/>
        </w:trPr>
        <w:tc>
          <w:tcPr>
            <w:tcW w:w="2191" w:type="pct"/>
            <w:tcBorders>
              <w:top w:val="nil"/>
              <w:left w:val="single" w:sz="4" w:space="0" w:color="auto"/>
              <w:bottom w:val="nil"/>
              <w:right w:val="nil"/>
            </w:tcBorders>
            <w:noWrap/>
            <w:vAlign w:val="bottom"/>
            <w:hideMark/>
          </w:tcPr>
          <w:p w14:paraId="2727D3EF"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3DFA3BE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28(e)(iii)</w:t>
            </w:r>
          </w:p>
        </w:tc>
        <w:tc>
          <w:tcPr>
            <w:tcW w:w="684" w:type="pct"/>
            <w:tcBorders>
              <w:top w:val="nil"/>
              <w:left w:val="nil"/>
              <w:bottom w:val="nil"/>
              <w:right w:val="nil"/>
            </w:tcBorders>
            <w:noWrap/>
            <w:vAlign w:val="center"/>
            <w:hideMark/>
          </w:tcPr>
          <w:p w14:paraId="43DA1DE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90.8</w:t>
            </w:r>
          </w:p>
        </w:tc>
        <w:tc>
          <w:tcPr>
            <w:tcW w:w="685" w:type="pct"/>
            <w:tcBorders>
              <w:top w:val="nil"/>
              <w:left w:val="nil"/>
              <w:bottom w:val="nil"/>
              <w:right w:val="nil"/>
            </w:tcBorders>
            <w:noWrap/>
            <w:vAlign w:val="center"/>
            <w:hideMark/>
          </w:tcPr>
          <w:p w14:paraId="21BB390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-187.7</w:t>
            </w:r>
          </w:p>
        </w:tc>
        <w:tc>
          <w:tcPr>
            <w:tcW w:w="685" w:type="pct"/>
            <w:tcBorders>
              <w:top w:val="nil"/>
              <w:left w:val="nil"/>
              <w:bottom w:val="nil"/>
              <w:right w:val="single" w:sz="4" w:space="0" w:color="auto"/>
            </w:tcBorders>
            <w:noWrap/>
            <w:vAlign w:val="center"/>
            <w:hideMark/>
          </w:tcPr>
          <w:p w14:paraId="2688C91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-110.2</w:t>
            </w:r>
          </w:p>
        </w:tc>
      </w:tr>
      <w:tr w:rsidR="00F41C4E" w:rsidRPr="00F41C4E" w14:paraId="7E9853C7" w14:textId="77777777" w:rsidTr="00F41C4E">
        <w:trPr>
          <w:trHeight w:val="285"/>
        </w:trPr>
        <w:tc>
          <w:tcPr>
            <w:tcW w:w="2191" w:type="pct"/>
            <w:tcBorders>
              <w:top w:val="nil"/>
              <w:left w:val="single" w:sz="4" w:space="0" w:color="auto"/>
              <w:bottom w:val="nil"/>
              <w:right w:val="nil"/>
            </w:tcBorders>
            <w:noWrap/>
            <w:vAlign w:val="bottom"/>
            <w:hideMark/>
          </w:tcPr>
          <w:p w14:paraId="39C69C85"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36F750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28(e)(iv)</w:t>
            </w:r>
          </w:p>
        </w:tc>
        <w:tc>
          <w:tcPr>
            <w:tcW w:w="684" w:type="pct"/>
            <w:tcBorders>
              <w:top w:val="nil"/>
              <w:left w:val="nil"/>
              <w:bottom w:val="nil"/>
              <w:right w:val="nil"/>
            </w:tcBorders>
            <w:noWrap/>
            <w:vAlign w:val="center"/>
            <w:hideMark/>
          </w:tcPr>
          <w:p w14:paraId="35EA72A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181.6</w:t>
            </w:r>
          </w:p>
        </w:tc>
        <w:tc>
          <w:tcPr>
            <w:tcW w:w="685" w:type="pct"/>
            <w:tcBorders>
              <w:top w:val="nil"/>
              <w:left w:val="nil"/>
              <w:bottom w:val="nil"/>
              <w:right w:val="nil"/>
            </w:tcBorders>
            <w:noWrap/>
            <w:vAlign w:val="center"/>
            <w:hideMark/>
          </w:tcPr>
          <w:p w14:paraId="7E3D3EF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-375.4</w:t>
            </w:r>
          </w:p>
        </w:tc>
        <w:tc>
          <w:tcPr>
            <w:tcW w:w="685" w:type="pct"/>
            <w:tcBorders>
              <w:top w:val="nil"/>
              <w:left w:val="nil"/>
              <w:bottom w:val="nil"/>
              <w:right w:val="single" w:sz="4" w:space="0" w:color="auto"/>
            </w:tcBorders>
            <w:noWrap/>
            <w:vAlign w:val="center"/>
            <w:hideMark/>
          </w:tcPr>
          <w:p w14:paraId="0EA582D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-35.5</w:t>
            </w:r>
          </w:p>
        </w:tc>
      </w:tr>
      <w:tr w:rsidR="00F41C4E" w:rsidRPr="00F41C4E" w14:paraId="1405C20F" w14:textId="77777777" w:rsidTr="00F41C4E">
        <w:trPr>
          <w:trHeight w:val="285"/>
        </w:trPr>
        <w:tc>
          <w:tcPr>
            <w:tcW w:w="2191" w:type="pct"/>
            <w:tcBorders>
              <w:top w:val="nil"/>
              <w:left w:val="single" w:sz="4" w:space="0" w:color="auto"/>
              <w:bottom w:val="nil"/>
              <w:right w:val="nil"/>
            </w:tcBorders>
            <w:noWrap/>
            <w:vAlign w:val="bottom"/>
            <w:hideMark/>
          </w:tcPr>
          <w:p w14:paraId="34D300E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1DD6E22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28(e)(v)</w:t>
            </w:r>
          </w:p>
        </w:tc>
        <w:tc>
          <w:tcPr>
            <w:tcW w:w="684" w:type="pct"/>
            <w:tcBorders>
              <w:top w:val="nil"/>
              <w:left w:val="nil"/>
              <w:bottom w:val="nil"/>
              <w:right w:val="nil"/>
            </w:tcBorders>
            <w:noWrap/>
            <w:vAlign w:val="center"/>
            <w:hideMark/>
          </w:tcPr>
          <w:p w14:paraId="57AEE78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272.5</w:t>
            </w:r>
          </w:p>
        </w:tc>
        <w:tc>
          <w:tcPr>
            <w:tcW w:w="685" w:type="pct"/>
            <w:tcBorders>
              <w:top w:val="nil"/>
              <w:left w:val="nil"/>
              <w:bottom w:val="nil"/>
              <w:right w:val="nil"/>
            </w:tcBorders>
            <w:noWrap/>
            <w:vAlign w:val="center"/>
            <w:hideMark/>
          </w:tcPr>
          <w:p w14:paraId="6BF42AE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-563.2</w:t>
            </w:r>
          </w:p>
        </w:tc>
        <w:tc>
          <w:tcPr>
            <w:tcW w:w="685" w:type="pct"/>
            <w:tcBorders>
              <w:top w:val="nil"/>
              <w:left w:val="nil"/>
              <w:bottom w:val="nil"/>
              <w:right w:val="single" w:sz="4" w:space="0" w:color="auto"/>
            </w:tcBorders>
            <w:noWrap/>
            <w:vAlign w:val="center"/>
            <w:hideMark/>
          </w:tcPr>
          <w:p w14:paraId="1120025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39.2</w:t>
            </w:r>
          </w:p>
        </w:tc>
      </w:tr>
      <w:tr w:rsidR="00F41C4E" w:rsidRPr="00F41C4E" w14:paraId="67494420" w14:textId="77777777" w:rsidTr="00F41C4E">
        <w:trPr>
          <w:trHeight w:val="285"/>
        </w:trPr>
        <w:tc>
          <w:tcPr>
            <w:tcW w:w="2191" w:type="pct"/>
            <w:tcBorders>
              <w:top w:val="nil"/>
              <w:left w:val="single" w:sz="4" w:space="0" w:color="auto"/>
              <w:bottom w:val="nil"/>
              <w:right w:val="nil"/>
            </w:tcBorders>
            <w:noWrap/>
            <w:vAlign w:val="bottom"/>
            <w:hideMark/>
          </w:tcPr>
          <w:p w14:paraId="3BF26AC1"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5DF6358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28(f)(ii)</w:t>
            </w:r>
          </w:p>
        </w:tc>
        <w:tc>
          <w:tcPr>
            <w:tcW w:w="684" w:type="pct"/>
            <w:tcBorders>
              <w:top w:val="nil"/>
              <w:left w:val="nil"/>
              <w:bottom w:val="nil"/>
              <w:right w:val="nil"/>
            </w:tcBorders>
            <w:noWrap/>
            <w:vAlign w:val="center"/>
            <w:hideMark/>
          </w:tcPr>
          <w:p w14:paraId="49700D20"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90.8</w:t>
            </w:r>
          </w:p>
        </w:tc>
        <w:tc>
          <w:tcPr>
            <w:tcW w:w="685" w:type="pct"/>
            <w:tcBorders>
              <w:top w:val="nil"/>
              <w:left w:val="nil"/>
              <w:bottom w:val="nil"/>
              <w:right w:val="nil"/>
            </w:tcBorders>
            <w:noWrap/>
            <w:vAlign w:val="center"/>
            <w:hideMark/>
          </w:tcPr>
          <w:p w14:paraId="6AB46E5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-187.7</w:t>
            </w:r>
          </w:p>
        </w:tc>
        <w:tc>
          <w:tcPr>
            <w:tcW w:w="685" w:type="pct"/>
            <w:tcBorders>
              <w:top w:val="nil"/>
              <w:left w:val="nil"/>
              <w:bottom w:val="nil"/>
              <w:right w:val="single" w:sz="4" w:space="0" w:color="auto"/>
            </w:tcBorders>
            <w:noWrap/>
            <w:vAlign w:val="center"/>
            <w:hideMark/>
          </w:tcPr>
          <w:p w14:paraId="26FA317D"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-110.2</w:t>
            </w:r>
          </w:p>
        </w:tc>
      </w:tr>
      <w:tr w:rsidR="00F41C4E" w:rsidRPr="00F41C4E" w14:paraId="7CDA7582" w14:textId="77777777" w:rsidTr="00F41C4E">
        <w:trPr>
          <w:trHeight w:val="285"/>
        </w:trPr>
        <w:tc>
          <w:tcPr>
            <w:tcW w:w="2191" w:type="pct"/>
            <w:tcBorders>
              <w:top w:val="nil"/>
              <w:left w:val="single" w:sz="4" w:space="0" w:color="auto"/>
              <w:bottom w:val="nil"/>
              <w:right w:val="nil"/>
            </w:tcBorders>
            <w:noWrap/>
            <w:vAlign w:val="bottom"/>
            <w:hideMark/>
          </w:tcPr>
          <w:p w14:paraId="00C776EA"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7F29A91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28(f)(iii)</w:t>
            </w:r>
          </w:p>
        </w:tc>
        <w:tc>
          <w:tcPr>
            <w:tcW w:w="684" w:type="pct"/>
            <w:tcBorders>
              <w:top w:val="nil"/>
              <w:left w:val="nil"/>
              <w:bottom w:val="nil"/>
              <w:right w:val="nil"/>
            </w:tcBorders>
            <w:noWrap/>
            <w:vAlign w:val="center"/>
            <w:hideMark/>
          </w:tcPr>
          <w:p w14:paraId="7C48355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90.8</w:t>
            </w:r>
          </w:p>
        </w:tc>
        <w:tc>
          <w:tcPr>
            <w:tcW w:w="685" w:type="pct"/>
            <w:tcBorders>
              <w:top w:val="nil"/>
              <w:left w:val="nil"/>
              <w:bottom w:val="nil"/>
              <w:right w:val="nil"/>
            </w:tcBorders>
            <w:noWrap/>
            <w:vAlign w:val="center"/>
            <w:hideMark/>
          </w:tcPr>
          <w:p w14:paraId="79331E2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-187.7</w:t>
            </w:r>
          </w:p>
        </w:tc>
        <w:tc>
          <w:tcPr>
            <w:tcW w:w="685" w:type="pct"/>
            <w:tcBorders>
              <w:top w:val="nil"/>
              <w:left w:val="nil"/>
              <w:bottom w:val="nil"/>
              <w:right w:val="single" w:sz="4" w:space="0" w:color="auto"/>
            </w:tcBorders>
            <w:noWrap/>
            <w:vAlign w:val="center"/>
            <w:hideMark/>
          </w:tcPr>
          <w:p w14:paraId="3918860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-110.2</w:t>
            </w:r>
          </w:p>
        </w:tc>
      </w:tr>
      <w:tr w:rsidR="00F41C4E" w:rsidRPr="00F41C4E" w14:paraId="1C8194EC" w14:textId="77777777" w:rsidTr="00F41C4E">
        <w:trPr>
          <w:trHeight w:val="270"/>
        </w:trPr>
        <w:tc>
          <w:tcPr>
            <w:tcW w:w="2191" w:type="pct"/>
            <w:tcBorders>
              <w:top w:val="nil"/>
              <w:left w:val="single" w:sz="4" w:space="0" w:color="auto"/>
              <w:bottom w:val="nil"/>
              <w:right w:val="nil"/>
            </w:tcBorders>
            <w:noWrap/>
            <w:vAlign w:val="bottom"/>
            <w:hideMark/>
          </w:tcPr>
          <w:p w14:paraId="63DAFA8E"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nil"/>
              <w:right w:val="nil"/>
            </w:tcBorders>
            <w:noWrap/>
            <w:vAlign w:val="bottom"/>
            <w:hideMark/>
          </w:tcPr>
          <w:p w14:paraId="62CAFD0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28(f)(iv)</w:t>
            </w:r>
          </w:p>
        </w:tc>
        <w:tc>
          <w:tcPr>
            <w:tcW w:w="684" w:type="pct"/>
            <w:tcBorders>
              <w:top w:val="nil"/>
              <w:left w:val="nil"/>
              <w:bottom w:val="nil"/>
              <w:right w:val="nil"/>
            </w:tcBorders>
            <w:noWrap/>
            <w:vAlign w:val="center"/>
            <w:hideMark/>
          </w:tcPr>
          <w:p w14:paraId="20595DB8"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181.6</w:t>
            </w:r>
          </w:p>
        </w:tc>
        <w:tc>
          <w:tcPr>
            <w:tcW w:w="685" w:type="pct"/>
            <w:tcBorders>
              <w:top w:val="nil"/>
              <w:left w:val="nil"/>
              <w:bottom w:val="nil"/>
              <w:right w:val="nil"/>
            </w:tcBorders>
            <w:noWrap/>
            <w:vAlign w:val="center"/>
            <w:hideMark/>
          </w:tcPr>
          <w:p w14:paraId="1F6D1877"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-375.4</w:t>
            </w:r>
          </w:p>
        </w:tc>
        <w:tc>
          <w:tcPr>
            <w:tcW w:w="685" w:type="pct"/>
            <w:tcBorders>
              <w:top w:val="nil"/>
              <w:left w:val="nil"/>
              <w:bottom w:val="nil"/>
              <w:right w:val="single" w:sz="4" w:space="0" w:color="auto"/>
            </w:tcBorders>
            <w:noWrap/>
            <w:vAlign w:val="center"/>
            <w:hideMark/>
          </w:tcPr>
          <w:p w14:paraId="37503EA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-35.5</w:t>
            </w:r>
          </w:p>
        </w:tc>
      </w:tr>
      <w:tr w:rsidR="00F41C4E" w:rsidRPr="00F41C4E" w14:paraId="14561A55" w14:textId="77777777" w:rsidTr="00F41C4E">
        <w:trPr>
          <w:trHeight w:val="285"/>
        </w:trPr>
        <w:tc>
          <w:tcPr>
            <w:tcW w:w="2191" w:type="pct"/>
            <w:tcBorders>
              <w:top w:val="nil"/>
              <w:left w:val="single" w:sz="4" w:space="0" w:color="auto"/>
              <w:bottom w:val="single" w:sz="4" w:space="0" w:color="auto"/>
              <w:right w:val="nil"/>
            </w:tcBorders>
            <w:noWrap/>
            <w:vAlign w:val="bottom"/>
            <w:hideMark/>
          </w:tcPr>
          <w:p w14:paraId="323AD0F1" w14:textId="77777777" w:rsidR="00F41C4E" w:rsidRPr="00F41C4E" w:rsidRDefault="00F41C4E" w:rsidP="00F41C4E">
            <w:pPr>
              <w:jc w:val="center"/>
              <w:rPr>
                <w:rFonts w:ascii="Aptos Narrow" w:hAnsi="Aptos Narrow"/>
                <w:color w:val="000000"/>
                <w:sz w:val="22"/>
                <w:szCs w:val="22"/>
                <w:lang w:eastAsia="ko-KR"/>
              </w:rPr>
            </w:pPr>
          </w:p>
        </w:tc>
        <w:tc>
          <w:tcPr>
            <w:tcW w:w="754" w:type="pct"/>
            <w:tcBorders>
              <w:top w:val="nil"/>
              <w:left w:val="single" w:sz="4" w:space="0" w:color="auto"/>
              <w:bottom w:val="single" w:sz="4" w:space="0" w:color="auto"/>
              <w:right w:val="nil"/>
            </w:tcBorders>
            <w:noWrap/>
            <w:vAlign w:val="bottom"/>
            <w:hideMark/>
          </w:tcPr>
          <w:p w14:paraId="156E71A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28(f)(v)</w:t>
            </w:r>
          </w:p>
        </w:tc>
        <w:tc>
          <w:tcPr>
            <w:tcW w:w="684" w:type="pct"/>
            <w:tcBorders>
              <w:top w:val="nil"/>
              <w:left w:val="nil"/>
              <w:bottom w:val="single" w:sz="4" w:space="0" w:color="auto"/>
              <w:right w:val="nil"/>
            </w:tcBorders>
            <w:noWrap/>
            <w:vAlign w:val="bottom"/>
            <w:hideMark/>
          </w:tcPr>
          <w:p w14:paraId="490B3E8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272.5</w:t>
            </w:r>
          </w:p>
        </w:tc>
        <w:tc>
          <w:tcPr>
            <w:tcW w:w="685" w:type="pct"/>
            <w:tcBorders>
              <w:top w:val="nil"/>
              <w:left w:val="nil"/>
              <w:bottom w:val="single" w:sz="4" w:space="0" w:color="auto"/>
              <w:right w:val="nil"/>
            </w:tcBorders>
            <w:noWrap/>
            <w:vAlign w:val="bottom"/>
            <w:hideMark/>
          </w:tcPr>
          <w:p w14:paraId="4F69BA1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-563.2</w:t>
            </w:r>
          </w:p>
        </w:tc>
        <w:tc>
          <w:tcPr>
            <w:tcW w:w="685" w:type="pct"/>
            <w:tcBorders>
              <w:top w:val="nil"/>
              <w:left w:val="nil"/>
              <w:bottom w:val="nil"/>
              <w:right w:val="single" w:sz="4" w:space="0" w:color="auto"/>
            </w:tcBorders>
            <w:noWrap/>
            <w:vAlign w:val="bottom"/>
            <w:hideMark/>
          </w:tcPr>
          <w:p w14:paraId="261525C1"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39.2</w:t>
            </w:r>
          </w:p>
        </w:tc>
      </w:tr>
      <w:tr w:rsidR="00F41C4E" w:rsidRPr="00F41C4E" w14:paraId="08B1EB13" w14:textId="77777777" w:rsidTr="00F41C4E">
        <w:trPr>
          <w:trHeight w:val="315"/>
        </w:trPr>
        <w:tc>
          <w:tcPr>
            <w:tcW w:w="2191" w:type="pct"/>
            <w:tcBorders>
              <w:top w:val="nil"/>
              <w:left w:val="nil"/>
              <w:bottom w:val="nil"/>
              <w:right w:val="nil"/>
            </w:tcBorders>
            <w:shd w:val="clear" w:color="000000" w:fill="D9D9D9"/>
            <w:noWrap/>
            <w:vAlign w:val="bottom"/>
            <w:hideMark/>
          </w:tcPr>
          <w:p w14:paraId="463CF1B7" w14:textId="77777777" w:rsidR="00F41C4E" w:rsidRPr="00F41C4E" w:rsidRDefault="00F41C4E" w:rsidP="00F41C4E">
            <w:pPr>
              <w:rPr>
                <w:rFonts w:ascii="Aptos Narrow" w:hAnsi="Aptos Narrow"/>
                <w:b/>
                <w:bCs/>
                <w:color w:val="000000"/>
                <w:sz w:val="24"/>
                <w:szCs w:val="24"/>
                <w:lang w:eastAsia="ko-KR"/>
              </w:rPr>
            </w:pPr>
            <w:r w:rsidRPr="00F41C4E">
              <w:rPr>
                <w:rFonts w:ascii="Aptos Narrow" w:hAnsi="Aptos Narrow"/>
                <w:b/>
                <w:bCs/>
                <w:color w:val="000000"/>
                <w:sz w:val="24"/>
                <w:szCs w:val="24"/>
                <w:lang w:eastAsia="ko-KR"/>
              </w:rPr>
              <w:t>Part 4 - Administrative Fee</w:t>
            </w:r>
          </w:p>
        </w:tc>
        <w:tc>
          <w:tcPr>
            <w:tcW w:w="754" w:type="pct"/>
            <w:tcBorders>
              <w:top w:val="nil"/>
              <w:left w:val="nil"/>
              <w:bottom w:val="nil"/>
              <w:right w:val="nil"/>
            </w:tcBorders>
            <w:shd w:val="clear" w:color="000000" w:fill="D9D9D9"/>
            <w:noWrap/>
            <w:vAlign w:val="bottom"/>
            <w:hideMark/>
          </w:tcPr>
          <w:p w14:paraId="2B11D438" w14:textId="77777777" w:rsidR="00F41C4E" w:rsidRPr="00F41C4E" w:rsidRDefault="00F41C4E" w:rsidP="00F41C4E">
            <w:pPr>
              <w:rPr>
                <w:rFonts w:ascii="Aptos Narrow" w:hAnsi="Aptos Narrow"/>
                <w:b/>
                <w:bCs/>
                <w:color w:val="000000"/>
                <w:sz w:val="24"/>
                <w:szCs w:val="24"/>
                <w:lang w:eastAsia="ko-KR"/>
              </w:rPr>
            </w:pPr>
          </w:p>
        </w:tc>
        <w:tc>
          <w:tcPr>
            <w:tcW w:w="684" w:type="pct"/>
            <w:tcBorders>
              <w:top w:val="nil"/>
              <w:left w:val="nil"/>
              <w:bottom w:val="nil"/>
              <w:right w:val="nil"/>
            </w:tcBorders>
            <w:shd w:val="clear" w:color="000000" w:fill="D9D9D9"/>
            <w:noWrap/>
            <w:vAlign w:val="center"/>
            <w:hideMark/>
          </w:tcPr>
          <w:p w14:paraId="660740E8" w14:textId="77777777" w:rsidR="00F41C4E" w:rsidRPr="00F41C4E" w:rsidRDefault="00F41C4E" w:rsidP="00F41C4E">
            <w:pPr>
              <w:jc w:val="center"/>
              <w:rPr>
                <w:rFonts w:ascii="Times New Roman" w:hAnsi="Times New Roman"/>
                <w:lang w:eastAsia="ko-KR"/>
              </w:rPr>
            </w:pPr>
          </w:p>
        </w:tc>
        <w:tc>
          <w:tcPr>
            <w:tcW w:w="685" w:type="pct"/>
            <w:tcBorders>
              <w:top w:val="nil"/>
              <w:left w:val="nil"/>
              <w:bottom w:val="nil"/>
              <w:right w:val="nil"/>
            </w:tcBorders>
            <w:shd w:val="clear" w:color="000000" w:fill="D9D9D9"/>
            <w:noWrap/>
            <w:vAlign w:val="center"/>
            <w:hideMark/>
          </w:tcPr>
          <w:p w14:paraId="3F51F8F2" w14:textId="77777777" w:rsidR="00F41C4E" w:rsidRPr="00F41C4E" w:rsidRDefault="00F41C4E" w:rsidP="00F41C4E">
            <w:pPr>
              <w:jc w:val="center"/>
              <w:rPr>
                <w:rFonts w:ascii="Times New Roman" w:hAnsi="Times New Roman"/>
                <w:lang w:eastAsia="ko-KR"/>
              </w:rPr>
            </w:pPr>
          </w:p>
        </w:tc>
        <w:tc>
          <w:tcPr>
            <w:tcW w:w="685" w:type="pct"/>
            <w:tcBorders>
              <w:top w:val="single" w:sz="4" w:space="0" w:color="auto"/>
              <w:left w:val="nil"/>
              <w:bottom w:val="single" w:sz="4" w:space="0" w:color="auto"/>
              <w:right w:val="single" w:sz="4" w:space="0" w:color="auto"/>
            </w:tcBorders>
            <w:shd w:val="clear" w:color="000000" w:fill="D9D9D9"/>
            <w:noWrap/>
            <w:vAlign w:val="center"/>
            <w:hideMark/>
          </w:tcPr>
          <w:p w14:paraId="46C82EA3" w14:textId="77777777" w:rsidR="00F41C4E" w:rsidRPr="00F41C4E" w:rsidRDefault="00F41C4E" w:rsidP="00F41C4E">
            <w:pPr>
              <w:jc w:val="center"/>
              <w:rPr>
                <w:rFonts w:ascii="Times New Roman" w:hAnsi="Times New Roman"/>
                <w:lang w:eastAsia="ko-KR"/>
              </w:rPr>
            </w:pPr>
          </w:p>
        </w:tc>
      </w:tr>
      <w:tr w:rsidR="00F41C4E" w:rsidRPr="00F41C4E" w14:paraId="5FA1F98B" w14:textId="77777777" w:rsidTr="00F41C4E">
        <w:trPr>
          <w:trHeight w:val="285"/>
        </w:trPr>
        <w:tc>
          <w:tcPr>
            <w:tcW w:w="2191" w:type="pct"/>
            <w:tcBorders>
              <w:top w:val="single" w:sz="4" w:space="0" w:color="auto"/>
              <w:left w:val="single" w:sz="4" w:space="0" w:color="auto"/>
              <w:bottom w:val="single" w:sz="4" w:space="0" w:color="auto"/>
              <w:right w:val="single" w:sz="4" w:space="0" w:color="auto"/>
            </w:tcBorders>
            <w:noWrap/>
            <w:vAlign w:val="bottom"/>
            <w:hideMark/>
          </w:tcPr>
          <w:p w14:paraId="2C93F2CC"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s144(4)</w:t>
            </w:r>
          </w:p>
        </w:tc>
        <w:tc>
          <w:tcPr>
            <w:tcW w:w="754" w:type="pct"/>
            <w:tcBorders>
              <w:top w:val="single" w:sz="4" w:space="0" w:color="auto"/>
              <w:left w:val="single" w:sz="4" w:space="0" w:color="auto"/>
              <w:bottom w:val="single" w:sz="4" w:space="0" w:color="auto"/>
              <w:right w:val="nil"/>
            </w:tcBorders>
            <w:noWrap/>
            <w:vAlign w:val="bottom"/>
            <w:hideMark/>
          </w:tcPr>
          <w:p w14:paraId="42D64D1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29</w:t>
            </w:r>
          </w:p>
        </w:tc>
        <w:tc>
          <w:tcPr>
            <w:tcW w:w="684" w:type="pct"/>
            <w:tcBorders>
              <w:top w:val="single" w:sz="4" w:space="0" w:color="auto"/>
              <w:left w:val="nil"/>
              <w:bottom w:val="single" w:sz="4" w:space="0" w:color="auto"/>
              <w:right w:val="nil"/>
            </w:tcBorders>
            <w:noWrap/>
            <w:vAlign w:val="center"/>
            <w:hideMark/>
          </w:tcPr>
          <w:p w14:paraId="3258EC36"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217.3</w:t>
            </w:r>
          </w:p>
        </w:tc>
        <w:tc>
          <w:tcPr>
            <w:tcW w:w="685" w:type="pct"/>
            <w:tcBorders>
              <w:top w:val="single" w:sz="4" w:space="0" w:color="auto"/>
              <w:left w:val="nil"/>
              <w:bottom w:val="single" w:sz="4" w:space="0" w:color="auto"/>
              <w:right w:val="nil"/>
            </w:tcBorders>
            <w:noWrap/>
            <w:vAlign w:val="center"/>
            <w:hideMark/>
          </w:tcPr>
          <w:p w14:paraId="186AA09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217.3</w:t>
            </w:r>
          </w:p>
        </w:tc>
        <w:tc>
          <w:tcPr>
            <w:tcW w:w="685" w:type="pct"/>
            <w:tcBorders>
              <w:top w:val="single" w:sz="4" w:space="0" w:color="auto"/>
              <w:left w:val="nil"/>
              <w:bottom w:val="single" w:sz="4" w:space="0" w:color="auto"/>
              <w:right w:val="single" w:sz="4" w:space="0" w:color="auto"/>
            </w:tcBorders>
            <w:noWrap/>
            <w:vAlign w:val="center"/>
            <w:hideMark/>
          </w:tcPr>
          <w:p w14:paraId="4D9EC96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w:t>
            </w:r>
          </w:p>
        </w:tc>
      </w:tr>
      <w:tr w:rsidR="00F41C4E" w:rsidRPr="00F41C4E" w14:paraId="65BF2DC7" w14:textId="77777777" w:rsidTr="00F41C4E">
        <w:trPr>
          <w:trHeight w:val="285"/>
        </w:trPr>
        <w:tc>
          <w:tcPr>
            <w:tcW w:w="2191" w:type="pct"/>
            <w:tcBorders>
              <w:top w:val="single" w:sz="4" w:space="0" w:color="auto"/>
              <w:left w:val="single" w:sz="4" w:space="0" w:color="auto"/>
              <w:bottom w:val="single" w:sz="4" w:space="0" w:color="auto"/>
              <w:right w:val="single" w:sz="4" w:space="0" w:color="auto"/>
            </w:tcBorders>
            <w:noWrap/>
            <w:vAlign w:val="bottom"/>
            <w:hideMark/>
          </w:tcPr>
          <w:p w14:paraId="63EF2402"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s145(2)</w:t>
            </w:r>
          </w:p>
        </w:tc>
        <w:tc>
          <w:tcPr>
            <w:tcW w:w="754" w:type="pct"/>
            <w:tcBorders>
              <w:top w:val="single" w:sz="4" w:space="0" w:color="auto"/>
              <w:left w:val="single" w:sz="4" w:space="0" w:color="auto"/>
              <w:bottom w:val="single" w:sz="4" w:space="0" w:color="auto"/>
              <w:right w:val="nil"/>
            </w:tcBorders>
            <w:noWrap/>
            <w:vAlign w:val="bottom"/>
            <w:hideMark/>
          </w:tcPr>
          <w:p w14:paraId="68454AB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30</w:t>
            </w:r>
          </w:p>
        </w:tc>
        <w:tc>
          <w:tcPr>
            <w:tcW w:w="684" w:type="pct"/>
            <w:tcBorders>
              <w:top w:val="single" w:sz="4" w:space="0" w:color="auto"/>
              <w:left w:val="nil"/>
              <w:bottom w:val="single" w:sz="4" w:space="0" w:color="auto"/>
              <w:right w:val="nil"/>
            </w:tcBorders>
            <w:noWrap/>
            <w:vAlign w:val="center"/>
            <w:hideMark/>
          </w:tcPr>
          <w:p w14:paraId="4551826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106.0</w:t>
            </w:r>
          </w:p>
        </w:tc>
        <w:tc>
          <w:tcPr>
            <w:tcW w:w="685" w:type="pct"/>
            <w:tcBorders>
              <w:top w:val="single" w:sz="4" w:space="0" w:color="auto"/>
              <w:left w:val="nil"/>
              <w:bottom w:val="single" w:sz="4" w:space="0" w:color="auto"/>
              <w:right w:val="nil"/>
            </w:tcBorders>
            <w:noWrap/>
            <w:vAlign w:val="center"/>
            <w:hideMark/>
          </w:tcPr>
          <w:p w14:paraId="6304EE1A"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106.0</w:t>
            </w:r>
          </w:p>
        </w:tc>
        <w:tc>
          <w:tcPr>
            <w:tcW w:w="685" w:type="pct"/>
            <w:tcBorders>
              <w:top w:val="single" w:sz="4" w:space="0" w:color="auto"/>
              <w:left w:val="nil"/>
              <w:bottom w:val="single" w:sz="4" w:space="0" w:color="auto"/>
              <w:right w:val="single" w:sz="4" w:space="0" w:color="auto"/>
            </w:tcBorders>
            <w:noWrap/>
            <w:vAlign w:val="center"/>
            <w:hideMark/>
          </w:tcPr>
          <w:p w14:paraId="4F2F543B"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-12.3</w:t>
            </w:r>
          </w:p>
        </w:tc>
      </w:tr>
      <w:tr w:rsidR="00F41C4E" w:rsidRPr="00F41C4E" w14:paraId="499DC6BB" w14:textId="77777777" w:rsidTr="00F41C4E">
        <w:trPr>
          <w:trHeight w:val="285"/>
        </w:trPr>
        <w:tc>
          <w:tcPr>
            <w:tcW w:w="2191" w:type="pct"/>
            <w:tcBorders>
              <w:top w:val="single" w:sz="4" w:space="0" w:color="auto"/>
              <w:left w:val="single" w:sz="4" w:space="0" w:color="auto"/>
              <w:bottom w:val="single" w:sz="4" w:space="0" w:color="auto"/>
              <w:right w:val="single" w:sz="4" w:space="0" w:color="auto"/>
            </w:tcBorders>
            <w:noWrap/>
            <w:vAlign w:val="bottom"/>
            <w:hideMark/>
          </w:tcPr>
          <w:p w14:paraId="724C1D08"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s146(3)</w:t>
            </w:r>
          </w:p>
        </w:tc>
        <w:tc>
          <w:tcPr>
            <w:tcW w:w="754" w:type="pct"/>
            <w:tcBorders>
              <w:top w:val="single" w:sz="4" w:space="0" w:color="auto"/>
              <w:left w:val="single" w:sz="4" w:space="0" w:color="auto"/>
              <w:bottom w:val="single" w:sz="4" w:space="0" w:color="auto"/>
              <w:right w:val="nil"/>
            </w:tcBorders>
            <w:noWrap/>
            <w:vAlign w:val="bottom"/>
            <w:hideMark/>
          </w:tcPr>
          <w:p w14:paraId="6D02B1C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31</w:t>
            </w:r>
          </w:p>
        </w:tc>
        <w:tc>
          <w:tcPr>
            <w:tcW w:w="684" w:type="pct"/>
            <w:tcBorders>
              <w:top w:val="single" w:sz="4" w:space="0" w:color="auto"/>
              <w:left w:val="nil"/>
              <w:bottom w:val="single" w:sz="4" w:space="0" w:color="auto"/>
              <w:right w:val="nil"/>
            </w:tcBorders>
            <w:noWrap/>
            <w:vAlign w:val="center"/>
            <w:hideMark/>
          </w:tcPr>
          <w:p w14:paraId="1B6AA1C5"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165.2</w:t>
            </w:r>
          </w:p>
        </w:tc>
        <w:tc>
          <w:tcPr>
            <w:tcW w:w="685" w:type="pct"/>
            <w:tcBorders>
              <w:top w:val="single" w:sz="4" w:space="0" w:color="auto"/>
              <w:left w:val="nil"/>
              <w:bottom w:val="single" w:sz="4" w:space="0" w:color="auto"/>
              <w:right w:val="nil"/>
            </w:tcBorders>
            <w:noWrap/>
            <w:vAlign w:val="center"/>
            <w:hideMark/>
          </w:tcPr>
          <w:p w14:paraId="64CCB5E4"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165.2</w:t>
            </w:r>
          </w:p>
        </w:tc>
        <w:tc>
          <w:tcPr>
            <w:tcW w:w="685" w:type="pct"/>
            <w:tcBorders>
              <w:top w:val="single" w:sz="4" w:space="0" w:color="auto"/>
              <w:left w:val="nil"/>
              <w:bottom w:val="single" w:sz="4" w:space="0" w:color="auto"/>
              <w:right w:val="single" w:sz="4" w:space="0" w:color="auto"/>
            </w:tcBorders>
            <w:noWrap/>
            <w:vAlign w:val="center"/>
            <w:hideMark/>
          </w:tcPr>
          <w:p w14:paraId="1C6AD5EE"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-17.3</w:t>
            </w:r>
          </w:p>
        </w:tc>
      </w:tr>
      <w:tr w:rsidR="00F41C4E" w:rsidRPr="00F41C4E" w14:paraId="7A7E9D9D" w14:textId="77777777" w:rsidTr="00F41C4E">
        <w:trPr>
          <w:trHeight w:val="285"/>
        </w:trPr>
        <w:tc>
          <w:tcPr>
            <w:tcW w:w="2191" w:type="pct"/>
            <w:tcBorders>
              <w:top w:val="single" w:sz="4" w:space="0" w:color="auto"/>
              <w:left w:val="single" w:sz="4" w:space="0" w:color="auto"/>
              <w:bottom w:val="single" w:sz="4" w:space="0" w:color="auto"/>
              <w:right w:val="single" w:sz="4" w:space="0" w:color="auto"/>
            </w:tcBorders>
            <w:noWrap/>
            <w:vAlign w:val="bottom"/>
            <w:hideMark/>
          </w:tcPr>
          <w:p w14:paraId="44DDC169" w14:textId="77777777" w:rsidR="00F41C4E" w:rsidRPr="00F41C4E" w:rsidRDefault="00F41C4E" w:rsidP="00F41C4E">
            <w:pPr>
              <w:rPr>
                <w:rFonts w:ascii="Aptos Narrow" w:hAnsi="Aptos Narrow"/>
                <w:b/>
                <w:bCs/>
                <w:color w:val="000000"/>
                <w:sz w:val="22"/>
                <w:szCs w:val="22"/>
                <w:lang w:eastAsia="ko-KR"/>
              </w:rPr>
            </w:pPr>
            <w:r w:rsidRPr="00F41C4E">
              <w:rPr>
                <w:rFonts w:ascii="Aptos Narrow" w:hAnsi="Aptos Narrow"/>
                <w:b/>
                <w:bCs/>
                <w:color w:val="000000"/>
                <w:sz w:val="22"/>
                <w:szCs w:val="22"/>
                <w:lang w:eastAsia="ko-KR"/>
              </w:rPr>
              <w:t>Issue of a summons</w:t>
            </w:r>
          </w:p>
        </w:tc>
        <w:tc>
          <w:tcPr>
            <w:tcW w:w="754" w:type="pct"/>
            <w:tcBorders>
              <w:top w:val="nil"/>
              <w:left w:val="single" w:sz="4" w:space="0" w:color="auto"/>
              <w:bottom w:val="single" w:sz="4" w:space="0" w:color="auto"/>
              <w:right w:val="nil"/>
            </w:tcBorders>
            <w:noWrap/>
            <w:vAlign w:val="bottom"/>
            <w:hideMark/>
          </w:tcPr>
          <w:p w14:paraId="0A51ABF2"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w:t>
            </w:r>
          </w:p>
        </w:tc>
        <w:tc>
          <w:tcPr>
            <w:tcW w:w="684" w:type="pct"/>
            <w:tcBorders>
              <w:top w:val="nil"/>
              <w:left w:val="nil"/>
              <w:bottom w:val="single" w:sz="4" w:space="0" w:color="auto"/>
              <w:right w:val="nil"/>
            </w:tcBorders>
            <w:noWrap/>
            <w:vAlign w:val="center"/>
            <w:hideMark/>
          </w:tcPr>
          <w:p w14:paraId="7A3E0B5F"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32.6</w:t>
            </w:r>
          </w:p>
        </w:tc>
        <w:tc>
          <w:tcPr>
            <w:tcW w:w="685" w:type="pct"/>
            <w:tcBorders>
              <w:top w:val="nil"/>
              <w:left w:val="nil"/>
              <w:bottom w:val="single" w:sz="4" w:space="0" w:color="auto"/>
              <w:right w:val="nil"/>
            </w:tcBorders>
            <w:noWrap/>
            <w:vAlign w:val="center"/>
            <w:hideMark/>
          </w:tcPr>
          <w:p w14:paraId="39473F03"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32.6</w:t>
            </w:r>
          </w:p>
        </w:tc>
        <w:tc>
          <w:tcPr>
            <w:tcW w:w="685" w:type="pct"/>
            <w:tcBorders>
              <w:top w:val="nil"/>
              <w:left w:val="nil"/>
              <w:bottom w:val="single" w:sz="4" w:space="0" w:color="auto"/>
              <w:right w:val="single" w:sz="4" w:space="0" w:color="auto"/>
            </w:tcBorders>
            <w:noWrap/>
            <w:vAlign w:val="center"/>
            <w:hideMark/>
          </w:tcPr>
          <w:p w14:paraId="7D492789" w14:textId="77777777" w:rsidR="00F41C4E" w:rsidRPr="00F41C4E" w:rsidRDefault="00F41C4E" w:rsidP="00F41C4E">
            <w:pPr>
              <w:jc w:val="center"/>
              <w:rPr>
                <w:rFonts w:ascii="Aptos Narrow" w:hAnsi="Aptos Narrow"/>
                <w:color w:val="000000"/>
                <w:sz w:val="22"/>
                <w:szCs w:val="22"/>
                <w:lang w:eastAsia="ko-KR"/>
              </w:rPr>
            </w:pPr>
            <w:r w:rsidRPr="00F41C4E">
              <w:rPr>
                <w:rFonts w:ascii="Aptos Narrow" w:hAnsi="Aptos Narrow"/>
                <w:color w:val="000000"/>
                <w:sz w:val="22"/>
                <w:szCs w:val="22"/>
                <w:lang w:eastAsia="ko-KR"/>
              </w:rPr>
              <w:t>-1.5</w:t>
            </w:r>
          </w:p>
        </w:tc>
      </w:tr>
    </w:tbl>
    <w:p w14:paraId="2641BEB0" w14:textId="77777777" w:rsidR="009B0F09" w:rsidRPr="001761B8" w:rsidRDefault="009B0F09" w:rsidP="005E6681">
      <w:pPr>
        <w:pStyle w:val="DJCSbody"/>
        <w:ind w:left="0"/>
        <w:rPr>
          <w:sz w:val="20"/>
          <w:szCs w:val="18"/>
        </w:rPr>
      </w:pPr>
    </w:p>
    <w:sectPr w:rsidR="009B0F09" w:rsidRPr="001761B8" w:rsidSect="00676460">
      <w:pgSz w:w="11906" w:h="16838" w:code="9"/>
      <w:pgMar w:top="1871" w:right="707" w:bottom="1588" w:left="851" w:header="283"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3D5A8" w14:textId="77777777" w:rsidR="007D389A" w:rsidRDefault="007D389A">
      <w:r>
        <w:separator/>
      </w:r>
    </w:p>
    <w:p w14:paraId="342857B0" w14:textId="77777777" w:rsidR="007D389A" w:rsidRDefault="007D389A"/>
  </w:endnote>
  <w:endnote w:type="continuationSeparator" w:id="0">
    <w:p w14:paraId="6D356594" w14:textId="77777777" w:rsidR="007D389A" w:rsidRDefault="007D389A">
      <w:r>
        <w:continuationSeparator/>
      </w:r>
    </w:p>
    <w:p w14:paraId="3486CF29" w14:textId="77777777" w:rsidR="007D389A" w:rsidRDefault="007D3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VIC">
    <w:altName w:val="Cambria"/>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BDC6F" w14:textId="0C781614" w:rsidR="00DC6466" w:rsidRDefault="00DC6466" w:rsidP="00E8487C">
    <w:pPr>
      <w:pStyle w:val="DJCSfooter"/>
      <w:tabs>
        <w:tab w:val="left" w:pos="567"/>
        <w:tab w:val="left" w:pos="1418"/>
        <w:tab w:val="left" w:pos="43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B1FC467" w14:paraId="0DBE546F" w14:textId="77777777" w:rsidTr="0B1FC467">
      <w:trPr>
        <w:trHeight w:val="300"/>
      </w:trPr>
      <w:tc>
        <w:tcPr>
          <w:tcW w:w="3400" w:type="dxa"/>
        </w:tcPr>
        <w:p w14:paraId="2AFE7CED" w14:textId="7E80C4B3" w:rsidR="0B1FC467" w:rsidRDefault="0B1FC467" w:rsidP="0B1FC467">
          <w:pPr>
            <w:pStyle w:val="Header"/>
            <w:ind w:left="-115"/>
          </w:pPr>
        </w:p>
      </w:tc>
      <w:tc>
        <w:tcPr>
          <w:tcW w:w="3400" w:type="dxa"/>
        </w:tcPr>
        <w:p w14:paraId="7CA1908A" w14:textId="1E33484C" w:rsidR="0B1FC467" w:rsidRDefault="0B1FC467" w:rsidP="0B1FC467">
          <w:pPr>
            <w:pStyle w:val="Header"/>
            <w:jc w:val="center"/>
          </w:pPr>
        </w:p>
      </w:tc>
      <w:tc>
        <w:tcPr>
          <w:tcW w:w="3400" w:type="dxa"/>
        </w:tcPr>
        <w:p w14:paraId="32781B1B" w14:textId="51B03185" w:rsidR="0B1FC467" w:rsidRDefault="0B1FC467" w:rsidP="0B1FC467">
          <w:pPr>
            <w:pStyle w:val="Header"/>
            <w:ind w:right="-115"/>
            <w:jc w:val="right"/>
          </w:pPr>
        </w:p>
      </w:tc>
    </w:tr>
  </w:tbl>
  <w:p w14:paraId="5CBCE3B4" w14:textId="5B2C56A1" w:rsidR="0086557C" w:rsidRDefault="008655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33349" w14:textId="77777777" w:rsidR="00B461C5" w:rsidRDefault="00B461C5" w:rsidP="00E8487C">
    <w:pPr>
      <w:pStyle w:val="DJCSfooter"/>
      <w:tabs>
        <w:tab w:val="left" w:pos="567"/>
        <w:tab w:val="left" w:pos="1418"/>
        <w:tab w:val="left" w:pos="439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B1FC467" w14:paraId="478EA231" w14:textId="77777777" w:rsidTr="0B1FC467">
      <w:trPr>
        <w:trHeight w:val="300"/>
      </w:trPr>
      <w:tc>
        <w:tcPr>
          <w:tcW w:w="3400" w:type="dxa"/>
        </w:tcPr>
        <w:p w14:paraId="12D3F34F" w14:textId="166B7987" w:rsidR="0B1FC467" w:rsidRDefault="0B1FC467" w:rsidP="0B1FC467">
          <w:pPr>
            <w:pStyle w:val="Header"/>
            <w:ind w:left="-115"/>
          </w:pPr>
        </w:p>
      </w:tc>
      <w:tc>
        <w:tcPr>
          <w:tcW w:w="3400" w:type="dxa"/>
        </w:tcPr>
        <w:p w14:paraId="76E1F5D9" w14:textId="2E6E7AA9" w:rsidR="0B1FC467" w:rsidRDefault="0B1FC467" w:rsidP="0B1FC467">
          <w:pPr>
            <w:pStyle w:val="Header"/>
            <w:jc w:val="center"/>
          </w:pPr>
        </w:p>
      </w:tc>
      <w:tc>
        <w:tcPr>
          <w:tcW w:w="3400" w:type="dxa"/>
        </w:tcPr>
        <w:p w14:paraId="3855D791" w14:textId="63AA7B0B" w:rsidR="0B1FC467" w:rsidRDefault="0B1FC467" w:rsidP="0B1FC467">
          <w:pPr>
            <w:pStyle w:val="Header"/>
            <w:ind w:right="-115"/>
            <w:jc w:val="right"/>
          </w:pPr>
        </w:p>
      </w:tc>
    </w:tr>
  </w:tbl>
  <w:p w14:paraId="3AC80F96" w14:textId="412458D3" w:rsidR="0086557C" w:rsidRDefault="008655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C6974" w14:textId="77777777" w:rsidR="00840B9F" w:rsidRDefault="00EA2EF1" w:rsidP="00840B9F">
    <w:pPr>
      <w:pStyle w:val="DJCSfooter"/>
      <w:tabs>
        <w:tab w:val="left" w:pos="567"/>
        <w:tab w:val="left" w:pos="1418"/>
        <w:tab w:val="left" w:pos="4536"/>
      </w:tabs>
    </w:pPr>
    <w:r>
      <w:rPr>
        <w:noProof/>
        <w:lang w:eastAsia="en-AU"/>
      </w:rPr>
      <w:drawing>
        <wp:anchor distT="0" distB="0" distL="114300" distR="114300" simplePos="0" relativeHeight="251658241" behindDoc="1" locked="0" layoutInCell="1" allowOverlap="1" wp14:anchorId="0F555E08" wp14:editId="5904FFDE">
          <wp:simplePos x="0" y="0"/>
          <wp:positionH relativeFrom="margin">
            <wp:posOffset>5012690</wp:posOffset>
          </wp:positionH>
          <wp:positionV relativeFrom="page">
            <wp:posOffset>9934575</wp:posOffset>
          </wp:positionV>
          <wp:extent cx="1562100" cy="428625"/>
          <wp:effectExtent l="0" t="0" r="0" b="9525"/>
          <wp:wrapNone/>
          <wp:docPr id="1" name="Picture 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CE8">
      <w:tab/>
    </w:r>
    <w:r w:rsidR="00216CE8">
      <w:tab/>
    </w:r>
    <w:r w:rsidR="00840B9F">
      <w:t>TRIM ID:</w:t>
    </w:r>
    <w:r w:rsidR="00216CE8">
      <w:t xml:space="preserve"> &lt;Enter TRIM ID&gt;</w:t>
    </w:r>
  </w:p>
  <w:p w14:paraId="15E65AEA" w14:textId="77777777" w:rsidR="000A12D5" w:rsidRDefault="00840B9F"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sidR="00705C12">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sidR="00705C12">
      <w:rPr>
        <w:bCs/>
        <w:noProof/>
      </w:rPr>
      <w:t>5</w:t>
    </w:r>
    <w:r w:rsidRPr="00424153">
      <w:rPr>
        <w:bCs/>
        <w:sz w:val="24"/>
        <w:szCs w:val="24"/>
      </w:rPr>
      <w:fldChar w:fldCharType="end"/>
    </w:r>
    <w:r>
      <w:tab/>
    </w:r>
    <w:r w:rsidR="00216CE8">
      <w:t>Date: &lt;Enter date&gt;</w:t>
    </w:r>
    <w:r>
      <w:t xml:space="preserve"> </w:t>
    </w:r>
    <w:r>
      <w:tab/>
    </w:r>
    <w:r w:rsidR="00216CE8">
      <w:t>&lt;Enter draft number or type final&gt;</w:t>
    </w:r>
    <w:r w:rsidR="000A12D5">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B1FC467" w14:paraId="46F7E0FA" w14:textId="77777777" w:rsidTr="0B1FC467">
      <w:trPr>
        <w:trHeight w:val="300"/>
      </w:trPr>
      <w:tc>
        <w:tcPr>
          <w:tcW w:w="3400" w:type="dxa"/>
        </w:tcPr>
        <w:p w14:paraId="10339359" w14:textId="367FB3C2" w:rsidR="0B1FC467" w:rsidRDefault="0B1FC467" w:rsidP="0B1FC467">
          <w:pPr>
            <w:pStyle w:val="Header"/>
            <w:ind w:left="-115"/>
          </w:pPr>
        </w:p>
      </w:tc>
      <w:tc>
        <w:tcPr>
          <w:tcW w:w="3400" w:type="dxa"/>
        </w:tcPr>
        <w:p w14:paraId="3120C59A" w14:textId="0953F1E8" w:rsidR="0B1FC467" w:rsidRDefault="0B1FC467" w:rsidP="0B1FC467">
          <w:pPr>
            <w:pStyle w:val="Header"/>
            <w:jc w:val="center"/>
          </w:pPr>
        </w:p>
      </w:tc>
      <w:tc>
        <w:tcPr>
          <w:tcW w:w="3400" w:type="dxa"/>
        </w:tcPr>
        <w:p w14:paraId="06FB90E7" w14:textId="2F120BAC" w:rsidR="0B1FC467" w:rsidRDefault="0B1FC467" w:rsidP="0B1FC467">
          <w:pPr>
            <w:pStyle w:val="Header"/>
            <w:ind w:right="-115"/>
            <w:jc w:val="right"/>
          </w:pPr>
        </w:p>
      </w:tc>
    </w:tr>
  </w:tbl>
  <w:p w14:paraId="261C29E2" w14:textId="6100B17D" w:rsidR="0086557C" w:rsidRDefault="0086557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42C0" w14:textId="554DFD21" w:rsidR="00705C12" w:rsidRDefault="00705C12" w:rsidP="00840B9F">
    <w:pPr>
      <w:pStyle w:val="DJCSfooter"/>
      <w:tabs>
        <w:tab w:val="left" w:pos="567"/>
        <w:tab w:val="left" w:pos="1418"/>
        <w:tab w:val="left" w:pos="4536"/>
      </w:tabs>
    </w:pPr>
    <w:r>
      <w:rPr>
        <w:noProof/>
        <w:lang w:eastAsia="en-AU"/>
      </w:rPr>
      <w:drawing>
        <wp:anchor distT="0" distB="0" distL="114300" distR="114300" simplePos="0" relativeHeight="251658243" behindDoc="1" locked="0" layoutInCell="1" allowOverlap="1" wp14:anchorId="2AF0B7A7" wp14:editId="5F5D4616">
          <wp:simplePos x="0" y="0"/>
          <wp:positionH relativeFrom="margin">
            <wp:posOffset>5009810</wp:posOffset>
          </wp:positionH>
          <wp:positionV relativeFrom="page">
            <wp:posOffset>9932108</wp:posOffset>
          </wp:positionV>
          <wp:extent cx="1562100" cy="426027"/>
          <wp:effectExtent l="0" t="0" r="0" b="6350"/>
          <wp:wrapNone/>
          <wp:docPr id="1245120500" name="Picture 1245120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562100" cy="42602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63B9D6A" w14:textId="53D8DA47" w:rsidR="00705C12" w:rsidRDefault="00705C12" w:rsidP="00840B9F">
    <w:pPr>
      <w:pStyle w:val="DJCSfooter"/>
      <w:tabs>
        <w:tab w:val="left" w:pos="567"/>
        <w:tab w:val="left" w:pos="1418"/>
        <w:tab w:val="left" w:pos="3969"/>
      </w:tabs>
    </w:pPr>
    <w:r>
      <w:t xml:space="preserve">Page </w:t>
    </w:r>
    <w:r w:rsidRPr="09BE0FCE">
      <w:fldChar w:fldCharType="begin"/>
    </w:r>
    <w:r w:rsidRPr="00424153">
      <w:rPr>
        <w:bCs/>
      </w:rPr>
      <w:instrText xml:space="preserve"> PAGE </w:instrText>
    </w:r>
    <w:r w:rsidRPr="09BE0FCE">
      <w:rPr>
        <w:bCs/>
        <w:sz w:val="24"/>
        <w:szCs w:val="24"/>
      </w:rPr>
      <w:fldChar w:fldCharType="separate"/>
    </w:r>
    <w:r w:rsidR="00AB0BB6">
      <w:rPr>
        <w:bCs/>
        <w:noProof/>
      </w:rPr>
      <w:t>4</w:t>
    </w:r>
    <w:r w:rsidRPr="09BE0FCE">
      <w:fldChar w:fldCharType="end"/>
    </w:r>
    <w:r>
      <w:t xml:space="preserve"> of </w:t>
    </w:r>
    <w:r w:rsidRPr="09BE0FCE">
      <w:fldChar w:fldCharType="begin"/>
    </w:r>
    <w:r w:rsidRPr="00424153">
      <w:rPr>
        <w:bCs/>
      </w:rPr>
      <w:instrText xml:space="preserve"> NUMPAGES  </w:instrText>
    </w:r>
    <w:r w:rsidRPr="09BE0FCE">
      <w:rPr>
        <w:bCs/>
        <w:sz w:val="24"/>
        <w:szCs w:val="24"/>
      </w:rPr>
      <w:fldChar w:fldCharType="separate"/>
    </w:r>
    <w:r w:rsidR="00AB0BB6">
      <w:rPr>
        <w:bCs/>
        <w:noProof/>
      </w:rPr>
      <w:t>4</w:t>
    </w:r>
    <w:r w:rsidRPr="09BE0FCE">
      <w:fldChar w:fldCharType="end"/>
    </w:r>
    <w:r>
      <w:tab/>
    </w: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B1FC467" w14:paraId="6B2F1877" w14:textId="77777777" w:rsidTr="0B1FC467">
      <w:trPr>
        <w:trHeight w:val="300"/>
      </w:trPr>
      <w:tc>
        <w:tcPr>
          <w:tcW w:w="3445" w:type="dxa"/>
        </w:tcPr>
        <w:p w14:paraId="37D54FDB" w14:textId="309EBCD9" w:rsidR="0B1FC467" w:rsidRDefault="0B1FC467" w:rsidP="0B1FC467">
          <w:pPr>
            <w:pStyle w:val="Header"/>
            <w:ind w:left="-115"/>
          </w:pPr>
        </w:p>
      </w:tc>
      <w:tc>
        <w:tcPr>
          <w:tcW w:w="3445" w:type="dxa"/>
        </w:tcPr>
        <w:p w14:paraId="4BEBCB38" w14:textId="5B56E6F0" w:rsidR="0B1FC467" w:rsidRDefault="0B1FC467" w:rsidP="0B1FC467">
          <w:pPr>
            <w:pStyle w:val="Header"/>
            <w:jc w:val="center"/>
          </w:pPr>
        </w:p>
      </w:tc>
      <w:tc>
        <w:tcPr>
          <w:tcW w:w="3445" w:type="dxa"/>
        </w:tcPr>
        <w:p w14:paraId="5748B208" w14:textId="67D40A71" w:rsidR="0B1FC467" w:rsidRDefault="0B1FC467" w:rsidP="0B1FC467">
          <w:pPr>
            <w:pStyle w:val="Header"/>
            <w:ind w:right="-115"/>
            <w:jc w:val="right"/>
          </w:pPr>
        </w:p>
      </w:tc>
    </w:tr>
  </w:tbl>
  <w:p w14:paraId="1FDA77E0" w14:textId="30A19D71" w:rsidR="0086557C" w:rsidRDefault="0086557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0B1FC467" w14:paraId="1298B762" w14:textId="77777777" w:rsidTr="0B1FC467">
      <w:trPr>
        <w:trHeight w:val="300"/>
      </w:trPr>
      <w:tc>
        <w:tcPr>
          <w:tcW w:w="3445" w:type="dxa"/>
        </w:tcPr>
        <w:p w14:paraId="3DA16E7C" w14:textId="36BE2333" w:rsidR="0B1FC467" w:rsidRDefault="0B1FC467" w:rsidP="0B1FC467">
          <w:pPr>
            <w:pStyle w:val="Header"/>
            <w:ind w:left="-115"/>
          </w:pPr>
        </w:p>
      </w:tc>
      <w:tc>
        <w:tcPr>
          <w:tcW w:w="3445" w:type="dxa"/>
        </w:tcPr>
        <w:p w14:paraId="4E05B505" w14:textId="37E1728A" w:rsidR="0B1FC467" w:rsidRDefault="0B1FC467" w:rsidP="0B1FC467">
          <w:pPr>
            <w:pStyle w:val="Header"/>
            <w:jc w:val="center"/>
          </w:pPr>
        </w:p>
      </w:tc>
      <w:tc>
        <w:tcPr>
          <w:tcW w:w="3445" w:type="dxa"/>
        </w:tcPr>
        <w:p w14:paraId="5A53166E" w14:textId="0DA9D81B" w:rsidR="0B1FC467" w:rsidRDefault="0B1FC467" w:rsidP="0B1FC467">
          <w:pPr>
            <w:pStyle w:val="Header"/>
            <w:ind w:right="-115"/>
            <w:jc w:val="right"/>
          </w:pPr>
        </w:p>
      </w:tc>
    </w:tr>
  </w:tbl>
  <w:p w14:paraId="11E97BF7" w14:textId="787BA61D" w:rsidR="0086557C" w:rsidRDefault="00865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CB4E9" w14:textId="77777777" w:rsidR="007D389A" w:rsidRDefault="007D389A">
      <w:r>
        <w:separator/>
      </w:r>
    </w:p>
    <w:p w14:paraId="49C55358" w14:textId="77777777" w:rsidR="007D389A" w:rsidRDefault="007D389A"/>
  </w:footnote>
  <w:footnote w:type="continuationSeparator" w:id="0">
    <w:p w14:paraId="56605B90" w14:textId="77777777" w:rsidR="007D389A" w:rsidRDefault="007D389A">
      <w:r>
        <w:continuationSeparator/>
      </w:r>
    </w:p>
    <w:p w14:paraId="49A583E5" w14:textId="77777777" w:rsidR="007D389A" w:rsidRDefault="007D389A"/>
  </w:footnote>
  <w:footnote w:id="1">
    <w:p w14:paraId="7AF00753" w14:textId="389F2D9E" w:rsidR="0091474E" w:rsidRPr="009F60DE" w:rsidRDefault="0091474E">
      <w:pPr>
        <w:pStyle w:val="FootnoteText"/>
      </w:pPr>
      <w:r>
        <w:rPr>
          <w:rStyle w:val="FootnoteReference"/>
        </w:rPr>
        <w:footnoteRef/>
      </w:r>
      <w:r>
        <w:t xml:space="preserve"> </w:t>
      </w:r>
      <w:r w:rsidR="00692B3A">
        <w:t>All statutory rules</w:t>
      </w:r>
      <w:r w:rsidR="00610A11">
        <w:t xml:space="preserve"> (</w:t>
      </w:r>
      <w:r w:rsidR="00061806">
        <w:t>which include regulations</w:t>
      </w:r>
      <w:r w:rsidR="00610A11">
        <w:t>)</w:t>
      </w:r>
      <w:r w:rsidR="00061806">
        <w:t xml:space="preserve"> </w:t>
      </w:r>
      <w:r w:rsidR="003C531C">
        <w:t xml:space="preserve">are </w:t>
      </w:r>
      <w:r w:rsidR="00061806">
        <w:t>automatically</w:t>
      </w:r>
      <w:r w:rsidR="00610A11">
        <w:t xml:space="preserve"> </w:t>
      </w:r>
      <w:r w:rsidR="003C531C">
        <w:t>revoked</w:t>
      </w:r>
      <w:r w:rsidR="00610A11">
        <w:t xml:space="preserve"> </w:t>
      </w:r>
      <w:r w:rsidR="009F60DE">
        <w:t xml:space="preserve">10 years after they are made (s 5 of the </w:t>
      </w:r>
      <w:r w:rsidR="009F60DE">
        <w:rPr>
          <w:i/>
          <w:iCs/>
        </w:rPr>
        <w:t>Subordinate Legislation Act 1994</w:t>
      </w:r>
      <w:r w:rsidR="009F60DE">
        <w:t>).</w:t>
      </w:r>
    </w:p>
  </w:footnote>
  <w:footnote w:id="2">
    <w:p w14:paraId="3209E569" w14:textId="0A7B4405" w:rsidR="00B74FFF" w:rsidRDefault="00B74FFF">
      <w:pPr>
        <w:pStyle w:val="FootnoteText"/>
      </w:pPr>
      <w:r>
        <w:rPr>
          <w:rStyle w:val="FootnoteReference"/>
        </w:rPr>
        <w:footnoteRef/>
      </w:r>
      <w:r>
        <w:t xml:space="preserve"> </w:t>
      </w:r>
      <w:r w:rsidRPr="009E37EA">
        <w:t>Under Standing Direction 3.8</w:t>
      </w:r>
      <w:r w:rsidR="000A5B9E">
        <w:t xml:space="preserve"> </w:t>
      </w:r>
      <w:r w:rsidR="000A5B9E" w:rsidRPr="000A5B9E">
        <w:t>https://www.dtf.vic.gov.au/standing-directions-2018-under-financial-management-act-1994</w:t>
      </w:r>
      <w:r w:rsidR="008C322B" w:rsidRPr="00703834">
        <w:t>.</w:t>
      </w:r>
    </w:p>
  </w:footnote>
  <w:footnote w:id="3">
    <w:p w14:paraId="5DE949A3" w14:textId="35ED1E27" w:rsidR="00D373FA" w:rsidRPr="008303F1" w:rsidRDefault="00D373FA" w:rsidP="00D373FA">
      <w:pPr>
        <w:pStyle w:val="FootnoteText"/>
        <w:rPr>
          <w:rFonts w:asciiTheme="minorHAnsi" w:hAnsiTheme="minorHAnsi" w:cstheme="minorHAnsi"/>
        </w:rPr>
      </w:pPr>
      <w:r w:rsidRPr="008303F1">
        <w:rPr>
          <w:rStyle w:val="FootnoteReference"/>
          <w:rFonts w:asciiTheme="minorHAnsi" w:hAnsiTheme="minorHAnsi" w:cstheme="minorHAnsi"/>
        </w:rPr>
        <w:footnoteRef/>
      </w:r>
      <w:r w:rsidRPr="008303F1">
        <w:rPr>
          <w:rFonts w:asciiTheme="minorHAnsi" w:hAnsiTheme="minorHAnsi" w:cstheme="minorHAnsi"/>
        </w:rPr>
        <w:t xml:space="preserve"> </w:t>
      </w:r>
      <w:r w:rsidR="00C920D7" w:rsidRPr="008303F1">
        <w:rPr>
          <w:rFonts w:asciiTheme="minorHAnsi" w:hAnsiTheme="minorHAnsi" w:cstheme="minorHAnsi"/>
        </w:rPr>
        <w:t xml:space="preserve">Numbers </w:t>
      </w:r>
      <w:r w:rsidR="00817AA9" w:rsidRPr="008303F1">
        <w:rPr>
          <w:rFonts w:asciiTheme="minorHAnsi" w:hAnsiTheme="minorHAnsi" w:cstheme="minorHAnsi"/>
        </w:rPr>
        <w:t>reflect</w:t>
      </w:r>
      <w:r w:rsidR="00516A6B" w:rsidRPr="008303F1">
        <w:rPr>
          <w:rFonts w:asciiTheme="minorHAnsi" w:hAnsiTheme="minorHAnsi" w:cstheme="minorHAnsi"/>
        </w:rPr>
        <w:t xml:space="preserve"> </w:t>
      </w:r>
      <w:r w:rsidR="00CB5C94" w:rsidRPr="008303F1">
        <w:rPr>
          <w:rFonts w:asciiTheme="minorHAnsi" w:hAnsiTheme="minorHAnsi" w:cstheme="minorHAnsi"/>
        </w:rPr>
        <w:t>respective</w:t>
      </w:r>
      <w:r w:rsidR="00516A6B" w:rsidRPr="008303F1">
        <w:rPr>
          <w:rFonts w:asciiTheme="minorHAnsi" w:hAnsiTheme="minorHAnsi" w:cstheme="minorHAnsi"/>
        </w:rPr>
        <w:t xml:space="preserve"> pri</w:t>
      </w:r>
      <w:r w:rsidR="00CB5C94" w:rsidRPr="008303F1">
        <w:rPr>
          <w:rFonts w:asciiTheme="minorHAnsi" w:hAnsiTheme="minorHAnsi" w:cstheme="minorHAnsi"/>
        </w:rPr>
        <w:t>cing principle from the</w:t>
      </w:r>
      <w:r w:rsidR="00817AA9" w:rsidRPr="008303F1">
        <w:rPr>
          <w:rFonts w:asciiTheme="minorHAnsi" w:hAnsiTheme="minorHAnsi" w:cstheme="minorHAnsi"/>
        </w:rPr>
        <w:t xml:space="preserve"> </w:t>
      </w:r>
      <w:r w:rsidRPr="008303F1">
        <w:rPr>
          <w:rFonts w:asciiTheme="minorHAnsi" w:hAnsiTheme="minorHAnsi" w:cstheme="minorHAnsi"/>
          <w:i/>
          <w:iCs/>
        </w:rPr>
        <w:t>Pricing for Value Guide</w:t>
      </w:r>
      <w:r w:rsidRPr="008303F1">
        <w:rPr>
          <w:rFonts w:asciiTheme="minorHAnsi" w:hAnsiTheme="minorHAnsi" w:cstheme="minorHAnsi"/>
        </w:rPr>
        <w:t>.</w:t>
      </w:r>
    </w:p>
  </w:footnote>
  <w:footnote w:id="4">
    <w:p w14:paraId="72885A4C" w14:textId="12DAB6B5" w:rsidR="007046BD" w:rsidRDefault="007046BD">
      <w:pPr>
        <w:pStyle w:val="FootnoteText"/>
      </w:pPr>
      <w:r>
        <w:rPr>
          <w:rStyle w:val="FootnoteReference"/>
        </w:rPr>
        <w:footnoteRef/>
      </w:r>
      <w:r>
        <w:t xml:space="preserve"> </w:t>
      </w:r>
      <w:r w:rsidR="00B418A5">
        <w:t>Figures</w:t>
      </w:r>
      <w:r w:rsidR="00B418A5" w:rsidDel="00CB6A30">
        <w:t xml:space="preserve"> </w:t>
      </w:r>
      <w:r w:rsidR="00B418A5">
        <w:t>in bold represent weighted values, meaning they will not add up to the figures in the rows above.</w:t>
      </w:r>
    </w:p>
  </w:footnote>
  <w:footnote w:id="5">
    <w:p w14:paraId="4A8C6DCD" w14:textId="668062C0" w:rsidR="00112406" w:rsidRDefault="00112406" w:rsidP="00112406">
      <w:pPr>
        <w:pStyle w:val="FootnoteText"/>
        <w:spacing w:before="0" w:after="40" w:line="240" w:lineRule="auto"/>
      </w:pPr>
      <w:r>
        <w:rPr>
          <w:rStyle w:val="FootnoteReference"/>
        </w:rPr>
        <w:footnoteRef/>
      </w:r>
      <w:r>
        <w:t xml:space="preserve"> The Criminal Division of the Children’s </w:t>
      </w:r>
      <w:r w:rsidR="00053309">
        <w:t>C</w:t>
      </w:r>
      <w:r>
        <w:t>ourt hears all charges except offences resulting in death or attempted murder, which must be heard in an adult court. The Family Division of the Children’s Court hears protection applications, breaches of welfare orders, changes to welfare orders, irreconcilable differences applications and applications for permanent care. Applications for family violence and personal safety intervention orders are also held in this division.</w:t>
      </w:r>
    </w:p>
  </w:footnote>
  <w:footnote w:id="6">
    <w:p w14:paraId="11861693" w14:textId="7C7FB794" w:rsidR="008117D6" w:rsidRDefault="008117D6">
      <w:pPr>
        <w:pStyle w:val="FootnoteText"/>
      </w:pPr>
      <w:r>
        <w:rPr>
          <w:rStyle w:val="FootnoteReference"/>
        </w:rPr>
        <w:footnoteRef/>
      </w:r>
      <w:r>
        <w:t xml:space="preserve"> More information on fee relief </w:t>
      </w:r>
      <w:r w:rsidR="00691391">
        <w:t xml:space="preserve">provided by VCAT is outlined here </w:t>
      </w:r>
      <w:r w:rsidR="00691391" w:rsidRPr="00691391">
        <w:t>https://www.vcat.vic.gov.au/fees/concessions-fee-relief</w:t>
      </w:r>
    </w:p>
  </w:footnote>
  <w:footnote w:id="7">
    <w:p w14:paraId="7CBB3875" w14:textId="6925E249" w:rsidR="001639D4" w:rsidRDefault="001639D4">
      <w:pPr>
        <w:pStyle w:val="FootnoteText"/>
      </w:pPr>
      <w:r>
        <w:rPr>
          <w:rStyle w:val="FootnoteReference"/>
        </w:rPr>
        <w:footnoteRef/>
      </w:r>
      <w:r>
        <w:t xml:space="preserve"> Ibid.</w:t>
      </w:r>
    </w:p>
  </w:footnote>
  <w:footnote w:id="8">
    <w:p w14:paraId="34EBA8A2" w14:textId="1CFB2823" w:rsidR="0005606B" w:rsidRDefault="0005606B">
      <w:pPr>
        <w:pStyle w:val="FootnoteText"/>
      </w:pPr>
      <w:r>
        <w:rPr>
          <w:rStyle w:val="FootnoteReference"/>
        </w:rPr>
        <w:footnoteRef/>
      </w:r>
      <w:r>
        <w:t xml:space="preserve"> Data taken from </w:t>
      </w:r>
      <w:hyperlink r:id="rId1" w:history="1">
        <w:r w:rsidR="00CE535C" w:rsidRPr="00A1456B">
          <w:rPr>
            <w:rStyle w:val="Hyperlink"/>
          </w:rPr>
          <w:t>https://courts.vic.gov.au/resources/caseload-data</w:t>
        </w:r>
      </w:hyperlink>
      <w:r w:rsidR="00CE535C">
        <w:t xml:space="preserve"> as of 2 September 2025</w:t>
      </w:r>
    </w:p>
  </w:footnote>
  <w:footnote w:id="9">
    <w:p w14:paraId="4904FA6B" w14:textId="2BF13824" w:rsidR="00085043" w:rsidRPr="00703834" w:rsidRDefault="00085043">
      <w:pPr>
        <w:pStyle w:val="FootnoteText"/>
        <w:rPr>
          <w:i/>
          <w:iCs/>
        </w:rPr>
      </w:pPr>
      <w:r>
        <w:rPr>
          <w:rStyle w:val="FootnoteReference"/>
        </w:rPr>
        <w:footnoteRef/>
      </w:r>
      <w:r>
        <w:t xml:space="preserve"> </w:t>
      </w:r>
      <w:r w:rsidR="003F1BD3">
        <w:t>Proceedings related to sections 77,79,80,82,</w:t>
      </w:r>
      <w:r w:rsidR="004C3295">
        <w:t xml:space="preserve">82B and 87A of the </w:t>
      </w:r>
      <w:r w:rsidR="004C3295" w:rsidRPr="00703834">
        <w:rPr>
          <w:i/>
          <w:iCs/>
        </w:rPr>
        <w:t>Planning and Environment Act 1987</w:t>
      </w:r>
    </w:p>
  </w:footnote>
  <w:footnote w:id="10">
    <w:p w14:paraId="3F967366" w14:textId="2563E02B" w:rsidR="00323981" w:rsidRDefault="00323981">
      <w:pPr>
        <w:pStyle w:val="FootnoteText"/>
      </w:pPr>
      <w:r>
        <w:rPr>
          <w:rStyle w:val="FootnoteReference"/>
        </w:rPr>
        <w:footnoteRef/>
      </w:r>
      <w:r>
        <w:t xml:space="preserve"> VCAT does not retain all revenue that it generates</w:t>
      </w:r>
      <w:r w:rsidR="00D1294B">
        <w:t>, with revenue</w:t>
      </w:r>
      <w:r w:rsidR="0076330C">
        <w:t xml:space="preserve"> also</w:t>
      </w:r>
      <w:r w:rsidR="00D1294B">
        <w:t xml:space="preserve"> remitted to CAV</w:t>
      </w:r>
      <w:r w:rsidR="00796342">
        <w:t>, retained by government</w:t>
      </w:r>
      <w:r w:rsidR="002D5E97">
        <w:t>,</w:t>
      </w:r>
      <w:r w:rsidR="00D1294B">
        <w:t xml:space="preserve"> or paid </w:t>
      </w:r>
      <w:r w:rsidR="0076330C">
        <w:t>to the Guardianship Administration Fund</w:t>
      </w:r>
    </w:p>
  </w:footnote>
  <w:footnote w:id="11">
    <w:p w14:paraId="4AF0838C" w14:textId="2E491255" w:rsidR="00330D85" w:rsidRDefault="00330D85">
      <w:pPr>
        <w:pStyle w:val="FootnoteText"/>
      </w:pPr>
      <w:r>
        <w:rPr>
          <w:rStyle w:val="FootnoteReference"/>
        </w:rPr>
        <w:footnoteRef/>
      </w:r>
      <w:r>
        <w:t xml:space="preserve"> </w:t>
      </w:r>
      <w:r w:rsidR="00D75C60">
        <w:t>This only includes</w:t>
      </w:r>
      <w:r w:rsidR="009D483B">
        <w:t xml:space="preserve"> matters under the </w:t>
      </w:r>
      <w:r w:rsidR="009D483B" w:rsidRPr="007F6134">
        <w:rPr>
          <w:i/>
          <w:iCs/>
        </w:rPr>
        <w:t>Domestic Building</w:t>
      </w:r>
      <w:r w:rsidR="00D31505">
        <w:rPr>
          <w:i/>
          <w:iCs/>
        </w:rPr>
        <w:t xml:space="preserve"> Contracts</w:t>
      </w:r>
      <w:r w:rsidR="009D483B" w:rsidRPr="007F6134">
        <w:rPr>
          <w:i/>
          <w:iCs/>
        </w:rPr>
        <w:t xml:space="preserve"> Act</w:t>
      </w:r>
      <w:r w:rsidR="007F6134" w:rsidRPr="007F6134">
        <w:rPr>
          <w:i/>
          <w:iCs/>
        </w:rPr>
        <w:t xml:space="preserve"> 1995</w:t>
      </w:r>
      <w:r w:rsidR="00D31505">
        <w:rPr>
          <w:i/>
          <w:iCs/>
        </w:rPr>
        <w:t>.</w:t>
      </w:r>
    </w:p>
  </w:footnote>
  <w:footnote w:id="12">
    <w:p w14:paraId="3A56D9BA" w14:textId="207BE08A" w:rsidR="00A05E4F" w:rsidRDefault="00A05E4F">
      <w:pPr>
        <w:pStyle w:val="FootnoteText"/>
      </w:pPr>
      <w:r>
        <w:rPr>
          <w:rStyle w:val="FootnoteReference"/>
        </w:rPr>
        <w:footnoteRef/>
      </w:r>
      <w:r>
        <w:t xml:space="preserve"> The guide and the associated principles are outlined in th</w:t>
      </w:r>
      <w:r w:rsidR="00B205EF">
        <w:t xml:space="preserve">e following webpage: </w:t>
      </w:r>
      <w:r w:rsidRPr="00A05E4F">
        <w:t>https://www.dtf.vic.gov.au/pricing-value</w:t>
      </w:r>
    </w:p>
  </w:footnote>
  <w:footnote w:id="13">
    <w:p w14:paraId="692282E6" w14:textId="7E45DBE1" w:rsidR="008474AF" w:rsidRDefault="008474AF">
      <w:pPr>
        <w:pStyle w:val="FootnoteText"/>
      </w:pPr>
      <w:r>
        <w:rPr>
          <w:rStyle w:val="FootnoteReference"/>
        </w:rPr>
        <w:footnoteRef/>
      </w:r>
      <w:r>
        <w:t xml:space="preserve"> </w:t>
      </w:r>
      <w:r w:rsidR="009D185C">
        <w:t xml:space="preserve">This includes </w:t>
      </w:r>
      <w:r w:rsidR="0004670D">
        <w:t xml:space="preserve">the move to the new Operating Model Improvement Program (see section 3.3.4) and a greater focus on </w:t>
      </w:r>
      <w:r w:rsidR="009566DD">
        <w:t xml:space="preserve">directing matters to </w:t>
      </w:r>
      <w:r w:rsidR="001A01C1">
        <w:t>dispute resolution</w:t>
      </w:r>
      <w:r w:rsidR="0004670D">
        <w:t>.</w:t>
      </w:r>
    </w:p>
  </w:footnote>
  <w:footnote w:id="14">
    <w:p w14:paraId="23194F59" w14:textId="12498688" w:rsidR="00F04D79" w:rsidRDefault="00F04D79">
      <w:pPr>
        <w:pStyle w:val="FootnoteText"/>
      </w:pPr>
      <w:r>
        <w:rPr>
          <w:rStyle w:val="FootnoteReference"/>
        </w:rPr>
        <w:footnoteRef/>
      </w:r>
      <w:r>
        <w:t xml:space="preserve"> Source</w:t>
      </w:r>
      <w:r w:rsidR="00070B50">
        <w:t>d</w:t>
      </w:r>
      <w:r>
        <w:t xml:space="preserve"> from the VCAT 202</w:t>
      </w:r>
      <w:r w:rsidR="00A90927">
        <w:t>3-24 Annual Report</w:t>
      </w:r>
      <w:r w:rsidR="001E5479">
        <w:t>.</w:t>
      </w:r>
    </w:p>
  </w:footnote>
  <w:footnote w:id="15">
    <w:p w14:paraId="29C47A5A" w14:textId="1C425455" w:rsidR="00070B50" w:rsidRDefault="00070B50">
      <w:pPr>
        <w:pStyle w:val="FootnoteText"/>
      </w:pPr>
      <w:r>
        <w:rPr>
          <w:rStyle w:val="FootnoteReference"/>
        </w:rPr>
        <w:footnoteRef/>
      </w:r>
      <w:r>
        <w:t xml:space="preserve"> Sourced from the </w:t>
      </w:r>
      <w:r w:rsidR="00B76B54">
        <w:t>Court Services Victoria Annual Reports 2019-20 to 2023-24</w:t>
      </w:r>
      <w:r w:rsidR="001E5479">
        <w:t>.</w:t>
      </w:r>
    </w:p>
  </w:footnote>
  <w:footnote w:id="16">
    <w:p w14:paraId="5F953DC3" w14:textId="7457B79B" w:rsidR="001E65B3" w:rsidRDefault="001E65B3">
      <w:pPr>
        <w:pStyle w:val="FootnoteText"/>
      </w:pPr>
      <w:r>
        <w:rPr>
          <w:rStyle w:val="FootnoteReference"/>
        </w:rPr>
        <w:footnoteRef/>
      </w:r>
      <w:r>
        <w:t xml:space="preserve"> </w:t>
      </w:r>
      <w:r w:rsidR="00304DFA" w:rsidRPr="00304DFA">
        <w:t>Court Services Victoria (CSV) is the administrative body that supports the operation of Victoria’s courts and tribunals, ensuring they function independently and effectively. CSV provides corporate and operational services to the Supreme Court of Victoria, County Court of Victoria, Magistrates’ Court of Victoria, Children’s Court of Victoria, Coroners Court of Victoria, and the Victorian Civil and Administrative Tribunal (VCAT), as well as the Judicial College of Victoria and the Judicial Commission of Victoria. CSV’s responsibilities include managing court facilities, technology services, human resources, finance, and asset management.</w:t>
      </w:r>
    </w:p>
  </w:footnote>
  <w:footnote w:id="17">
    <w:p w14:paraId="13680A95" w14:textId="07E08F43" w:rsidR="006C765C" w:rsidRDefault="006C765C">
      <w:pPr>
        <w:pStyle w:val="FootnoteText"/>
      </w:pPr>
      <w:r>
        <w:rPr>
          <w:rStyle w:val="FootnoteReference"/>
        </w:rPr>
        <w:footnoteRef/>
      </w:r>
      <w:r>
        <w:t xml:space="preserve"> </w:t>
      </w:r>
      <w:r w:rsidRPr="006C765C">
        <w:t xml:space="preserve">When viewed in aggregate, the </w:t>
      </w:r>
      <w:r w:rsidR="00703ED7">
        <w:t>hearing</w:t>
      </w:r>
      <w:r w:rsidR="00A5342B" w:rsidRPr="006C765C">
        <w:t xml:space="preserve"> </w:t>
      </w:r>
      <w:r w:rsidRPr="006C765C">
        <w:t xml:space="preserve">stage </w:t>
      </w:r>
      <w:r>
        <w:t xml:space="preserve">was identified to cost approximately </w:t>
      </w:r>
      <w:r w:rsidRPr="006C765C">
        <w:t>($</w:t>
      </w:r>
      <w:r w:rsidR="00F04031">
        <w:t>2</w:t>
      </w:r>
      <w:r w:rsidR="00B715C4">
        <w:t>4</w:t>
      </w:r>
      <w:r w:rsidR="00CD01A9">
        <w:t>.</w:t>
      </w:r>
      <w:r w:rsidR="00B715C4">
        <w:t>037</w:t>
      </w:r>
      <w:r w:rsidR="00CD01A9">
        <w:t xml:space="preserve"> million</w:t>
      </w:r>
      <w:r w:rsidRPr="006C765C">
        <w:t xml:space="preserve">) </w:t>
      </w:r>
      <w:r w:rsidR="00466C12">
        <w:t>and</w:t>
      </w:r>
      <w:r w:rsidR="00A5342B" w:rsidRPr="006C765C">
        <w:t xml:space="preserve"> </w:t>
      </w:r>
      <w:r w:rsidRPr="006C765C">
        <w:t xml:space="preserve">is the single largest cost driver across all lists, followed by </w:t>
      </w:r>
      <w:r w:rsidR="002A1795">
        <w:t>pre-hearing case management</w:t>
      </w:r>
      <w:r w:rsidR="00A5342B" w:rsidRPr="006C765C">
        <w:t xml:space="preserve"> ($</w:t>
      </w:r>
      <w:r w:rsidR="008D66FA">
        <w:t>2</w:t>
      </w:r>
      <w:r w:rsidR="002A1795">
        <w:t>2</w:t>
      </w:r>
      <w:r w:rsidR="008D66FA">
        <w:t>.</w:t>
      </w:r>
      <w:r w:rsidR="002A1795">
        <w:t>526</w:t>
      </w:r>
      <w:r w:rsidR="008D66FA">
        <w:t xml:space="preserve"> million</w:t>
      </w:r>
      <w:r w:rsidRPr="006C765C">
        <w:t xml:space="preserve">) and </w:t>
      </w:r>
      <w:r w:rsidR="00D54F28">
        <w:t>administrative processing</w:t>
      </w:r>
      <w:r w:rsidR="00A5342B" w:rsidRPr="006C765C">
        <w:t xml:space="preserve"> ($1</w:t>
      </w:r>
      <w:r w:rsidR="00703ED7">
        <w:t>8</w:t>
      </w:r>
      <w:r w:rsidR="008D66FA">
        <w:t>.</w:t>
      </w:r>
      <w:r w:rsidR="00703ED7">
        <w:t>851</w:t>
      </w:r>
      <w:r w:rsidR="009178B0">
        <w:t xml:space="preserve"> million</w:t>
      </w:r>
      <w:r w:rsidRPr="006C765C">
        <w:t>).</w:t>
      </w:r>
    </w:p>
  </w:footnote>
  <w:footnote w:id="18">
    <w:p w14:paraId="29625112" w14:textId="3B41F21F" w:rsidR="00275301" w:rsidRDefault="00275301">
      <w:pPr>
        <w:pStyle w:val="FootnoteText"/>
      </w:pPr>
      <w:r>
        <w:rPr>
          <w:rStyle w:val="FootnoteReference"/>
        </w:rPr>
        <w:footnoteRef/>
      </w:r>
      <w:r>
        <w:t xml:space="preserve"> </w:t>
      </w:r>
      <w:r w:rsidR="000E4221" w:rsidRPr="000E4221">
        <w:t>Meringnage v Interstate Enterprises Pty Ltd [2020] VSCA 30; (2020) 60 VR 361</w:t>
      </w:r>
    </w:p>
  </w:footnote>
  <w:footnote w:id="19">
    <w:p w14:paraId="4D1BA31A" w14:textId="4EB8B2D7" w:rsidR="000E4221" w:rsidRDefault="000E4221">
      <w:pPr>
        <w:pStyle w:val="FootnoteText"/>
      </w:pPr>
      <w:r>
        <w:rPr>
          <w:rStyle w:val="FootnoteReference"/>
        </w:rPr>
        <w:footnoteRef/>
      </w:r>
      <w:r>
        <w:t xml:space="preserve"> </w:t>
      </w:r>
      <w:r w:rsidR="00DE7BD1" w:rsidRPr="00DE7BD1">
        <w:t>Thurin v Krongold Constructions (Aust) Pty Ltd [2022] VSCA 226</w:t>
      </w:r>
    </w:p>
  </w:footnote>
  <w:footnote w:id="20">
    <w:p w14:paraId="28DFC482" w14:textId="2758C868" w:rsidR="00DA096D" w:rsidRDefault="00DA096D">
      <w:pPr>
        <w:pStyle w:val="FootnoteText"/>
      </w:pPr>
      <w:r>
        <w:rPr>
          <w:rStyle w:val="FootnoteReference"/>
        </w:rPr>
        <w:footnoteRef/>
      </w:r>
      <w:r>
        <w:t xml:space="preserve"> More information on the Fast Track List is available at </w:t>
      </w:r>
      <w:r w:rsidRPr="00DA096D">
        <w:t>https://www.vcat.vic.gov.au/news/fast-track-cases-be-introduced</w:t>
      </w:r>
    </w:p>
  </w:footnote>
  <w:footnote w:id="21">
    <w:p w14:paraId="4ADAA8AF" w14:textId="550C9480" w:rsidR="00CF0FEF" w:rsidRDefault="00CF0FEF">
      <w:pPr>
        <w:pStyle w:val="FootnoteText"/>
      </w:pPr>
      <w:r>
        <w:rPr>
          <w:rStyle w:val="FootnoteReference"/>
        </w:rPr>
        <w:footnoteRef/>
      </w:r>
      <w:r>
        <w:t xml:space="preserve"> </w:t>
      </w:r>
      <w:r w:rsidR="001E019A">
        <w:t>Access to Justice</w:t>
      </w:r>
      <w:r w:rsidR="007C7984">
        <w:t xml:space="preserve"> Arrangements</w:t>
      </w:r>
      <w:r w:rsidR="001E019A">
        <w:t>, Productivity Commission</w:t>
      </w:r>
      <w:r w:rsidR="007C7984">
        <w:t>,</w:t>
      </w:r>
      <w:r w:rsidR="001E019A">
        <w:t xml:space="preserve"> 2014, </w:t>
      </w:r>
      <w:r w:rsidR="001E019A" w:rsidRPr="001E019A">
        <w:t>https://www.pc.gov.au/inquiries-and-research/access-justice/report/</w:t>
      </w:r>
    </w:p>
  </w:footnote>
  <w:footnote w:id="22">
    <w:p w14:paraId="45DAF93D" w14:textId="1B92C39B" w:rsidR="00A352DF" w:rsidRDefault="00A352DF">
      <w:pPr>
        <w:pStyle w:val="FootnoteText"/>
      </w:pPr>
      <w:r>
        <w:rPr>
          <w:rStyle w:val="FootnoteReference"/>
        </w:rPr>
        <w:footnoteRef/>
      </w:r>
      <w:r>
        <w:t xml:space="preserve"> </w:t>
      </w:r>
      <w:r w:rsidR="004346DA" w:rsidRPr="004346DA">
        <w:t>Department of Families, Fairness and Housing, Victorian Concessions (a guide to discounts and services for eligible households in Victoria), 13, 27 and 31; Public Transport Victoria, https://www.ptv.vic.gov.au/tickets/myki/concessions-and-free-travel/pensioners/#:~:text=If%20you%20have%20a%20Pensioner,be%20redeemed%20for%20travel%20on; State Revenue Office of Victoria, https://www.sro.vic.gov.au/land-transfer-duty/pensioner-and-concession-cardholder-duty-reduction/contracts-signed-or-after-1-july-2023.</w:t>
      </w:r>
    </w:p>
  </w:footnote>
  <w:footnote w:id="23">
    <w:p w14:paraId="7A188FD8" w14:textId="77777777" w:rsidR="001352E2" w:rsidRDefault="001352E2" w:rsidP="001352E2">
      <w:pPr>
        <w:pStyle w:val="FootnoteText"/>
      </w:pPr>
      <w:r>
        <w:rPr>
          <w:rStyle w:val="FootnoteReference"/>
        </w:rPr>
        <w:footnoteRef/>
      </w:r>
      <w:r>
        <w:t xml:space="preserve"> Department of Veterans’ Affairs, </w:t>
      </w:r>
      <w:hyperlink r:id="rId2" w:history="1">
        <w:r w:rsidRPr="00E36BF2">
          <w:rPr>
            <w:rStyle w:val="Hyperlink"/>
          </w:rPr>
          <w:t>https://www.dva.gov.au/get-support/health-support/veteran-healthcare-cards/veteran-gold-card</w:t>
        </w:r>
      </w:hyperlink>
      <w:r>
        <w:t xml:space="preserve">. </w:t>
      </w:r>
    </w:p>
  </w:footnote>
  <w:footnote w:id="24">
    <w:p w14:paraId="0BD0894A" w14:textId="77777777" w:rsidR="000C622D" w:rsidRDefault="000C622D" w:rsidP="000C622D">
      <w:pPr>
        <w:pStyle w:val="FootnoteText"/>
      </w:pPr>
      <w:r>
        <w:rPr>
          <w:rStyle w:val="FootnoteReference"/>
        </w:rPr>
        <w:footnoteRef/>
      </w:r>
      <w:r>
        <w:t xml:space="preserve"> </w:t>
      </w:r>
      <w:r w:rsidRPr="00833A9A">
        <w:t>Victorian Government, Access to Justice Review, 79.</w:t>
      </w:r>
    </w:p>
  </w:footnote>
  <w:footnote w:id="25">
    <w:p w14:paraId="5A2F9799" w14:textId="77777777" w:rsidR="000C622D" w:rsidRDefault="000C622D" w:rsidP="000C622D">
      <w:pPr>
        <w:pStyle w:val="FootnoteText"/>
      </w:pPr>
      <w:r>
        <w:rPr>
          <w:rStyle w:val="FootnoteReference"/>
        </w:rPr>
        <w:footnoteRef/>
      </w:r>
      <w:r>
        <w:t xml:space="preserve"> Law Council of Australia, The Justice Project Report (Overarching Themes), 10. </w:t>
      </w:r>
    </w:p>
  </w:footnote>
  <w:footnote w:id="26">
    <w:p w14:paraId="01603124" w14:textId="04B5F564" w:rsidR="00F45A18" w:rsidRDefault="00F45A18">
      <w:pPr>
        <w:pStyle w:val="FootnoteText"/>
      </w:pPr>
      <w:r>
        <w:rPr>
          <w:rStyle w:val="FootnoteReference"/>
        </w:rPr>
        <w:footnoteRef/>
      </w:r>
      <w:r>
        <w:t xml:space="preserve"> Law Council of Australia, The Justice Project Report, 3.</w:t>
      </w:r>
    </w:p>
  </w:footnote>
  <w:footnote w:id="27">
    <w:p w14:paraId="7FCADDBD" w14:textId="16AF589F" w:rsidR="00D078B6" w:rsidRDefault="00D078B6">
      <w:pPr>
        <w:pStyle w:val="FootnoteText"/>
      </w:pPr>
      <w:r>
        <w:rPr>
          <w:rStyle w:val="FootnoteReference"/>
        </w:rPr>
        <w:footnoteRef/>
      </w:r>
      <w:r>
        <w:t xml:space="preserve"> </w:t>
      </w:r>
      <w:r w:rsidR="00043364" w:rsidRPr="00043364">
        <w:t>Crime Statistics Agency (Vic), Media Release: Property and Deception Offences Continue to Rise alongside New Peak in Family Incidents (Media Release, 19 September 2024) https://www.crimestatistics.vic.gov.au/index.php/media-centre/news/media-release-property-and-deception-offences-continue-to-rise-alongside-new-peak</w:t>
      </w:r>
    </w:p>
  </w:footnote>
  <w:footnote w:id="28">
    <w:p w14:paraId="5733F9E4" w14:textId="56B8713F" w:rsidR="00C23033" w:rsidRDefault="00C23033" w:rsidP="00C23033">
      <w:pPr>
        <w:pStyle w:val="FootnoteText"/>
      </w:pPr>
      <w:r>
        <w:rPr>
          <w:rStyle w:val="FootnoteReference"/>
        </w:rPr>
        <w:footnoteRef/>
      </w:r>
      <w:r>
        <w:t xml:space="preserve"> </w:t>
      </w:r>
      <w:r w:rsidR="00043364">
        <w:t xml:space="preserve">Ibid. </w:t>
      </w:r>
    </w:p>
  </w:footnote>
  <w:footnote w:id="29">
    <w:p w14:paraId="1BE16ADA" w14:textId="77777777" w:rsidR="004F2D39" w:rsidRPr="00F614CF" w:rsidRDefault="004F2D39" w:rsidP="004F2D39">
      <w:pPr>
        <w:pStyle w:val="FootnoteText"/>
        <w:rPr>
          <w:rFonts w:ascii="VIC" w:hAnsi="VIC"/>
        </w:rPr>
      </w:pPr>
      <w:r w:rsidRPr="00F614CF">
        <w:rPr>
          <w:rStyle w:val="FootnoteReference"/>
          <w:rFonts w:ascii="VIC" w:hAnsi="VIC"/>
        </w:rPr>
        <w:footnoteRef/>
      </w:r>
      <w:r w:rsidRPr="00F614CF">
        <w:rPr>
          <w:rFonts w:ascii="VIC" w:hAnsi="VIC"/>
        </w:rPr>
        <w:t xml:space="preserve"> The numbers prefacing individual Pricing Principles refer to the respective numbering of these principles within the </w:t>
      </w:r>
      <w:r w:rsidRPr="00F614CF">
        <w:rPr>
          <w:rFonts w:ascii="VIC" w:hAnsi="VIC"/>
          <w:i/>
          <w:iCs/>
        </w:rPr>
        <w:t>Pricing for Value Guide</w:t>
      </w:r>
      <w:r w:rsidRPr="00F614CF">
        <w:rPr>
          <w:rFonts w:ascii="VIC" w:hAnsi="VIC"/>
        </w:rPr>
        <w:t>.</w:t>
      </w:r>
    </w:p>
  </w:footnote>
  <w:footnote w:id="30">
    <w:p w14:paraId="27A738CC" w14:textId="01E0C322" w:rsidR="006078CF" w:rsidRDefault="006078CF">
      <w:pPr>
        <w:pStyle w:val="FootnoteText"/>
      </w:pPr>
      <w:r>
        <w:rPr>
          <w:rStyle w:val="FootnoteReference"/>
        </w:rPr>
        <w:footnoteRef/>
      </w:r>
      <w:r w:rsidR="000F6EEE">
        <w:t xml:space="preserve"> All Groups Melbourne Consumer Price Index</w:t>
      </w:r>
      <w:r w:rsidR="00EF2BD2">
        <w:t>, June Quarter 2025, Australian Bureau of Statistics</w:t>
      </w:r>
    </w:p>
  </w:footnote>
  <w:footnote w:id="31">
    <w:p w14:paraId="07ABFF5A" w14:textId="6113F4C2" w:rsidR="00051138" w:rsidRDefault="00051138">
      <w:pPr>
        <w:pStyle w:val="FootnoteText"/>
      </w:pPr>
      <w:r>
        <w:rPr>
          <w:rStyle w:val="FootnoteReference"/>
        </w:rPr>
        <w:footnoteRef/>
      </w:r>
      <w:r>
        <w:t xml:space="preserve"> </w:t>
      </w:r>
      <w:r w:rsidR="00895697">
        <w:t xml:space="preserve">The Victorian Guide to Regulation, </w:t>
      </w:r>
      <w:hyperlink r:id="rId3" w:history="1">
        <w:r w:rsidR="00895697" w:rsidRPr="00C33C95">
          <w:rPr>
            <w:rStyle w:val="Hyperlink"/>
          </w:rPr>
          <w:t>https://www.vic.gov.au/victorian-guide-regulation</w:t>
        </w:r>
      </w:hyperlink>
      <w:r w:rsidR="00895697">
        <w:t xml:space="preserve">, Better Regulation Victoria. This guide </w:t>
      </w:r>
      <w:r w:rsidR="00657A44">
        <w:t>explains the Victorian Government’s approach to regulation and the requirements for an impact analysis.</w:t>
      </w:r>
    </w:p>
  </w:footnote>
  <w:footnote w:id="32">
    <w:p w14:paraId="3FCEFE58" w14:textId="77777777" w:rsidR="009B1917" w:rsidRDefault="009B1917" w:rsidP="009B1917">
      <w:pPr>
        <w:pStyle w:val="FootnoteText"/>
      </w:pPr>
      <w:r>
        <w:rPr>
          <w:rStyle w:val="FootnoteReference"/>
        </w:rPr>
        <w:footnoteRef/>
      </w:r>
      <w:r>
        <w:t xml:space="preserve"> Based on ABS data sourced from 8165 Counts of Australian Businesses released at 17 December 2024 and 21 February 2017</w:t>
      </w:r>
    </w:p>
  </w:footnote>
  <w:footnote w:id="33">
    <w:p w14:paraId="030047A5" w14:textId="77777777" w:rsidR="009B1917" w:rsidRDefault="009B1917" w:rsidP="009B1917">
      <w:pPr>
        <w:pStyle w:val="FootnoteText"/>
      </w:pPr>
      <w:r>
        <w:rPr>
          <w:rStyle w:val="FootnoteReference"/>
        </w:rPr>
        <w:footnoteRef/>
      </w:r>
      <w:r>
        <w:t xml:space="preserve"> This rate is based on the information available on </w:t>
      </w:r>
      <w:hyperlink r:id="rId4" w:history="1">
        <w:r w:rsidRPr="004972AE">
          <w:rPr>
            <w:rStyle w:val="Hyperlink"/>
          </w:rPr>
          <w:t>https://www.servicesaustralia.gov.au/how-much-age-pension-you-can-get?context=22526</w:t>
        </w:r>
      </w:hyperlink>
      <w:r>
        <w:t xml:space="preserve"> accessed on 13 August 2025.</w:t>
      </w:r>
    </w:p>
  </w:footnote>
  <w:footnote w:id="34">
    <w:p w14:paraId="3CC937F8" w14:textId="77777777" w:rsidR="009B1917" w:rsidRDefault="009B1917" w:rsidP="009B1917">
      <w:pPr>
        <w:pStyle w:val="FootnoteText"/>
      </w:pPr>
      <w:r>
        <w:rPr>
          <w:rStyle w:val="FootnoteReference"/>
        </w:rPr>
        <w:footnoteRef/>
      </w:r>
      <w:r>
        <w:t xml:space="preserve"> </w:t>
      </w:r>
      <w:r w:rsidRPr="00313C9E">
        <w:t>https://www.abs.gov.au/statistics/labour/earnings-and-working-conditions/average-weekly-earnings-australia/nov-2024#state-and-territory</w:t>
      </w:r>
    </w:p>
  </w:footnote>
  <w:footnote w:id="35">
    <w:p w14:paraId="5047A63B" w14:textId="64AA89B2" w:rsidR="000E7365" w:rsidRDefault="000E7365">
      <w:pPr>
        <w:pStyle w:val="FootnoteText"/>
      </w:pPr>
      <w:r>
        <w:rPr>
          <w:rStyle w:val="FootnoteReference"/>
        </w:rPr>
        <w:footnoteRef/>
      </w:r>
      <w:r>
        <w:t xml:space="preserve"> As recommended by the </w:t>
      </w:r>
      <w:r w:rsidR="00F650BD">
        <w:t>Victorian Guide to Regulation</w:t>
      </w:r>
      <w:r>
        <w:t>, Better Regulation Victoria</w:t>
      </w:r>
    </w:p>
  </w:footnote>
  <w:footnote w:id="36">
    <w:p w14:paraId="7A495E78" w14:textId="7478ED3B" w:rsidR="00096E89" w:rsidRDefault="00096E89">
      <w:pPr>
        <w:pStyle w:val="FootnoteText"/>
      </w:pPr>
      <w:r>
        <w:rPr>
          <w:rStyle w:val="FootnoteReference"/>
        </w:rPr>
        <w:footnoteRef/>
      </w:r>
      <w:r>
        <w:t xml:space="preserve"> </w:t>
      </w:r>
      <w:r w:rsidR="007F0ED8">
        <w:t xml:space="preserve">As recommended </w:t>
      </w:r>
      <w:r w:rsidR="00A50575">
        <w:t>from</w:t>
      </w:r>
      <w:r w:rsidR="007F0ED8">
        <w:t xml:space="preserve"> the </w:t>
      </w:r>
      <w:r w:rsidR="00A50575" w:rsidRPr="00A50575">
        <w:rPr>
          <w:i/>
          <w:iCs/>
        </w:rPr>
        <w:t>Guidance Note Multi Criteria Analysis</w:t>
      </w:r>
      <w:r w:rsidR="007F0ED8">
        <w:t>, Better Regulation Victoria</w:t>
      </w:r>
    </w:p>
  </w:footnote>
  <w:footnote w:id="37">
    <w:p w14:paraId="1D7613BC" w14:textId="4C6D7BAC" w:rsidR="002E3D9F" w:rsidRDefault="002E3D9F">
      <w:pPr>
        <w:pStyle w:val="FootnoteText"/>
      </w:pPr>
      <w:r>
        <w:rPr>
          <w:rStyle w:val="FootnoteReference"/>
        </w:rPr>
        <w:footnoteRef/>
      </w:r>
      <w:r>
        <w:t xml:space="preserve"> DSS Benefit and Payment Rec</w:t>
      </w:r>
      <w:r w:rsidR="00E16C1E">
        <w:t>ipient Demographics – June 2025 Quarter</w:t>
      </w:r>
      <w:r w:rsidR="001E2445">
        <w:t>, Department of Social Services</w:t>
      </w:r>
    </w:p>
  </w:footnote>
  <w:footnote w:id="38">
    <w:p w14:paraId="58918202" w14:textId="119C1B53" w:rsidR="00E16C1E" w:rsidRDefault="00E16C1E">
      <w:pPr>
        <w:pStyle w:val="FootnoteText"/>
      </w:pPr>
      <w:r>
        <w:rPr>
          <w:rStyle w:val="FootnoteReference"/>
        </w:rPr>
        <w:footnoteRef/>
      </w:r>
      <w:r>
        <w:t xml:space="preserve"> </w:t>
      </w:r>
      <w:r w:rsidR="00DD73C1">
        <w:t xml:space="preserve">Treatment </w:t>
      </w:r>
      <w:r w:rsidR="00265AC7">
        <w:t>Population</w:t>
      </w:r>
      <w:r w:rsidR="00DD73C1">
        <w:t xml:space="preserve"> Statistics Quarterly Report, March 2025</w:t>
      </w:r>
      <w:r w:rsidR="00A41BC3">
        <w:t>, Department of Veteran’s Affairs</w:t>
      </w:r>
    </w:p>
  </w:footnote>
  <w:footnote w:id="39">
    <w:p w14:paraId="197C83F4" w14:textId="44F79E49" w:rsidR="005F636A" w:rsidRDefault="005F636A">
      <w:pPr>
        <w:pStyle w:val="FootnoteText"/>
      </w:pPr>
      <w:r>
        <w:rPr>
          <w:rStyle w:val="FootnoteReference"/>
        </w:rPr>
        <w:footnoteRef/>
      </w:r>
      <w:r>
        <w:t xml:space="preserve"> </w:t>
      </w:r>
      <w:r w:rsidR="00BC6A06">
        <w:t>8165.0 Counts of Australian Businesses, including Entries and Exits, June 2020 to June 2024</w:t>
      </w:r>
      <w:r w:rsidR="00265AC7">
        <w:t>, Australian Bureau of Statistics</w:t>
      </w:r>
    </w:p>
  </w:footnote>
  <w:footnote w:id="40">
    <w:p w14:paraId="3D59E766" w14:textId="3C017389" w:rsidR="007C2CD6" w:rsidRDefault="007C2CD6">
      <w:pPr>
        <w:pStyle w:val="FootnoteText"/>
      </w:pPr>
      <w:r>
        <w:rPr>
          <w:rStyle w:val="FootnoteReference"/>
        </w:rPr>
        <w:footnoteRef/>
      </w:r>
      <w:r>
        <w:t xml:space="preserve"> </w:t>
      </w:r>
      <w:r w:rsidR="00CB6A30">
        <w:t>F</w:t>
      </w:r>
      <w:r>
        <w:t>igures</w:t>
      </w:r>
      <w:r w:rsidDel="00CB6A30">
        <w:t xml:space="preserve"> </w:t>
      </w:r>
      <w:r>
        <w:t>in bold</w:t>
      </w:r>
      <w:r w:rsidR="00CB6A30">
        <w:t xml:space="preserve"> represent </w:t>
      </w:r>
      <w:r>
        <w:t>weighted values</w:t>
      </w:r>
      <w:r w:rsidR="00CB6A30">
        <w:t xml:space="preserve">, meaning they will not add up to the </w:t>
      </w:r>
      <w:r w:rsidR="00FF2692">
        <w:t xml:space="preserve">figures in the </w:t>
      </w:r>
      <w:r w:rsidR="00CB6A30">
        <w:t>rows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61BE" w14:textId="6191FABF" w:rsidR="00DC6466" w:rsidRDefault="00DC6466" w:rsidP="004B65F7">
    <w:pPr>
      <w:pStyle w:val="DJCSheader"/>
    </w:pPr>
    <w:r>
      <w:t>R Header</w:t>
    </w:r>
  </w:p>
  <w:p w14:paraId="7B76A5D0" w14:textId="77777777" w:rsidR="00DC6466" w:rsidRDefault="00DC646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0A8A" w14:textId="77777777" w:rsidR="00BF72CE" w:rsidRDefault="00BF72CE" w:rsidP="004B65F7">
    <w:pPr>
      <w:pStyle w:val="DJCSheader"/>
    </w:pPr>
  </w:p>
  <w:p w14:paraId="70811F6B" w14:textId="77777777" w:rsidR="00923F3E" w:rsidRDefault="00923F3E" w:rsidP="004B65F7">
    <w:pPr>
      <w:pStyle w:val="DJCSheader"/>
    </w:pPr>
  </w:p>
  <w:p w14:paraId="6D52EA0B" w14:textId="77777777" w:rsidR="00BF72CE" w:rsidRDefault="00BF72CE" w:rsidP="004B65F7">
    <w:pPr>
      <w:pStyle w:val="DJCSheader"/>
    </w:pPr>
  </w:p>
  <w:p w14:paraId="7D054C04" w14:textId="03C58C53" w:rsidR="00705C12" w:rsidRDefault="00705C12" w:rsidP="004B65F7">
    <w:pPr>
      <w:pStyle w:val="DJCSheader"/>
    </w:pPr>
    <w:r>
      <w:rPr>
        <w:noProof/>
        <w:lang w:eastAsia="en-AU"/>
      </w:rPr>
      <w:drawing>
        <wp:anchor distT="0" distB="0" distL="114300" distR="114300" simplePos="0" relativeHeight="251658242" behindDoc="1" locked="0" layoutInCell="1" allowOverlap="1" wp14:anchorId="2FD8D2DF" wp14:editId="1856B40E">
          <wp:simplePos x="0" y="0"/>
          <wp:positionH relativeFrom="page">
            <wp:posOffset>1937</wp:posOffset>
          </wp:positionH>
          <wp:positionV relativeFrom="page">
            <wp:posOffset>0</wp:posOffset>
          </wp:positionV>
          <wp:extent cx="7602926" cy="1004400"/>
          <wp:effectExtent l="0" t="0" r="0" b="0"/>
          <wp:wrapNone/>
          <wp:docPr id="2087980438" name="Picture 2087980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7602926"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CC0" w:rsidRPr="006F3CC0">
      <w:rPr>
        <w:noProof/>
        <w:lang w:eastAsia="en-AU"/>
      </w:rPr>
      <w:t>Victorian Civil and Administrative (Fees) Regulations 2026</w:t>
    </w:r>
    <w:r w:rsidR="006F3CC0">
      <w:rPr>
        <w:noProof/>
        <w:lang w:eastAsia="en-AU"/>
      </w:rPr>
      <w:t xml:space="preserve"> – RIS</w:t>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19846" w14:textId="6669AEFD" w:rsidR="00C5670C" w:rsidRDefault="00C5670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31415" w14:textId="200166CC" w:rsidR="00F10335" w:rsidRDefault="003A4923" w:rsidP="004B65F7">
    <w:pPr>
      <w:pStyle w:val="DJCSheader"/>
    </w:pPr>
    <w:r>
      <w:rPr>
        <w:noProof/>
        <w:lang w:eastAsia="en-AU"/>
      </w:rPr>
      <w:drawing>
        <wp:anchor distT="0" distB="0" distL="114300" distR="114300" simplePos="0" relativeHeight="251658245" behindDoc="1" locked="0" layoutInCell="1" allowOverlap="1" wp14:anchorId="7168F4DC" wp14:editId="70D15D06">
          <wp:simplePos x="0" y="0"/>
          <wp:positionH relativeFrom="page">
            <wp:align>left</wp:align>
          </wp:positionH>
          <wp:positionV relativeFrom="page">
            <wp:posOffset>39370</wp:posOffset>
          </wp:positionV>
          <wp:extent cx="7602926" cy="1004400"/>
          <wp:effectExtent l="0" t="0" r="0" b="5715"/>
          <wp:wrapNone/>
          <wp:docPr id="1948464618" name="Picture 1948464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7602926"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62D83" w14:textId="7AC42868" w:rsidR="00F10335" w:rsidRDefault="00F10335" w:rsidP="004B65F7">
    <w:pPr>
      <w:pStyle w:val="DJCSheader"/>
    </w:pPr>
  </w:p>
  <w:p w14:paraId="067709E0" w14:textId="77777777" w:rsidR="003A4923" w:rsidRDefault="003A4923" w:rsidP="004B65F7">
    <w:pPr>
      <w:pStyle w:val="DJCSheader"/>
      <w:rPr>
        <w:noProof/>
        <w:lang w:eastAsia="en-AU"/>
      </w:rPr>
    </w:pPr>
  </w:p>
  <w:p w14:paraId="14AEC670" w14:textId="2AEAA2DF" w:rsidR="00F10335" w:rsidRDefault="00F10335" w:rsidP="004B65F7">
    <w:pPr>
      <w:pStyle w:val="DJCSheader"/>
      <w:rPr>
        <w:noProof/>
        <w:lang w:eastAsia="en-AU"/>
      </w:rPr>
    </w:pPr>
    <w:r w:rsidRPr="006F3CC0">
      <w:rPr>
        <w:noProof/>
        <w:lang w:eastAsia="en-AU"/>
      </w:rPr>
      <w:t>Victorian Civil and Administrative (Fees) Regulations 2026</w:t>
    </w:r>
    <w:r>
      <w:rPr>
        <w:noProof/>
        <w:lang w:eastAsia="en-AU"/>
      </w:rPr>
      <w:t xml:space="preserve"> – RIS</w:t>
    </w:r>
  </w:p>
  <w:p w14:paraId="49945E8D" w14:textId="7E83C3F4" w:rsidR="00F10335" w:rsidRDefault="00F10335" w:rsidP="009B659C">
    <w:pPr>
      <w:pStyle w:val="DJCSheader"/>
      <w:tabs>
        <w:tab w:val="left" w:pos="4280"/>
      </w:tabs>
    </w:pPr>
    <w:r>
      <w:tab/>
    </w:r>
    <w:r w:rsidR="009B659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4CAD9" w14:textId="648318C9" w:rsidR="007D5D1B" w:rsidRDefault="007D5D1B">
    <w:pPr>
      <w:pStyle w:val="Header"/>
    </w:pPr>
    <w:r>
      <w:rPr>
        <w:noProof/>
        <w:lang w:eastAsia="en-AU"/>
      </w:rPr>
      <w:drawing>
        <wp:anchor distT="0" distB="0" distL="114300" distR="114300" simplePos="0" relativeHeight="251658244" behindDoc="1" locked="0" layoutInCell="1" allowOverlap="1" wp14:anchorId="51CB1396" wp14:editId="4B7ACE85">
          <wp:simplePos x="0" y="0"/>
          <wp:positionH relativeFrom="page">
            <wp:posOffset>-3175</wp:posOffset>
          </wp:positionH>
          <wp:positionV relativeFrom="paragraph">
            <wp:posOffset>-179642</wp:posOffset>
          </wp:positionV>
          <wp:extent cx="7549200" cy="10670400"/>
          <wp:effectExtent l="0" t="0" r="0" b="0"/>
          <wp:wrapNone/>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549200" cy="1067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48F67" w14:textId="010C0FEA" w:rsidR="00C5670C" w:rsidRDefault="00C567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047FC" w14:textId="4F162414" w:rsidR="00B461C5" w:rsidRDefault="00B461C5" w:rsidP="004B65F7">
    <w:pPr>
      <w:pStyle w:val="DJCSheader"/>
    </w:pPr>
    <w:r>
      <w:t>R Header</w:t>
    </w:r>
  </w:p>
  <w:p w14:paraId="1FB6514F" w14:textId="77777777" w:rsidR="00B461C5" w:rsidRDefault="00B461C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1AC5" w14:textId="34EC1B68" w:rsidR="00C5670C" w:rsidRDefault="00C567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A4244" w14:textId="3893490C" w:rsidR="00C5670C" w:rsidRDefault="00C567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9621" w14:textId="16C35F7F" w:rsidR="000A12D5" w:rsidRDefault="000A12D5" w:rsidP="004B65F7">
    <w:pPr>
      <w:pStyle w:val="DJCSheader"/>
    </w:pPr>
    <w:r>
      <w:rPr>
        <w:noProof/>
        <w:lang w:eastAsia="en-AU"/>
      </w:rPr>
      <w:drawing>
        <wp:anchor distT="0" distB="0" distL="114300" distR="114300" simplePos="0" relativeHeight="251658240" behindDoc="1" locked="0" layoutInCell="1" allowOverlap="1" wp14:anchorId="58FE2DE4" wp14:editId="2A335BCC">
          <wp:simplePos x="0" y="0"/>
          <wp:positionH relativeFrom="page">
            <wp:posOffset>0</wp:posOffset>
          </wp:positionH>
          <wp:positionV relativeFrom="page">
            <wp:posOffset>0</wp:posOffset>
          </wp:positionV>
          <wp:extent cx="7560000" cy="988891"/>
          <wp:effectExtent l="0" t="0" r="0" b="1905"/>
          <wp:wrapNone/>
          <wp:docPr id="6" name="Picture 6"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CE8">
      <w:t>Document title</w: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FF81" w14:textId="0CECD5BE" w:rsidR="00C5670C" w:rsidRDefault="00C567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F7D6" w14:textId="5B7A4C0B" w:rsidR="00C5670C" w:rsidRDefault="00C56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49D1"/>
    <w:multiLevelType w:val="hybridMultilevel"/>
    <w:tmpl w:val="8C1A23FC"/>
    <w:lvl w:ilvl="0" w:tplc="0C090003">
      <w:start w:val="1"/>
      <w:numFmt w:val="bullet"/>
      <w:lvlText w:val="o"/>
      <w:lvlJc w:val="left"/>
      <w:pPr>
        <w:ind w:left="1571" w:hanging="360"/>
      </w:pPr>
      <w:rPr>
        <w:rFonts w:ascii="Courier New" w:hAnsi="Courier New" w:cs="Courier New"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 w15:restartNumberingAfterBreak="0">
    <w:nsid w:val="054C6494"/>
    <w:multiLevelType w:val="multilevel"/>
    <w:tmpl w:val="21984544"/>
    <w:numStyleLink w:val="ZZBullets"/>
  </w:abstractNum>
  <w:abstractNum w:abstractNumId="2" w15:restartNumberingAfterBreak="0">
    <w:nsid w:val="0704506F"/>
    <w:multiLevelType w:val="hybridMultilevel"/>
    <w:tmpl w:val="CC241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D3EF8"/>
    <w:multiLevelType w:val="hybridMultilevel"/>
    <w:tmpl w:val="ED5EE7B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09AF1E25"/>
    <w:multiLevelType w:val="hybridMultilevel"/>
    <w:tmpl w:val="6FEE8E1C"/>
    <w:lvl w:ilvl="0" w:tplc="0C090001">
      <w:start w:val="1"/>
      <w:numFmt w:val="bullet"/>
      <w:lvlText w:val=""/>
      <w:lvlJc w:val="left"/>
      <w:pPr>
        <w:ind w:left="1428"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5" w15:restartNumberingAfterBreak="0">
    <w:nsid w:val="0B8C355B"/>
    <w:multiLevelType w:val="hybridMultilevel"/>
    <w:tmpl w:val="37E847B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0BAD2E30"/>
    <w:multiLevelType w:val="multilevel"/>
    <w:tmpl w:val="15F6F55C"/>
    <w:styleLink w:val="ZZNumbersloweralpha"/>
    <w:lvl w:ilvl="0">
      <w:start w:val="1"/>
      <w:numFmt w:val="lowerLetter"/>
      <w:pStyle w:val="DJCS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DBB6A7D"/>
    <w:multiLevelType w:val="multilevel"/>
    <w:tmpl w:val="7072468A"/>
    <w:styleLink w:val="zznumberloweralpharoman"/>
    <w:lvl w:ilvl="0">
      <w:start w:val="1"/>
      <w:numFmt w:val="lowerRoman"/>
      <w:pStyle w:val="DJCS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0450FF"/>
    <w:multiLevelType w:val="hybridMultilevel"/>
    <w:tmpl w:val="2924C46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19D6D96"/>
    <w:multiLevelType w:val="multilevel"/>
    <w:tmpl w:val="AD06323A"/>
    <w:numStyleLink w:val="zzDJRbullets"/>
  </w:abstractNum>
  <w:abstractNum w:abstractNumId="10" w15:restartNumberingAfterBreak="0">
    <w:nsid w:val="1E9A2467"/>
    <w:multiLevelType w:val="hybridMultilevel"/>
    <w:tmpl w:val="623ADD1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 w15:restartNumberingAfterBreak="0">
    <w:nsid w:val="20AF16F7"/>
    <w:multiLevelType w:val="hybridMultilevel"/>
    <w:tmpl w:val="8F0099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0B7429A"/>
    <w:multiLevelType w:val="hybridMultilevel"/>
    <w:tmpl w:val="B27028F4"/>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3" w15:restartNumberingAfterBreak="0">
    <w:nsid w:val="243E29D6"/>
    <w:multiLevelType w:val="hybridMultilevel"/>
    <w:tmpl w:val="83F86266"/>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4" w15:restartNumberingAfterBreak="0">
    <w:nsid w:val="2446472D"/>
    <w:multiLevelType w:val="multilevel"/>
    <w:tmpl w:val="B08EB9BE"/>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E75F8F"/>
    <w:multiLevelType w:val="hybridMultilevel"/>
    <w:tmpl w:val="51D6133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28FD37DF"/>
    <w:multiLevelType w:val="hybridMultilevel"/>
    <w:tmpl w:val="5EEE4A92"/>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7"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E42D6F"/>
    <w:multiLevelType w:val="hybridMultilevel"/>
    <w:tmpl w:val="8B48EA1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15:restartNumberingAfterBreak="0">
    <w:nsid w:val="2E6756AD"/>
    <w:multiLevelType w:val="multilevel"/>
    <w:tmpl w:val="3330239A"/>
    <w:styleLink w:val="ZZNumberslowerromanindent"/>
    <w:lvl w:ilvl="0">
      <w:start w:val="1"/>
      <w:numFmt w:val="lowerRoman"/>
      <w:pStyle w:val="DJCS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48B713E"/>
    <w:multiLevelType w:val="hybridMultilevel"/>
    <w:tmpl w:val="340878E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370569FD"/>
    <w:multiLevelType w:val="hybridMultilevel"/>
    <w:tmpl w:val="050C0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CB30C4"/>
    <w:multiLevelType w:val="hybridMultilevel"/>
    <w:tmpl w:val="3D8ED9E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3"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C97E49"/>
    <w:multiLevelType w:val="hybridMultilevel"/>
    <w:tmpl w:val="39F0FC1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3E6C68D4"/>
    <w:multiLevelType w:val="multilevel"/>
    <w:tmpl w:val="5DFE3624"/>
    <w:styleLink w:val="ZZNumbersdigit"/>
    <w:lvl w:ilvl="0">
      <w:start w:val="1"/>
      <w:numFmt w:val="bullet"/>
      <w:pStyle w:val="DJCSlist-bulletsafterlevel1numberromanoralpha"/>
      <w:lvlText w:val="•"/>
      <w:lvlJc w:val="left"/>
      <w:pPr>
        <w:ind w:left="1361" w:hanging="284"/>
      </w:pPr>
      <w:rPr>
        <w:rFonts w:ascii="Calibri" w:hAnsi="Calibri" w:hint="default"/>
        <w:color w:val="auto"/>
      </w:rPr>
    </w:lvl>
    <w:lvl w:ilvl="1">
      <w:start w:val="1"/>
      <w:numFmt w:val="bullet"/>
      <w:lvlRestart w:val="0"/>
      <w:pStyle w:val="DJCS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0EE3387"/>
    <w:multiLevelType w:val="hybridMultilevel"/>
    <w:tmpl w:val="1806E98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7" w15:restartNumberingAfterBreak="0">
    <w:nsid w:val="42BF6344"/>
    <w:multiLevelType w:val="hybridMultilevel"/>
    <w:tmpl w:val="F4BEBCE2"/>
    <w:lvl w:ilvl="0" w:tplc="0C090001">
      <w:start w:val="1"/>
      <w:numFmt w:val="bullet"/>
      <w:lvlText w:val=""/>
      <w:lvlJc w:val="left"/>
      <w:pPr>
        <w:ind w:left="1400" w:hanging="360"/>
      </w:pPr>
      <w:rPr>
        <w:rFonts w:ascii="Symbol" w:hAnsi="Symbol" w:hint="default"/>
      </w:rPr>
    </w:lvl>
    <w:lvl w:ilvl="1" w:tplc="0C090003">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8" w15:restartNumberingAfterBreak="0">
    <w:nsid w:val="43863FCF"/>
    <w:multiLevelType w:val="hybridMultilevel"/>
    <w:tmpl w:val="76E6D5B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9" w15:restartNumberingAfterBreak="0">
    <w:nsid w:val="48024282"/>
    <w:multiLevelType w:val="hybridMultilevel"/>
    <w:tmpl w:val="69D23A1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0"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D7B39F8"/>
    <w:multiLevelType w:val="hybridMultilevel"/>
    <w:tmpl w:val="3D74E1E4"/>
    <w:lvl w:ilvl="0" w:tplc="0C090001">
      <w:start w:val="1"/>
      <w:numFmt w:val="bullet"/>
      <w:lvlText w:val=""/>
      <w:lvlJc w:val="left"/>
      <w:pPr>
        <w:ind w:left="1571" w:hanging="360"/>
      </w:pPr>
      <w:rPr>
        <w:rFonts w:ascii="Symbol" w:hAnsi="Symbol"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2" w15:restartNumberingAfterBreak="0">
    <w:nsid w:val="521E1145"/>
    <w:multiLevelType w:val="hybridMultilevel"/>
    <w:tmpl w:val="6A30199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3"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4BA1E5A"/>
    <w:multiLevelType w:val="multilevel"/>
    <w:tmpl w:val="21984544"/>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E692DD0"/>
    <w:multiLevelType w:val="hybridMultilevel"/>
    <w:tmpl w:val="AD36906C"/>
    <w:lvl w:ilvl="0" w:tplc="0C090001">
      <w:start w:val="1"/>
      <w:numFmt w:val="bullet"/>
      <w:lvlText w:val=""/>
      <w:lvlJc w:val="left"/>
      <w:pPr>
        <w:ind w:left="1571" w:hanging="360"/>
      </w:pPr>
      <w:rPr>
        <w:rFonts w:ascii="Symbol" w:hAnsi="Symbol" w:hint="default"/>
        <w:b/>
        <w:bCs/>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6" w15:restartNumberingAfterBreak="0">
    <w:nsid w:val="6309259F"/>
    <w:multiLevelType w:val="multilevel"/>
    <w:tmpl w:val="5A92EA04"/>
    <w:styleLink w:val="ZZQuotebullets"/>
    <w:lvl w:ilvl="0">
      <w:start w:val="1"/>
      <w:numFmt w:val="bullet"/>
      <w:pStyle w:val="DJCSquotebullet1"/>
      <w:lvlText w:val="•"/>
      <w:lvlJc w:val="left"/>
      <w:pPr>
        <w:tabs>
          <w:tab w:val="num" w:pos="1304"/>
        </w:tabs>
        <w:ind w:left="1418" w:hanging="341"/>
      </w:pPr>
      <w:rPr>
        <w:rFonts w:ascii="Calibri" w:hAnsi="Calibri" w:hint="default"/>
        <w:color w:val="auto"/>
      </w:rPr>
    </w:lvl>
    <w:lvl w:ilvl="1">
      <w:start w:val="1"/>
      <w:numFmt w:val="bullet"/>
      <w:lvlRestart w:val="0"/>
      <w:pStyle w:val="DJCS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636B3B43"/>
    <w:multiLevelType w:val="hybridMultilevel"/>
    <w:tmpl w:val="9670DD2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61B66A3"/>
    <w:multiLevelType w:val="hybridMultilevel"/>
    <w:tmpl w:val="776E25C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9" w15:restartNumberingAfterBreak="0">
    <w:nsid w:val="6B1E2B2A"/>
    <w:multiLevelType w:val="hybridMultilevel"/>
    <w:tmpl w:val="60E4AA9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0" w15:restartNumberingAfterBreak="0">
    <w:nsid w:val="72BE34FC"/>
    <w:multiLevelType w:val="multilevel"/>
    <w:tmpl w:val="A93E5F58"/>
    <w:styleLink w:val="zzDJRnumberdigit"/>
    <w:lvl w:ilvl="0">
      <w:start w:val="1"/>
      <w:numFmt w:val="decimal"/>
      <w:pStyle w:val="DJCS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1" w15:restartNumberingAfterBreak="0">
    <w:nsid w:val="744C600B"/>
    <w:multiLevelType w:val="hybridMultilevel"/>
    <w:tmpl w:val="8BF22BC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2" w15:restartNumberingAfterBreak="0">
    <w:nsid w:val="74926300"/>
    <w:multiLevelType w:val="hybridMultilevel"/>
    <w:tmpl w:val="9E6C2E1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3" w15:restartNumberingAfterBreak="0">
    <w:nsid w:val="757C69D0"/>
    <w:multiLevelType w:val="hybridMultilevel"/>
    <w:tmpl w:val="4BB00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7B53A8"/>
    <w:multiLevelType w:val="multilevel"/>
    <w:tmpl w:val="AD06323A"/>
    <w:styleLink w:val="zzDJRbullets"/>
    <w:lvl w:ilvl="0">
      <w:start w:val="1"/>
      <w:numFmt w:val="bullet"/>
      <w:pStyle w:val="DJCSlist-bulletlevel1"/>
      <w:lvlText w:val="•"/>
      <w:lvlJc w:val="left"/>
      <w:pPr>
        <w:tabs>
          <w:tab w:val="num" w:pos="680"/>
        </w:tabs>
        <w:ind w:left="964" w:hanging="284"/>
      </w:pPr>
      <w:rPr>
        <w:rFonts w:ascii="Calibri" w:hAnsi="Calibri" w:hint="default"/>
      </w:rPr>
    </w:lvl>
    <w:lvl w:ilvl="1">
      <w:start w:val="1"/>
      <w:numFmt w:val="bullet"/>
      <w:pStyle w:val="DJCS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78B46AD5"/>
    <w:multiLevelType w:val="hybridMultilevel"/>
    <w:tmpl w:val="81EEF61A"/>
    <w:lvl w:ilvl="0" w:tplc="0C09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6" w15:restartNumberingAfterBreak="0">
    <w:nsid w:val="7D1D09A1"/>
    <w:multiLevelType w:val="hybridMultilevel"/>
    <w:tmpl w:val="D39A7898"/>
    <w:lvl w:ilvl="0" w:tplc="E52EC288">
      <w:start w:val="1"/>
      <w:numFmt w:val="decimal"/>
      <w:lvlText w:val="%1."/>
      <w:lvlJc w:val="left"/>
      <w:pPr>
        <w:ind w:left="1080" w:hanging="360"/>
      </w:pPr>
      <w:rPr>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DAD21FC"/>
    <w:multiLevelType w:val="multilevel"/>
    <w:tmpl w:val="45125736"/>
    <w:styleLink w:val="zzzznumberloweralphaindent"/>
    <w:lvl w:ilvl="0">
      <w:start w:val="1"/>
      <w:numFmt w:val="lowerLetter"/>
      <w:pStyle w:val="DJCS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FFB2763"/>
    <w:multiLevelType w:val="hybridMultilevel"/>
    <w:tmpl w:val="610EABC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16cid:durableId="1752048016">
    <w:abstractNumId w:val="34"/>
  </w:num>
  <w:num w:numId="2" w16cid:durableId="1878081990">
    <w:abstractNumId w:val="25"/>
  </w:num>
  <w:num w:numId="3" w16cid:durableId="732703157">
    <w:abstractNumId w:val="6"/>
  </w:num>
  <w:num w:numId="4" w16cid:durableId="1458715265">
    <w:abstractNumId w:val="19"/>
  </w:num>
  <w:num w:numId="5" w16cid:durableId="831219725">
    <w:abstractNumId w:val="36"/>
  </w:num>
  <w:num w:numId="6" w16cid:durableId="1314067462">
    <w:abstractNumId w:val="33"/>
  </w:num>
  <w:num w:numId="7" w16cid:durableId="1759255320">
    <w:abstractNumId w:val="30"/>
  </w:num>
  <w:num w:numId="8" w16cid:durableId="1892767314">
    <w:abstractNumId w:val="23"/>
  </w:num>
  <w:num w:numId="9" w16cid:durableId="1992588609">
    <w:abstractNumId w:val="47"/>
  </w:num>
  <w:num w:numId="10" w16cid:durableId="931620451">
    <w:abstractNumId w:val="44"/>
  </w:num>
  <w:num w:numId="11" w16cid:durableId="1337077391">
    <w:abstractNumId w:val="7"/>
  </w:num>
  <w:num w:numId="12" w16cid:durableId="601764867">
    <w:abstractNumId w:val="40"/>
    <w:lvlOverride w:ilvl="0">
      <w:lvl w:ilvl="0">
        <w:start w:val="1"/>
        <w:numFmt w:val="decimal"/>
        <w:pStyle w:val="DJCSlist-numberdigitlevel1"/>
        <w:lvlText w:val="%1."/>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16cid:durableId="225339845">
    <w:abstractNumId w:val="40"/>
  </w:num>
  <w:num w:numId="14" w16cid:durableId="7105960">
    <w:abstractNumId w:val="33"/>
  </w:num>
  <w:num w:numId="15" w16cid:durableId="1754666590">
    <w:abstractNumId w:val="14"/>
  </w:num>
  <w:num w:numId="16" w16cid:durableId="938878628">
    <w:abstractNumId w:val="9"/>
  </w:num>
  <w:num w:numId="17" w16cid:durableId="98838092">
    <w:abstractNumId w:val="17"/>
  </w:num>
  <w:num w:numId="18" w16cid:durableId="1371109717">
    <w:abstractNumId w:val="24"/>
  </w:num>
  <w:num w:numId="19" w16cid:durableId="211962201">
    <w:abstractNumId w:val="13"/>
  </w:num>
  <w:num w:numId="20" w16cid:durableId="1629622805">
    <w:abstractNumId w:val="37"/>
  </w:num>
  <w:num w:numId="21" w16cid:durableId="1380403088">
    <w:abstractNumId w:val="10"/>
  </w:num>
  <w:num w:numId="22" w16cid:durableId="1302004040">
    <w:abstractNumId w:val="38"/>
  </w:num>
  <w:num w:numId="23" w16cid:durableId="928469916">
    <w:abstractNumId w:val="29"/>
  </w:num>
  <w:num w:numId="24" w16cid:durableId="110176399">
    <w:abstractNumId w:val="15"/>
  </w:num>
  <w:num w:numId="25" w16cid:durableId="1284773181">
    <w:abstractNumId w:val="39"/>
  </w:num>
  <w:num w:numId="26" w16cid:durableId="271285868">
    <w:abstractNumId w:val="26"/>
  </w:num>
  <w:num w:numId="27" w16cid:durableId="998577925">
    <w:abstractNumId w:val="28"/>
  </w:num>
  <w:num w:numId="28" w16cid:durableId="383913225">
    <w:abstractNumId w:val="32"/>
  </w:num>
  <w:num w:numId="29" w16cid:durableId="729156631">
    <w:abstractNumId w:val="48"/>
  </w:num>
  <w:num w:numId="30" w16cid:durableId="1895432361">
    <w:abstractNumId w:val="8"/>
  </w:num>
  <w:num w:numId="31" w16cid:durableId="1181745352">
    <w:abstractNumId w:val="16"/>
  </w:num>
  <w:num w:numId="32" w16cid:durableId="1023675903">
    <w:abstractNumId w:val="12"/>
  </w:num>
  <w:num w:numId="33" w16cid:durableId="707100555">
    <w:abstractNumId w:val="27"/>
  </w:num>
  <w:num w:numId="34" w16cid:durableId="243532567">
    <w:abstractNumId w:val="0"/>
  </w:num>
  <w:num w:numId="35" w16cid:durableId="1412852529">
    <w:abstractNumId w:val="4"/>
  </w:num>
  <w:num w:numId="36" w16cid:durableId="754014556">
    <w:abstractNumId w:val="41"/>
  </w:num>
  <w:num w:numId="37" w16cid:durableId="1188834560">
    <w:abstractNumId w:val="2"/>
  </w:num>
  <w:num w:numId="38" w16cid:durableId="742218114">
    <w:abstractNumId w:val="3"/>
  </w:num>
  <w:num w:numId="39" w16cid:durableId="331837411">
    <w:abstractNumId w:val="20"/>
  </w:num>
  <w:num w:numId="40" w16cid:durableId="1923105257">
    <w:abstractNumId w:val="22"/>
  </w:num>
  <w:num w:numId="41" w16cid:durableId="973288619">
    <w:abstractNumId w:val="45"/>
  </w:num>
  <w:num w:numId="42" w16cid:durableId="1380666722">
    <w:abstractNumId w:val="46"/>
  </w:num>
  <w:num w:numId="43" w16cid:durableId="451175821">
    <w:abstractNumId w:val="31"/>
  </w:num>
  <w:num w:numId="44" w16cid:durableId="1034888825">
    <w:abstractNumId w:val="21"/>
  </w:num>
  <w:num w:numId="45" w16cid:durableId="868301126">
    <w:abstractNumId w:val="43"/>
  </w:num>
  <w:num w:numId="46" w16cid:durableId="839200457">
    <w:abstractNumId w:val="5"/>
  </w:num>
  <w:num w:numId="47" w16cid:durableId="1105998602">
    <w:abstractNumId w:val="35"/>
  </w:num>
  <w:num w:numId="48" w16cid:durableId="2021347564">
    <w:abstractNumId w:val="1"/>
  </w:num>
  <w:num w:numId="49" w16cid:durableId="327563905">
    <w:abstractNumId w:val="18"/>
  </w:num>
  <w:num w:numId="50" w16cid:durableId="1639337666">
    <w:abstractNumId w:val="11"/>
  </w:num>
  <w:num w:numId="51" w16cid:durableId="882135805">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728"/>
    <w:rsid w:val="0000011F"/>
    <w:rsid w:val="0000026E"/>
    <w:rsid w:val="00000590"/>
    <w:rsid w:val="000005A0"/>
    <w:rsid w:val="00000791"/>
    <w:rsid w:val="000008B2"/>
    <w:rsid w:val="00000ACF"/>
    <w:rsid w:val="00000E6D"/>
    <w:rsid w:val="00000E9D"/>
    <w:rsid w:val="00000F08"/>
    <w:rsid w:val="00000F5C"/>
    <w:rsid w:val="00000FF1"/>
    <w:rsid w:val="00001083"/>
    <w:rsid w:val="000010ED"/>
    <w:rsid w:val="0000192D"/>
    <w:rsid w:val="00001A16"/>
    <w:rsid w:val="00001AC0"/>
    <w:rsid w:val="00001D06"/>
    <w:rsid w:val="00001D11"/>
    <w:rsid w:val="00001D34"/>
    <w:rsid w:val="00001D72"/>
    <w:rsid w:val="00002289"/>
    <w:rsid w:val="0000247B"/>
    <w:rsid w:val="000024CD"/>
    <w:rsid w:val="000024EB"/>
    <w:rsid w:val="0000251A"/>
    <w:rsid w:val="0000253C"/>
    <w:rsid w:val="00002623"/>
    <w:rsid w:val="00002629"/>
    <w:rsid w:val="00002990"/>
    <w:rsid w:val="00002CB2"/>
    <w:rsid w:val="00002D25"/>
    <w:rsid w:val="000031A5"/>
    <w:rsid w:val="0000327E"/>
    <w:rsid w:val="000033B3"/>
    <w:rsid w:val="00003C34"/>
    <w:rsid w:val="0000417C"/>
    <w:rsid w:val="00004370"/>
    <w:rsid w:val="000045C3"/>
    <w:rsid w:val="0000465A"/>
    <w:rsid w:val="000048AC"/>
    <w:rsid w:val="00004BAE"/>
    <w:rsid w:val="00004BBF"/>
    <w:rsid w:val="00004BFE"/>
    <w:rsid w:val="00004C18"/>
    <w:rsid w:val="0000527B"/>
    <w:rsid w:val="000052F9"/>
    <w:rsid w:val="0000565C"/>
    <w:rsid w:val="00005660"/>
    <w:rsid w:val="00005682"/>
    <w:rsid w:val="00005844"/>
    <w:rsid w:val="00005A7D"/>
    <w:rsid w:val="00005D95"/>
    <w:rsid w:val="00005E0D"/>
    <w:rsid w:val="00005F83"/>
    <w:rsid w:val="000061FF"/>
    <w:rsid w:val="00006307"/>
    <w:rsid w:val="0000634F"/>
    <w:rsid w:val="00006604"/>
    <w:rsid w:val="00006620"/>
    <w:rsid w:val="00006683"/>
    <w:rsid w:val="00006747"/>
    <w:rsid w:val="00006958"/>
    <w:rsid w:val="0000695D"/>
    <w:rsid w:val="00006C1F"/>
    <w:rsid w:val="00006C55"/>
    <w:rsid w:val="00006DA1"/>
    <w:rsid w:val="000071CD"/>
    <w:rsid w:val="0000783F"/>
    <w:rsid w:val="00007A97"/>
    <w:rsid w:val="00007D1F"/>
    <w:rsid w:val="00007DAF"/>
    <w:rsid w:val="00010044"/>
    <w:rsid w:val="000102AA"/>
    <w:rsid w:val="000102BF"/>
    <w:rsid w:val="00010385"/>
    <w:rsid w:val="00010561"/>
    <w:rsid w:val="00010669"/>
    <w:rsid w:val="000107C0"/>
    <w:rsid w:val="0001081B"/>
    <w:rsid w:val="0001081C"/>
    <w:rsid w:val="00010CDD"/>
    <w:rsid w:val="00010D5C"/>
    <w:rsid w:val="00011364"/>
    <w:rsid w:val="000113F1"/>
    <w:rsid w:val="00011438"/>
    <w:rsid w:val="0001167E"/>
    <w:rsid w:val="00011CD2"/>
    <w:rsid w:val="00011F8A"/>
    <w:rsid w:val="0001212F"/>
    <w:rsid w:val="00012469"/>
    <w:rsid w:val="00012943"/>
    <w:rsid w:val="00012DDB"/>
    <w:rsid w:val="00012E77"/>
    <w:rsid w:val="00012E9B"/>
    <w:rsid w:val="00012F8C"/>
    <w:rsid w:val="00013098"/>
    <w:rsid w:val="00013374"/>
    <w:rsid w:val="00013957"/>
    <w:rsid w:val="00013EFF"/>
    <w:rsid w:val="00013F9D"/>
    <w:rsid w:val="000140BF"/>
    <w:rsid w:val="0001440D"/>
    <w:rsid w:val="0001445A"/>
    <w:rsid w:val="00014552"/>
    <w:rsid w:val="00014644"/>
    <w:rsid w:val="00014924"/>
    <w:rsid w:val="00014A12"/>
    <w:rsid w:val="00014FC4"/>
    <w:rsid w:val="00014FD8"/>
    <w:rsid w:val="0001501D"/>
    <w:rsid w:val="000151CD"/>
    <w:rsid w:val="00015A2E"/>
    <w:rsid w:val="00015B38"/>
    <w:rsid w:val="00015CB5"/>
    <w:rsid w:val="00015D0D"/>
    <w:rsid w:val="00015DBE"/>
    <w:rsid w:val="00015E16"/>
    <w:rsid w:val="00015FE0"/>
    <w:rsid w:val="00015FF1"/>
    <w:rsid w:val="00016009"/>
    <w:rsid w:val="000160F3"/>
    <w:rsid w:val="00016679"/>
    <w:rsid w:val="00016802"/>
    <w:rsid w:val="000171D3"/>
    <w:rsid w:val="000179F4"/>
    <w:rsid w:val="00020140"/>
    <w:rsid w:val="0002025F"/>
    <w:rsid w:val="00020264"/>
    <w:rsid w:val="000203B1"/>
    <w:rsid w:val="0002043C"/>
    <w:rsid w:val="0002087A"/>
    <w:rsid w:val="00020AAB"/>
    <w:rsid w:val="00020DAF"/>
    <w:rsid w:val="00021279"/>
    <w:rsid w:val="00021335"/>
    <w:rsid w:val="00021384"/>
    <w:rsid w:val="000214C8"/>
    <w:rsid w:val="000214D1"/>
    <w:rsid w:val="00021589"/>
    <w:rsid w:val="00021742"/>
    <w:rsid w:val="000217B1"/>
    <w:rsid w:val="0002193F"/>
    <w:rsid w:val="000219DB"/>
    <w:rsid w:val="00021E42"/>
    <w:rsid w:val="00021E53"/>
    <w:rsid w:val="00021FA7"/>
    <w:rsid w:val="0002221F"/>
    <w:rsid w:val="000223A4"/>
    <w:rsid w:val="000223D0"/>
    <w:rsid w:val="00022667"/>
    <w:rsid w:val="0002284C"/>
    <w:rsid w:val="00022CD9"/>
    <w:rsid w:val="00022E60"/>
    <w:rsid w:val="00022EBD"/>
    <w:rsid w:val="00022F07"/>
    <w:rsid w:val="000231A9"/>
    <w:rsid w:val="000231EF"/>
    <w:rsid w:val="0002346D"/>
    <w:rsid w:val="00023E15"/>
    <w:rsid w:val="00023E5E"/>
    <w:rsid w:val="00023F65"/>
    <w:rsid w:val="00024370"/>
    <w:rsid w:val="000245A6"/>
    <w:rsid w:val="000245F6"/>
    <w:rsid w:val="000248D3"/>
    <w:rsid w:val="00024960"/>
    <w:rsid w:val="00024ADB"/>
    <w:rsid w:val="00024CCE"/>
    <w:rsid w:val="00025146"/>
    <w:rsid w:val="0002518C"/>
    <w:rsid w:val="0002519A"/>
    <w:rsid w:val="000258C3"/>
    <w:rsid w:val="00025B67"/>
    <w:rsid w:val="00025CB5"/>
    <w:rsid w:val="00025F26"/>
    <w:rsid w:val="000260DF"/>
    <w:rsid w:val="00026235"/>
    <w:rsid w:val="000265D1"/>
    <w:rsid w:val="00026912"/>
    <w:rsid w:val="000269BE"/>
    <w:rsid w:val="00026B62"/>
    <w:rsid w:val="00026C19"/>
    <w:rsid w:val="00026C3F"/>
    <w:rsid w:val="00026E56"/>
    <w:rsid w:val="00026FCC"/>
    <w:rsid w:val="000270A1"/>
    <w:rsid w:val="000274F9"/>
    <w:rsid w:val="0002753E"/>
    <w:rsid w:val="0002776C"/>
    <w:rsid w:val="000279FB"/>
    <w:rsid w:val="00027CAE"/>
    <w:rsid w:val="00027F17"/>
    <w:rsid w:val="00030137"/>
    <w:rsid w:val="000305EC"/>
    <w:rsid w:val="00030DF4"/>
    <w:rsid w:val="000310CB"/>
    <w:rsid w:val="00031263"/>
    <w:rsid w:val="00031298"/>
    <w:rsid w:val="000314B8"/>
    <w:rsid w:val="000316DF"/>
    <w:rsid w:val="000316F0"/>
    <w:rsid w:val="00031854"/>
    <w:rsid w:val="00031B10"/>
    <w:rsid w:val="00031DE8"/>
    <w:rsid w:val="00031E0A"/>
    <w:rsid w:val="00031E49"/>
    <w:rsid w:val="00031F61"/>
    <w:rsid w:val="000321FF"/>
    <w:rsid w:val="000323BB"/>
    <w:rsid w:val="000323D4"/>
    <w:rsid w:val="0003242D"/>
    <w:rsid w:val="000326BB"/>
    <w:rsid w:val="00032820"/>
    <w:rsid w:val="0003292A"/>
    <w:rsid w:val="00032CDE"/>
    <w:rsid w:val="00032E37"/>
    <w:rsid w:val="00033D4D"/>
    <w:rsid w:val="00033EC4"/>
    <w:rsid w:val="000340F7"/>
    <w:rsid w:val="0003413C"/>
    <w:rsid w:val="00034177"/>
    <w:rsid w:val="000343D3"/>
    <w:rsid w:val="00034475"/>
    <w:rsid w:val="000349D5"/>
    <w:rsid w:val="00034B8A"/>
    <w:rsid w:val="00035754"/>
    <w:rsid w:val="0003575D"/>
    <w:rsid w:val="000358F7"/>
    <w:rsid w:val="00035C0F"/>
    <w:rsid w:val="00035CBD"/>
    <w:rsid w:val="00036072"/>
    <w:rsid w:val="000360DA"/>
    <w:rsid w:val="00036332"/>
    <w:rsid w:val="000363BF"/>
    <w:rsid w:val="0003649A"/>
    <w:rsid w:val="0003667E"/>
    <w:rsid w:val="0003671A"/>
    <w:rsid w:val="000367B5"/>
    <w:rsid w:val="000368BD"/>
    <w:rsid w:val="0003694A"/>
    <w:rsid w:val="00036DA0"/>
    <w:rsid w:val="0003706E"/>
    <w:rsid w:val="000370C8"/>
    <w:rsid w:val="00037100"/>
    <w:rsid w:val="00037350"/>
    <w:rsid w:val="00037406"/>
    <w:rsid w:val="0003745C"/>
    <w:rsid w:val="0003762F"/>
    <w:rsid w:val="00037951"/>
    <w:rsid w:val="00037B01"/>
    <w:rsid w:val="00037D83"/>
    <w:rsid w:val="00037ECF"/>
    <w:rsid w:val="00040A29"/>
    <w:rsid w:val="00040A42"/>
    <w:rsid w:val="00040EC5"/>
    <w:rsid w:val="00040FD7"/>
    <w:rsid w:val="00041222"/>
    <w:rsid w:val="00041504"/>
    <w:rsid w:val="000417AB"/>
    <w:rsid w:val="0004180C"/>
    <w:rsid w:val="0004189C"/>
    <w:rsid w:val="000418B8"/>
    <w:rsid w:val="000419CE"/>
    <w:rsid w:val="00041D48"/>
    <w:rsid w:val="00041FB6"/>
    <w:rsid w:val="00042078"/>
    <w:rsid w:val="00042180"/>
    <w:rsid w:val="000421D8"/>
    <w:rsid w:val="0004235C"/>
    <w:rsid w:val="00042371"/>
    <w:rsid w:val="000424D6"/>
    <w:rsid w:val="00042559"/>
    <w:rsid w:val="000428CB"/>
    <w:rsid w:val="00042E8A"/>
    <w:rsid w:val="00043127"/>
    <w:rsid w:val="00043364"/>
    <w:rsid w:val="0004347A"/>
    <w:rsid w:val="00043A47"/>
    <w:rsid w:val="00043B01"/>
    <w:rsid w:val="00043C76"/>
    <w:rsid w:val="0004438F"/>
    <w:rsid w:val="000443B9"/>
    <w:rsid w:val="000443D0"/>
    <w:rsid w:val="00044721"/>
    <w:rsid w:val="0004475E"/>
    <w:rsid w:val="00044789"/>
    <w:rsid w:val="000447B5"/>
    <w:rsid w:val="000448FC"/>
    <w:rsid w:val="000448FE"/>
    <w:rsid w:val="00044BC9"/>
    <w:rsid w:val="00044E6D"/>
    <w:rsid w:val="00045227"/>
    <w:rsid w:val="0004544D"/>
    <w:rsid w:val="00045595"/>
    <w:rsid w:val="00045BAA"/>
    <w:rsid w:val="00045CE2"/>
    <w:rsid w:val="00045D98"/>
    <w:rsid w:val="00045FFB"/>
    <w:rsid w:val="0004606C"/>
    <w:rsid w:val="0004630D"/>
    <w:rsid w:val="000464AC"/>
    <w:rsid w:val="0004670D"/>
    <w:rsid w:val="0004712B"/>
    <w:rsid w:val="000478D1"/>
    <w:rsid w:val="00047D49"/>
    <w:rsid w:val="00047E72"/>
    <w:rsid w:val="00047FCF"/>
    <w:rsid w:val="0005025E"/>
    <w:rsid w:val="000505B6"/>
    <w:rsid w:val="00050DC1"/>
    <w:rsid w:val="00050E0C"/>
    <w:rsid w:val="00051138"/>
    <w:rsid w:val="000512B9"/>
    <w:rsid w:val="0005160A"/>
    <w:rsid w:val="0005161E"/>
    <w:rsid w:val="000518FC"/>
    <w:rsid w:val="000519A2"/>
    <w:rsid w:val="000519E5"/>
    <w:rsid w:val="00051BBC"/>
    <w:rsid w:val="000525A1"/>
    <w:rsid w:val="0005297F"/>
    <w:rsid w:val="00052E6C"/>
    <w:rsid w:val="00052F9E"/>
    <w:rsid w:val="0005307D"/>
    <w:rsid w:val="000531E9"/>
    <w:rsid w:val="000532B3"/>
    <w:rsid w:val="00053309"/>
    <w:rsid w:val="00053612"/>
    <w:rsid w:val="00053D75"/>
    <w:rsid w:val="000541EA"/>
    <w:rsid w:val="00054479"/>
    <w:rsid w:val="000545B3"/>
    <w:rsid w:val="000546FE"/>
    <w:rsid w:val="00054786"/>
    <w:rsid w:val="000548BA"/>
    <w:rsid w:val="00054C03"/>
    <w:rsid w:val="00054F80"/>
    <w:rsid w:val="00055171"/>
    <w:rsid w:val="0005549C"/>
    <w:rsid w:val="00055506"/>
    <w:rsid w:val="000557A6"/>
    <w:rsid w:val="0005587D"/>
    <w:rsid w:val="000558E0"/>
    <w:rsid w:val="00055C70"/>
    <w:rsid w:val="0005606B"/>
    <w:rsid w:val="000560DB"/>
    <w:rsid w:val="000561EC"/>
    <w:rsid w:val="000568F9"/>
    <w:rsid w:val="00056995"/>
    <w:rsid w:val="00056C96"/>
    <w:rsid w:val="00056D9E"/>
    <w:rsid w:val="00056FA3"/>
    <w:rsid w:val="000571A5"/>
    <w:rsid w:val="000572A5"/>
    <w:rsid w:val="00057361"/>
    <w:rsid w:val="0005743B"/>
    <w:rsid w:val="00057467"/>
    <w:rsid w:val="00057557"/>
    <w:rsid w:val="0005786A"/>
    <w:rsid w:val="000602B5"/>
    <w:rsid w:val="000604B2"/>
    <w:rsid w:val="0006052D"/>
    <w:rsid w:val="0006054E"/>
    <w:rsid w:val="00060611"/>
    <w:rsid w:val="0006063B"/>
    <w:rsid w:val="00060806"/>
    <w:rsid w:val="00060C2D"/>
    <w:rsid w:val="00060D1B"/>
    <w:rsid w:val="00060D59"/>
    <w:rsid w:val="00060E93"/>
    <w:rsid w:val="00060EBD"/>
    <w:rsid w:val="00061049"/>
    <w:rsid w:val="00061113"/>
    <w:rsid w:val="00061193"/>
    <w:rsid w:val="0006139F"/>
    <w:rsid w:val="00061598"/>
    <w:rsid w:val="000616E5"/>
    <w:rsid w:val="00061806"/>
    <w:rsid w:val="00061A59"/>
    <w:rsid w:val="00061B62"/>
    <w:rsid w:val="00061C5E"/>
    <w:rsid w:val="00061D81"/>
    <w:rsid w:val="000623D7"/>
    <w:rsid w:val="00062686"/>
    <w:rsid w:val="00062693"/>
    <w:rsid w:val="00062941"/>
    <w:rsid w:val="00062A59"/>
    <w:rsid w:val="00062B5B"/>
    <w:rsid w:val="000635EB"/>
    <w:rsid w:val="00063E82"/>
    <w:rsid w:val="000640D9"/>
    <w:rsid w:val="000641F2"/>
    <w:rsid w:val="00064253"/>
    <w:rsid w:val="00064303"/>
    <w:rsid w:val="00064798"/>
    <w:rsid w:val="00064936"/>
    <w:rsid w:val="00064D8E"/>
    <w:rsid w:val="00064E85"/>
    <w:rsid w:val="00065177"/>
    <w:rsid w:val="00065202"/>
    <w:rsid w:val="00065565"/>
    <w:rsid w:val="000655F8"/>
    <w:rsid w:val="00065BA4"/>
    <w:rsid w:val="00065EA5"/>
    <w:rsid w:val="0006622D"/>
    <w:rsid w:val="000664EC"/>
    <w:rsid w:val="00066998"/>
    <w:rsid w:val="00066DE6"/>
    <w:rsid w:val="00067122"/>
    <w:rsid w:val="0006718A"/>
    <w:rsid w:val="0006760E"/>
    <w:rsid w:val="00067720"/>
    <w:rsid w:val="000678A9"/>
    <w:rsid w:val="00067B13"/>
    <w:rsid w:val="00067BF9"/>
    <w:rsid w:val="00067C6C"/>
    <w:rsid w:val="000704C8"/>
    <w:rsid w:val="00070671"/>
    <w:rsid w:val="000708F3"/>
    <w:rsid w:val="00070AB2"/>
    <w:rsid w:val="00070B50"/>
    <w:rsid w:val="00070C7B"/>
    <w:rsid w:val="00071539"/>
    <w:rsid w:val="000715A1"/>
    <w:rsid w:val="000718C7"/>
    <w:rsid w:val="00071978"/>
    <w:rsid w:val="00071B43"/>
    <w:rsid w:val="00071B5F"/>
    <w:rsid w:val="00071F17"/>
    <w:rsid w:val="00071F98"/>
    <w:rsid w:val="00071FA1"/>
    <w:rsid w:val="0007229F"/>
    <w:rsid w:val="0007246F"/>
    <w:rsid w:val="00072646"/>
    <w:rsid w:val="00072744"/>
    <w:rsid w:val="00072B7C"/>
    <w:rsid w:val="00072F59"/>
    <w:rsid w:val="00073127"/>
    <w:rsid w:val="000732C8"/>
    <w:rsid w:val="00073486"/>
    <w:rsid w:val="000734F8"/>
    <w:rsid w:val="000736B8"/>
    <w:rsid w:val="00073934"/>
    <w:rsid w:val="00073BF9"/>
    <w:rsid w:val="00073C03"/>
    <w:rsid w:val="00073E21"/>
    <w:rsid w:val="0007404C"/>
    <w:rsid w:val="000741D0"/>
    <w:rsid w:val="00074246"/>
    <w:rsid w:val="0007455D"/>
    <w:rsid w:val="000750B4"/>
    <w:rsid w:val="00075616"/>
    <w:rsid w:val="000758B0"/>
    <w:rsid w:val="0007597C"/>
    <w:rsid w:val="00075A0E"/>
    <w:rsid w:val="00075A4F"/>
    <w:rsid w:val="00075BA1"/>
    <w:rsid w:val="00075C72"/>
    <w:rsid w:val="0007602E"/>
    <w:rsid w:val="000760A9"/>
    <w:rsid w:val="00076670"/>
    <w:rsid w:val="000767B0"/>
    <w:rsid w:val="000768AA"/>
    <w:rsid w:val="000777AB"/>
    <w:rsid w:val="000777CE"/>
    <w:rsid w:val="00077D55"/>
    <w:rsid w:val="00077E33"/>
    <w:rsid w:val="00077EC8"/>
    <w:rsid w:val="00080663"/>
    <w:rsid w:val="00080750"/>
    <w:rsid w:val="000807B1"/>
    <w:rsid w:val="00080CD8"/>
    <w:rsid w:val="00080E0D"/>
    <w:rsid w:val="00080EAF"/>
    <w:rsid w:val="00081409"/>
    <w:rsid w:val="000815BE"/>
    <w:rsid w:val="00081664"/>
    <w:rsid w:val="000816EC"/>
    <w:rsid w:val="000817CB"/>
    <w:rsid w:val="00081818"/>
    <w:rsid w:val="000819F3"/>
    <w:rsid w:val="00081A1C"/>
    <w:rsid w:val="00081A21"/>
    <w:rsid w:val="00081B13"/>
    <w:rsid w:val="00081B53"/>
    <w:rsid w:val="00081DD3"/>
    <w:rsid w:val="00081EB2"/>
    <w:rsid w:val="0008231D"/>
    <w:rsid w:val="0008233D"/>
    <w:rsid w:val="00082358"/>
    <w:rsid w:val="0008238B"/>
    <w:rsid w:val="000823CE"/>
    <w:rsid w:val="00082620"/>
    <w:rsid w:val="000827C5"/>
    <w:rsid w:val="000828F1"/>
    <w:rsid w:val="00083038"/>
    <w:rsid w:val="00083606"/>
    <w:rsid w:val="00083636"/>
    <w:rsid w:val="00083D9F"/>
    <w:rsid w:val="00083DC3"/>
    <w:rsid w:val="00083FD7"/>
    <w:rsid w:val="0008428B"/>
    <w:rsid w:val="00084536"/>
    <w:rsid w:val="0008482C"/>
    <w:rsid w:val="00084995"/>
    <w:rsid w:val="000849F1"/>
    <w:rsid w:val="00084A93"/>
    <w:rsid w:val="00084C56"/>
    <w:rsid w:val="00084DBA"/>
    <w:rsid w:val="00084F64"/>
    <w:rsid w:val="00085043"/>
    <w:rsid w:val="00085149"/>
    <w:rsid w:val="0008543E"/>
    <w:rsid w:val="00085933"/>
    <w:rsid w:val="00085C3E"/>
    <w:rsid w:val="00085CC3"/>
    <w:rsid w:val="000865D3"/>
    <w:rsid w:val="00086696"/>
    <w:rsid w:val="00087233"/>
    <w:rsid w:val="000872EA"/>
    <w:rsid w:val="000873EF"/>
    <w:rsid w:val="00087579"/>
    <w:rsid w:val="0008760C"/>
    <w:rsid w:val="00087908"/>
    <w:rsid w:val="00087D28"/>
    <w:rsid w:val="00087D7D"/>
    <w:rsid w:val="00087E10"/>
    <w:rsid w:val="0009003D"/>
    <w:rsid w:val="000901A7"/>
    <w:rsid w:val="000901F5"/>
    <w:rsid w:val="00090412"/>
    <w:rsid w:val="00090469"/>
    <w:rsid w:val="00090751"/>
    <w:rsid w:val="00090DBA"/>
    <w:rsid w:val="00090F4D"/>
    <w:rsid w:val="00091004"/>
    <w:rsid w:val="00091017"/>
    <w:rsid w:val="00091044"/>
    <w:rsid w:val="000910F9"/>
    <w:rsid w:val="0009148D"/>
    <w:rsid w:val="0009176A"/>
    <w:rsid w:val="00091785"/>
    <w:rsid w:val="00091A7E"/>
    <w:rsid w:val="00091F17"/>
    <w:rsid w:val="000925FC"/>
    <w:rsid w:val="000929C5"/>
    <w:rsid w:val="00092A9C"/>
    <w:rsid w:val="00092C5D"/>
    <w:rsid w:val="00092C9A"/>
    <w:rsid w:val="0009306D"/>
    <w:rsid w:val="000932B0"/>
    <w:rsid w:val="0009343E"/>
    <w:rsid w:val="00093445"/>
    <w:rsid w:val="0009347C"/>
    <w:rsid w:val="000937A0"/>
    <w:rsid w:val="000938BA"/>
    <w:rsid w:val="00093956"/>
    <w:rsid w:val="00093985"/>
    <w:rsid w:val="00094085"/>
    <w:rsid w:val="00094131"/>
    <w:rsid w:val="00094419"/>
    <w:rsid w:val="0009444D"/>
    <w:rsid w:val="00094722"/>
    <w:rsid w:val="0009481B"/>
    <w:rsid w:val="00094EBB"/>
    <w:rsid w:val="00094EC6"/>
    <w:rsid w:val="000950B4"/>
    <w:rsid w:val="0009520D"/>
    <w:rsid w:val="00095223"/>
    <w:rsid w:val="00095496"/>
    <w:rsid w:val="000954F7"/>
    <w:rsid w:val="000955FF"/>
    <w:rsid w:val="000957C4"/>
    <w:rsid w:val="00095CD0"/>
    <w:rsid w:val="00095D50"/>
    <w:rsid w:val="00095E32"/>
    <w:rsid w:val="00095F0B"/>
    <w:rsid w:val="00095F27"/>
    <w:rsid w:val="00096247"/>
    <w:rsid w:val="00096338"/>
    <w:rsid w:val="000966D1"/>
    <w:rsid w:val="00096A72"/>
    <w:rsid w:val="00096E89"/>
    <w:rsid w:val="00097981"/>
    <w:rsid w:val="00097B00"/>
    <w:rsid w:val="00097C16"/>
    <w:rsid w:val="00097EC2"/>
    <w:rsid w:val="000A0376"/>
    <w:rsid w:val="000A04B1"/>
    <w:rsid w:val="000A0504"/>
    <w:rsid w:val="000A05D6"/>
    <w:rsid w:val="000A0758"/>
    <w:rsid w:val="000A091A"/>
    <w:rsid w:val="000A0C90"/>
    <w:rsid w:val="000A0D17"/>
    <w:rsid w:val="000A0E3B"/>
    <w:rsid w:val="000A0E49"/>
    <w:rsid w:val="000A0F9D"/>
    <w:rsid w:val="000A114F"/>
    <w:rsid w:val="000A12D5"/>
    <w:rsid w:val="000A187D"/>
    <w:rsid w:val="000A1A03"/>
    <w:rsid w:val="000A1C0F"/>
    <w:rsid w:val="000A1E36"/>
    <w:rsid w:val="000A200A"/>
    <w:rsid w:val="000A223E"/>
    <w:rsid w:val="000A2327"/>
    <w:rsid w:val="000A2695"/>
    <w:rsid w:val="000A2AD4"/>
    <w:rsid w:val="000A2D12"/>
    <w:rsid w:val="000A3317"/>
    <w:rsid w:val="000A3B40"/>
    <w:rsid w:val="000A4025"/>
    <w:rsid w:val="000A40E6"/>
    <w:rsid w:val="000A417B"/>
    <w:rsid w:val="000A41A8"/>
    <w:rsid w:val="000A434C"/>
    <w:rsid w:val="000A438A"/>
    <w:rsid w:val="000A43AC"/>
    <w:rsid w:val="000A47D9"/>
    <w:rsid w:val="000A47FC"/>
    <w:rsid w:val="000A4941"/>
    <w:rsid w:val="000A5024"/>
    <w:rsid w:val="000A51EB"/>
    <w:rsid w:val="000A5348"/>
    <w:rsid w:val="000A5583"/>
    <w:rsid w:val="000A5870"/>
    <w:rsid w:val="000A5998"/>
    <w:rsid w:val="000A5B9E"/>
    <w:rsid w:val="000A5C5F"/>
    <w:rsid w:val="000A6230"/>
    <w:rsid w:val="000A6372"/>
    <w:rsid w:val="000A64E2"/>
    <w:rsid w:val="000A65F1"/>
    <w:rsid w:val="000A6708"/>
    <w:rsid w:val="000A69F2"/>
    <w:rsid w:val="000A6E48"/>
    <w:rsid w:val="000A6F28"/>
    <w:rsid w:val="000A6FF2"/>
    <w:rsid w:val="000A711D"/>
    <w:rsid w:val="000A7201"/>
    <w:rsid w:val="000A792A"/>
    <w:rsid w:val="000A7C1F"/>
    <w:rsid w:val="000B0058"/>
    <w:rsid w:val="000B0128"/>
    <w:rsid w:val="000B0628"/>
    <w:rsid w:val="000B0AC1"/>
    <w:rsid w:val="000B0D59"/>
    <w:rsid w:val="000B1340"/>
    <w:rsid w:val="000B134A"/>
    <w:rsid w:val="000B1380"/>
    <w:rsid w:val="000B13C2"/>
    <w:rsid w:val="000B157F"/>
    <w:rsid w:val="000B15AA"/>
    <w:rsid w:val="000B19E6"/>
    <w:rsid w:val="000B1B83"/>
    <w:rsid w:val="000B1EC3"/>
    <w:rsid w:val="000B208C"/>
    <w:rsid w:val="000B26A6"/>
    <w:rsid w:val="000B273A"/>
    <w:rsid w:val="000B2C45"/>
    <w:rsid w:val="000B2C6A"/>
    <w:rsid w:val="000B2D47"/>
    <w:rsid w:val="000B2F12"/>
    <w:rsid w:val="000B3245"/>
    <w:rsid w:val="000B34CF"/>
    <w:rsid w:val="000B34F1"/>
    <w:rsid w:val="000B359E"/>
    <w:rsid w:val="000B36C6"/>
    <w:rsid w:val="000B3728"/>
    <w:rsid w:val="000B3792"/>
    <w:rsid w:val="000B37B5"/>
    <w:rsid w:val="000B38BA"/>
    <w:rsid w:val="000B3A7A"/>
    <w:rsid w:val="000B3C88"/>
    <w:rsid w:val="000B3F3E"/>
    <w:rsid w:val="000B3F90"/>
    <w:rsid w:val="000B3FA1"/>
    <w:rsid w:val="000B3FCC"/>
    <w:rsid w:val="000B403E"/>
    <w:rsid w:val="000B4098"/>
    <w:rsid w:val="000B40CC"/>
    <w:rsid w:val="000B4216"/>
    <w:rsid w:val="000B4230"/>
    <w:rsid w:val="000B44E7"/>
    <w:rsid w:val="000B44F6"/>
    <w:rsid w:val="000B472C"/>
    <w:rsid w:val="000B4B5A"/>
    <w:rsid w:val="000B4BE4"/>
    <w:rsid w:val="000B51ED"/>
    <w:rsid w:val="000B5471"/>
    <w:rsid w:val="000B5740"/>
    <w:rsid w:val="000B5970"/>
    <w:rsid w:val="000B5BBB"/>
    <w:rsid w:val="000B5C26"/>
    <w:rsid w:val="000B5CF1"/>
    <w:rsid w:val="000B5EB3"/>
    <w:rsid w:val="000B60F4"/>
    <w:rsid w:val="000B60FF"/>
    <w:rsid w:val="000B6AD1"/>
    <w:rsid w:val="000B6BC0"/>
    <w:rsid w:val="000B6C84"/>
    <w:rsid w:val="000B6FB8"/>
    <w:rsid w:val="000B7353"/>
    <w:rsid w:val="000B7590"/>
    <w:rsid w:val="000B772C"/>
    <w:rsid w:val="000B78B9"/>
    <w:rsid w:val="000B7CE9"/>
    <w:rsid w:val="000C016D"/>
    <w:rsid w:val="000C0179"/>
    <w:rsid w:val="000C0224"/>
    <w:rsid w:val="000C03CD"/>
    <w:rsid w:val="000C07B3"/>
    <w:rsid w:val="000C0C55"/>
    <w:rsid w:val="000C0EA6"/>
    <w:rsid w:val="000C0F7E"/>
    <w:rsid w:val="000C136E"/>
    <w:rsid w:val="000C13F1"/>
    <w:rsid w:val="000C1507"/>
    <w:rsid w:val="000C1552"/>
    <w:rsid w:val="000C1566"/>
    <w:rsid w:val="000C1C03"/>
    <w:rsid w:val="000C1EB6"/>
    <w:rsid w:val="000C2011"/>
    <w:rsid w:val="000C2272"/>
    <w:rsid w:val="000C24D7"/>
    <w:rsid w:val="000C2594"/>
    <w:rsid w:val="000C28E4"/>
    <w:rsid w:val="000C28FE"/>
    <w:rsid w:val="000C32BB"/>
    <w:rsid w:val="000C35B3"/>
    <w:rsid w:val="000C3765"/>
    <w:rsid w:val="000C3885"/>
    <w:rsid w:val="000C3895"/>
    <w:rsid w:val="000C39A1"/>
    <w:rsid w:val="000C3A14"/>
    <w:rsid w:val="000C3AB3"/>
    <w:rsid w:val="000C4060"/>
    <w:rsid w:val="000C454B"/>
    <w:rsid w:val="000C45FA"/>
    <w:rsid w:val="000C4644"/>
    <w:rsid w:val="000C4A33"/>
    <w:rsid w:val="000C4AB6"/>
    <w:rsid w:val="000C4C01"/>
    <w:rsid w:val="000C501E"/>
    <w:rsid w:val="000C531D"/>
    <w:rsid w:val="000C5346"/>
    <w:rsid w:val="000C537E"/>
    <w:rsid w:val="000C5AF1"/>
    <w:rsid w:val="000C5CF9"/>
    <w:rsid w:val="000C5FF2"/>
    <w:rsid w:val="000C622D"/>
    <w:rsid w:val="000C6242"/>
    <w:rsid w:val="000C6313"/>
    <w:rsid w:val="000C68DB"/>
    <w:rsid w:val="000C761A"/>
    <w:rsid w:val="000C7BF6"/>
    <w:rsid w:val="000C7F7C"/>
    <w:rsid w:val="000D0042"/>
    <w:rsid w:val="000D0281"/>
    <w:rsid w:val="000D0497"/>
    <w:rsid w:val="000D0562"/>
    <w:rsid w:val="000D05B7"/>
    <w:rsid w:val="000D0A46"/>
    <w:rsid w:val="000D0B56"/>
    <w:rsid w:val="000D0CD5"/>
    <w:rsid w:val="000D0D5C"/>
    <w:rsid w:val="000D0F5D"/>
    <w:rsid w:val="000D116F"/>
    <w:rsid w:val="000D14A5"/>
    <w:rsid w:val="000D1563"/>
    <w:rsid w:val="000D174D"/>
    <w:rsid w:val="000D1821"/>
    <w:rsid w:val="000D195A"/>
    <w:rsid w:val="000D1962"/>
    <w:rsid w:val="000D1D15"/>
    <w:rsid w:val="000D21E0"/>
    <w:rsid w:val="000D23F9"/>
    <w:rsid w:val="000D2452"/>
    <w:rsid w:val="000D27C5"/>
    <w:rsid w:val="000D2C32"/>
    <w:rsid w:val="000D3250"/>
    <w:rsid w:val="000D332D"/>
    <w:rsid w:val="000D3803"/>
    <w:rsid w:val="000D3E6C"/>
    <w:rsid w:val="000D3E92"/>
    <w:rsid w:val="000D4094"/>
    <w:rsid w:val="000D4103"/>
    <w:rsid w:val="000D411D"/>
    <w:rsid w:val="000D44DA"/>
    <w:rsid w:val="000D452B"/>
    <w:rsid w:val="000D48C0"/>
    <w:rsid w:val="000D497A"/>
    <w:rsid w:val="000D49EC"/>
    <w:rsid w:val="000D4A23"/>
    <w:rsid w:val="000D4D09"/>
    <w:rsid w:val="000D547E"/>
    <w:rsid w:val="000D5522"/>
    <w:rsid w:val="000D5889"/>
    <w:rsid w:val="000D591A"/>
    <w:rsid w:val="000D6479"/>
    <w:rsid w:val="000D68EE"/>
    <w:rsid w:val="000D6B40"/>
    <w:rsid w:val="000D6B50"/>
    <w:rsid w:val="000D6ED5"/>
    <w:rsid w:val="000D6F40"/>
    <w:rsid w:val="000D71FC"/>
    <w:rsid w:val="000D72E5"/>
    <w:rsid w:val="000D7DDD"/>
    <w:rsid w:val="000D7F58"/>
    <w:rsid w:val="000E00D7"/>
    <w:rsid w:val="000E0483"/>
    <w:rsid w:val="000E0508"/>
    <w:rsid w:val="000E08F9"/>
    <w:rsid w:val="000E0B9D"/>
    <w:rsid w:val="000E0D28"/>
    <w:rsid w:val="000E0E7B"/>
    <w:rsid w:val="000E11D0"/>
    <w:rsid w:val="000E12A6"/>
    <w:rsid w:val="000E12D8"/>
    <w:rsid w:val="000E1534"/>
    <w:rsid w:val="000E1537"/>
    <w:rsid w:val="000E1804"/>
    <w:rsid w:val="000E1B97"/>
    <w:rsid w:val="000E1CBC"/>
    <w:rsid w:val="000E1EE0"/>
    <w:rsid w:val="000E2408"/>
    <w:rsid w:val="000E2760"/>
    <w:rsid w:val="000E2AF7"/>
    <w:rsid w:val="000E2F98"/>
    <w:rsid w:val="000E312A"/>
    <w:rsid w:val="000E34EB"/>
    <w:rsid w:val="000E36D6"/>
    <w:rsid w:val="000E39C4"/>
    <w:rsid w:val="000E39DA"/>
    <w:rsid w:val="000E3A3C"/>
    <w:rsid w:val="000E3A6B"/>
    <w:rsid w:val="000E3C8B"/>
    <w:rsid w:val="000E3EDE"/>
    <w:rsid w:val="000E4221"/>
    <w:rsid w:val="000E48BD"/>
    <w:rsid w:val="000E4B6E"/>
    <w:rsid w:val="000E4D15"/>
    <w:rsid w:val="000E4F70"/>
    <w:rsid w:val="000E51D0"/>
    <w:rsid w:val="000E54CD"/>
    <w:rsid w:val="000E54D5"/>
    <w:rsid w:val="000E5561"/>
    <w:rsid w:val="000E5637"/>
    <w:rsid w:val="000E56AB"/>
    <w:rsid w:val="000E594A"/>
    <w:rsid w:val="000E5CB7"/>
    <w:rsid w:val="000E5DA4"/>
    <w:rsid w:val="000E5F7C"/>
    <w:rsid w:val="000E5FEA"/>
    <w:rsid w:val="000E6674"/>
    <w:rsid w:val="000E6964"/>
    <w:rsid w:val="000E6D03"/>
    <w:rsid w:val="000E6F72"/>
    <w:rsid w:val="000E7009"/>
    <w:rsid w:val="000E7090"/>
    <w:rsid w:val="000E72D5"/>
    <w:rsid w:val="000E72E0"/>
    <w:rsid w:val="000E7365"/>
    <w:rsid w:val="000E7589"/>
    <w:rsid w:val="000E7950"/>
    <w:rsid w:val="000E79E2"/>
    <w:rsid w:val="000E7BE1"/>
    <w:rsid w:val="000E7BFA"/>
    <w:rsid w:val="000E7D35"/>
    <w:rsid w:val="000F0131"/>
    <w:rsid w:val="000F0238"/>
    <w:rsid w:val="000F02B6"/>
    <w:rsid w:val="000F0387"/>
    <w:rsid w:val="000F0478"/>
    <w:rsid w:val="000F04B9"/>
    <w:rsid w:val="000F0A22"/>
    <w:rsid w:val="000F0A50"/>
    <w:rsid w:val="000F0EC2"/>
    <w:rsid w:val="000F1001"/>
    <w:rsid w:val="000F1112"/>
    <w:rsid w:val="000F1128"/>
    <w:rsid w:val="000F113E"/>
    <w:rsid w:val="000F1319"/>
    <w:rsid w:val="000F1694"/>
    <w:rsid w:val="000F246E"/>
    <w:rsid w:val="000F2521"/>
    <w:rsid w:val="000F25C8"/>
    <w:rsid w:val="000F268F"/>
    <w:rsid w:val="000F26B1"/>
    <w:rsid w:val="000F2993"/>
    <w:rsid w:val="000F299F"/>
    <w:rsid w:val="000F2DAB"/>
    <w:rsid w:val="000F2E9D"/>
    <w:rsid w:val="000F2F3C"/>
    <w:rsid w:val="000F2F48"/>
    <w:rsid w:val="000F3089"/>
    <w:rsid w:val="000F322A"/>
    <w:rsid w:val="000F3304"/>
    <w:rsid w:val="000F347D"/>
    <w:rsid w:val="000F3539"/>
    <w:rsid w:val="000F37FF"/>
    <w:rsid w:val="000F3A3C"/>
    <w:rsid w:val="000F3D69"/>
    <w:rsid w:val="000F3EFD"/>
    <w:rsid w:val="000F3F3D"/>
    <w:rsid w:val="000F4226"/>
    <w:rsid w:val="000F42E3"/>
    <w:rsid w:val="000F4346"/>
    <w:rsid w:val="000F4446"/>
    <w:rsid w:val="000F4463"/>
    <w:rsid w:val="000F4BED"/>
    <w:rsid w:val="000F5135"/>
    <w:rsid w:val="000F51D3"/>
    <w:rsid w:val="000F5ADB"/>
    <w:rsid w:val="000F5FED"/>
    <w:rsid w:val="000F6328"/>
    <w:rsid w:val="000F6399"/>
    <w:rsid w:val="000F664C"/>
    <w:rsid w:val="000F66E0"/>
    <w:rsid w:val="000F6943"/>
    <w:rsid w:val="000F6C63"/>
    <w:rsid w:val="000F6EEE"/>
    <w:rsid w:val="000F6FED"/>
    <w:rsid w:val="000F7826"/>
    <w:rsid w:val="000F7AF9"/>
    <w:rsid w:val="000F7C9C"/>
    <w:rsid w:val="001003B9"/>
    <w:rsid w:val="001003C7"/>
    <w:rsid w:val="00100437"/>
    <w:rsid w:val="0010049B"/>
    <w:rsid w:val="00100803"/>
    <w:rsid w:val="0010082E"/>
    <w:rsid w:val="00100898"/>
    <w:rsid w:val="00100964"/>
    <w:rsid w:val="001009AE"/>
    <w:rsid w:val="001019DF"/>
    <w:rsid w:val="00101BD5"/>
    <w:rsid w:val="00101C3F"/>
    <w:rsid w:val="00102352"/>
    <w:rsid w:val="00102904"/>
    <w:rsid w:val="00103102"/>
    <w:rsid w:val="00103353"/>
    <w:rsid w:val="001034D3"/>
    <w:rsid w:val="001034F9"/>
    <w:rsid w:val="00103715"/>
    <w:rsid w:val="00103B20"/>
    <w:rsid w:val="00103CEA"/>
    <w:rsid w:val="00103D5E"/>
    <w:rsid w:val="001040B0"/>
    <w:rsid w:val="00104217"/>
    <w:rsid w:val="00104469"/>
    <w:rsid w:val="00104498"/>
    <w:rsid w:val="0010462A"/>
    <w:rsid w:val="00104803"/>
    <w:rsid w:val="00104898"/>
    <w:rsid w:val="00104ACB"/>
    <w:rsid w:val="00104EA7"/>
    <w:rsid w:val="00105226"/>
    <w:rsid w:val="0010565A"/>
    <w:rsid w:val="00105B35"/>
    <w:rsid w:val="00105FAD"/>
    <w:rsid w:val="00106031"/>
    <w:rsid w:val="00106087"/>
    <w:rsid w:val="001061F1"/>
    <w:rsid w:val="001062A9"/>
    <w:rsid w:val="00106481"/>
    <w:rsid w:val="001067B4"/>
    <w:rsid w:val="00106C5F"/>
    <w:rsid w:val="00106FB4"/>
    <w:rsid w:val="0010701D"/>
    <w:rsid w:val="0010706E"/>
    <w:rsid w:val="0010735F"/>
    <w:rsid w:val="00107535"/>
    <w:rsid w:val="0010754C"/>
    <w:rsid w:val="0010757C"/>
    <w:rsid w:val="001077CB"/>
    <w:rsid w:val="00107DCB"/>
    <w:rsid w:val="00110242"/>
    <w:rsid w:val="0011026F"/>
    <w:rsid w:val="001103C8"/>
    <w:rsid w:val="001103F2"/>
    <w:rsid w:val="00110631"/>
    <w:rsid w:val="00110712"/>
    <w:rsid w:val="001108E4"/>
    <w:rsid w:val="001109B9"/>
    <w:rsid w:val="00110A44"/>
    <w:rsid w:val="00110AA4"/>
    <w:rsid w:val="00110C35"/>
    <w:rsid w:val="00110C9C"/>
    <w:rsid w:val="00110EC6"/>
    <w:rsid w:val="0011126D"/>
    <w:rsid w:val="00111365"/>
    <w:rsid w:val="0011155B"/>
    <w:rsid w:val="001118E2"/>
    <w:rsid w:val="00111A4A"/>
    <w:rsid w:val="00111A6A"/>
    <w:rsid w:val="00111F15"/>
    <w:rsid w:val="00112100"/>
    <w:rsid w:val="001121F2"/>
    <w:rsid w:val="00112406"/>
    <w:rsid w:val="0011266B"/>
    <w:rsid w:val="00112888"/>
    <w:rsid w:val="001128D5"/>
    <w:rsid w:val="00112947"/>
    <w:rsid w:val="00112A11"/>
    <w:rsid w:val="00112C57"/>
    <w:rsid w:val="00112D02"/>
    <w:rsid w:val="00112E70"/>
    <w:rsid w:val="00112EC1"/>
    <w:rsid w:val="00112FA5"/>
    <w:rsid w:val="001130BE"/>
    <w:rsid w:val="001131D6"/>
    <w:rsid w:val="00113228"/>
    <w:rsid w:val="0011352A"/>
    <w:rsid w:val="001136C0"/>
    <w:rsid w:val="00113872"/>
    <w:rsid w:val="001139EE"/>
    <w:rsid w:val="00113B60"/>
    <w:rsid w:val="00113D18"/>
    <w:rsid w:val="0011433A"/>
    <w:rsid w:val="00114387"/>
    <w:rsid w:val="001143F1"/>
    <w:rsid w:val="00114FDD"/>
    <w:rsid w:val="001157AC"/>
    <w:rsid w:val="00115926"/>
    <w:rsid w:val="00115ABB"/>
    <w:rsid w:val="00115D74"/>
    <w:rsid w:val="00115EED"/>
    <w:rsid w:val="00115FAB"/>
    <w:rsid w:val="001162BA"/>
    <w:rsid w:val="001163E0"/>
    <w:rsid w:val="001165B6"/>
    <w:rsid w:val="001165F5"/>
    <w:rsid w:val="00116708"/>
    <w:rsid w:val="001168DC"/>
    <w:rsid w:val="001170BA"/>
    <w:rsid w:val="00117205"/>
    <w:rsid w:val="00117461"/>
    <w:rsid w:val="0011749F"/>
    <w:rsid w:val="001174F4"/>
    <w:rsid w:val="0011754D"/>
    <w:rsid w:val="00117D27"/>
    <w:rsid w:val="00117E27"/>
    <w:rsid w:val="00117E47"/>
    <w:rsid w:val="00117FF5"/>
    <w:rsid w:val="0012015F"/>
    <w:rsid w:val="00120163"/>
    <w:rsid w:val="00120180"/>
    <w:rsid w:val="00120704"/>
    <w:rsid w:val="0012089A"/>
    <w:rsid w:val="00120A50"/>
    <w:rsid w:val="00120BB7"/>
    <w:rsid w:val="00120D86"/>
    <w:rsid w:val="00120E02"/>
    <w:rsid w:val="00121291"/>
    <w:rsid w:val="001214D9"/>
    <w:rsid w:val="00121BF1"/>
    <w:rsid w:val="00121BFA"/>
    <w:rsid w:val="00121C80"/>
    <w:rsid w:val="00121CB6"/>
    <w:rsid w:val="00121DD2"/>
    <w:rsid w:val="00121F0F"/>
    <w:rsid w:val="001221C4"/>
    <w:rsid w:val="00122778"/>
    <w:rsid w:val="00122C11"/>
    <w:rsid w:val="00122CF7"/>
    <w:rsid w:val="00122F80"/>
    <w:rsid w:val="00123A50"/>
    <w:rsid w:val="00123B05"/>
    <w:rsid w:val="00123EF2"/>
    <w:rsid w:val="0012404A"/>
    <w:rsid w:val="001242A4"/>
    <w:rsid w:val="001242FF"/>
    <w:rsid w:val="00124592"/>
    <w:rsid w:val="001246BB"/>
    <w:rsid w:val="001247AF"/>
    <w:rsid w:val="00124A7B"/>
    <w:rsid w:val="00124ABC"/>
    <w:rsid w:val="00124AC6"/>
    <w:rsid w:val="00124BB1"/>
    <w:rsid w:val="00124FD4"/>
    <w:rsid w:val="00125455"/>
    <w:rsid w:val="00125709"/>
    <w:rsid w:val="0012576C"/>
    <w:rsid w:val="001257E1"/>
    <w:rsid w:val="0012594B"/>
    <w:rsid w:val="00125AE0"/>
    <w:rsid w:val="00125B59"/>
    <w:rsid w:val="00125EA5"/>
    <w:rsid w:val="00125F95"/>
    <w:rsid w:val="0012608E"/>
    <w:rsid w:val="00126098"/>
    <w:rsid w:val="00126130"/>
    <w:rsid w:val="0012622E"/>
    <w:rsid w:val="00126386"/>
    <w:rsid w:val="001266CE"/>
    <w:rsid w:val="001266E2"/>
    <w:rsid w:val="001268CE"/>
    <w:rsid w:val="0012694B"/>
    <w:rsid w:val="00126C6A"/>
    <w:rsid w:val="001270A5"/>
    <w:rsid w:val="001273CA"/>
    <w:rsid w:val="0012748F"/>
    <w:rsid w:val="00127769"/>
    <w:rsid w:val="001277FE"/>
    <w:rsid w:val="001278E3"/>
    <w:rsid w:val="00127A8B"/>
    <w:rsid w:val="00127AEB"/>
    <w:rsid w:val="0013024A"/>
    <w:rsid w:val="00130333"/>
    <w:rsid w:val="001308D6"/>
    <w:rsid w:val="001309C0"/>
    <w:rsid w:val="00130C88"/>
    <w:rsid w:val="001312AC"/>
    <w:rsid w:val="0013140B"/>
    <w:rsid w:val="00131516"/>
    <w:rsid w:val="0013168D"/>
    <w:rsid w:val="00131D3F"/>
    <w:rsid w:val="00131E4E"/>
    <w:rsid w:val="00131EA1"/>
    <w:rsid w:val="00132241"/>
    <w:rsid w:val="001323A6"/>
    <w:rsid w:val="00132417"/>
    <w:rsid w:val="001326EB"/>
    <w:rsid w:val="00132976"/>
    <w:rsid w:val="00132D55"/>
    <w:rsid w:val="00132DDF"/>
    <w:rsid w:val="0013348C"/>
    <w:rsid w:val="001336FC"/>
    <w:rsid w:val="00133759"/>
    <w:rsid w:val="0013378A"/>
    <w:rsid w:val="00133878"/>
    <w:rsid w:val="00133926"/>
    <w:rsid w:val="001339EC"/>
    <w:rsid w:val="00133A05"/>
    <w:rsid w:val="00133A22"/>
    <w:rsid w:val="00133A72"/>
    <w:rsid w:val="00133D37"/>
    <w:rsid w:val="00133EA8"/>
    <w:rsid w:val="001340F7"/>
    <w:rsid w:val="00134144"/>
    <w:rsid w:val="00134152"/>
    <w:rsid w:val="00134BE5"/>
    <w:rsid w:val="00134C2A"/>
    <w:rsid w:val="00134C38"/>
    <w:rsid w:val="001350D1"/>
    <w:rsid w:val="001352E2"/>
    <w:rsid w:val="00135526"/>
    <w:rsid w:val="001356DA"/>
    <w:rsid w:val="0013571B"/>
    <w:rsid w:val="00135752"/>
    <w:rsid w:val="0013587D"/>
    <w:rsid w:val="00135911"/>
    <w:rsid w:val="00135A63"/>
    <w:rsid w:val="00135EFA"/>
    <w:rsid w:val="001362C9"/>
    <w:rsid w:val="00136473"/>
    <w:rsid w:val="00136822"/>
    <w:rsid w:val="00136894"/>
    <w:rsid w:val="00136AA7"/>
    <w:rsid w:val="00136E7F"/>
    <w:rsid w:val="001372E3"/>
    <w:rsid w:val="0013731B"/>
    <w:rsid w:val="001374DF"/>
    <w:rsid w:val="00137539"/>
    <w:rsid w:val="00137A12"/>
    <w:rsid w:val="00137A57"/>
    <w:rsid w:val="00137C33"/>
    <w:rsid w:val="00137D5A"/>
    <w:rsid w:val="0014022D"/>
    <w:rsid w:val="0014025B"/>
    <w:rsid w:val="001405CB"/>
    <w:rsid w:val="0014080E"/>
    <w:rsid w:val="00140BA7"/>
    <w:rsid w:val="00140BD8"/>
    <w:rsid w:val="00140FD8"/>
    <w:rsid w:val="00141090"/>
    <w:rsid w:val="001411B6"/>
    <w:rsid w:val="001412D1"/>
    <w:rsid w:val="001412D2"/>
    <w:rsid w:val="00141574"/>
    <w:rsid w:val="001416F9"/>
    <w:rsid w:val="001418D2"/>
    <w:rsid w:val="00141FF9"/>
    <w:rsid w:val="001423E3"/>
    <w:rsid w:val="00142816"/>
    <w:rsid w:val="00142E9F"/>
    <w:rsid w:val="00143313"/>
    <w:rsid w:val="00143364"/>
    <w:rsid w:val="001435BA"/>
    <w:rsid w:val="00143790"/>
    <w:rsid w:val="00143820"/>
    <w:rsid w:val="00143980"/>
    <w:rsid w:val="001439AD"/>
    <w:rsid w:val="00144202"/>
    <w:rsid w:val="00144364"/>
    <w:rsid w:val="001443B6"/>
    <w:rsid w:val="0014449F"/>
    <w:rsid w:val="001444D8"/>
    <w:rsid w:val="001445BA"/>
    <w:rsid w:val="0014498D"/>
    <w:rsid w:val="001449D1"/>
    <w:rsid w:val="00144B40"/>
    <w:rsid w:val="00144B42"/>
    <w:rsid w:val="00144C44"/>
    <w:rsid w:val="00144F0F"/>
    <w:rsid w:val="0014506D"/>
    <w:rsid w:val="0014527A"/>
    <w:rsid w:val="00145511"/>
    <w:rsid w:val="001456B2"/>
    <w:rsid w:val="0014596A"/>
    <w:rsid w:val="00145BBF"/>
    <w:rsid w:val="00145C28"/>
    <w:rsid w:val="001463F1"/>
    <w:rsid w:val="001465F3"/>
    <w:rsid w:val="001468EA"/>
    <w:rsid w:val="00146AE7"/>
    <w:rsid w:val="00146F4F"/>
    <w:rsid w:val="0014720E"/>
    <w:rsid w:val="001475EA"/>
    <w:rsid w:val="00147981"/>
    <w:rsid w:val="00147A67"/>
    <w:rsid w:val="00147EE4"/>
    <w:rsid w:val="00147EFD"/>
    <w:rsid w:val="00150396"/>
    <w:rsid w:val="001503AF"/>
    <w:rsid w:val="001504F5"/>
    <w:rsid w:val="00150513"/>
    <w:rsid w:val="001508DA"/>
    <w:rsid w:val="001513B7"/>
    <w:rsid w:val="0015151C"/>
    <w:rsid w:val="001516D0"/>
    <w:rsid w:val="001517BD"/>
    <w:rsid w:val="001519F2"/>
    <w:rsid w:val="00151D86"/>
    <w:rsid w:val="00151EE4"/>
    <w:rsid w:val="001525E1"/>
    <w:rsid w:val="0015297A"/>
    <w:rsid w:val="00152B18"/>
    <w:rsid w:val="00153077"/>
    <w:rsid w:val="00153108"/>
    <w:rsid w:val="001534E4"/>
    <w:rsid w:val="00153592"/>
    <w:rsid w:val="001538E6"/>
    <w:rsid w:val="00153A45"/>
    <w:rsid w:val="00153A85"/>
    <w:rsid w:val="00153ABB"/>
    <w:rsid w:val="00153D00"/>
    <w:rsid w:val="00153E50"/>
    <w:rsid w:val="00154034"/>
    <w:rsid w:val="001540C2"/>
    <w:rsid w:val="0015424B"/>
    <w:rsid w:val="001542A2"/>
    <w:rsid w:val="0015449C"/>
    <w:rsid w:val="0015449E"/>
    <w:rsid w:val="00154B2B"/>
    <w:rsid w:val="00154DC7"/>
    <w:rsid w:val="00154EB1"/>
    <w:rsid w:val="00155109"/>
    <w:rsid w:val="00155407"/>
    <w:rsid w:val="001555E0"/>
    <w:rsid w:val="0015588B"/>
    <w:rsid w:val="00155A0A"/>
    <w:rsid w:val="00155D80"/>
    <w:rsid w:val="00155DEC"/>
    <w:rsid w:val="00155F7A"/>
    <w:rsid w:val="00155FEB"/>
    <w:rsid w:val="001560F9"/>
    <w:rsid w:val="0015617B"/>
    <w:rsid w:val="00156275"/>
    <w:rsid w:val="001562BC"/>
    <w:rsid w:val="00156302"/>
    <w:rsid w:val="001564BE"/>
    <w:rsid w:val="00156729"/>
    <w:rsid w:val="0015686B"/>
    <w:rsid w:val="001569AE"/>
    <w:rsid w:val="00156BE0"/>
    <w:rsid w:val="00156BFF"/>
    <w:rsid w:val="00156E75"/>
    <w:rsid w:val="001573EC"/>
    <w:rsid w:val="001574C4"/>
    <w:rsid w:val="0015772B"/>
    <w:rsid w:val="00157ABE"/>
    <w:rsid w:val="00157F32"/>
    <w:rsid w:val="00157F4C"/>
    <w:rsid w:val="0016015A"/>
    <w:rsid w:val="00160414"/>
    <w:rsid w:val="00160489"/>
    <w:rsid w:val="00160540"/>
    <w:rsid w:val="00160AE4"/>
    <w:rsid w:val="00160BAB"/>
    <w:rsid w:val="00160BB2"/>
    <w:rsid w:val="00160BB8"/>
    <w:rsid w:val="00160C3D"/>
    <w:rsid w:val="00160C7F"/>
    <w:rsid w:val="00160D30"/>
    <w:rsid w:val="00160EAC"/>
    <w:rsid w:val="00160EB3"/>
    <w:rsid w:val="0016141E"/>
    <w:rsid w:val="001618A8"/>
    <w:rsid w:val="00161BBD"/>
    <w:rsid w:val="00161E2F"/>
    <w:rsid w:val="00162246"/>
    <w:rsid w:val="00162436"/>
    <w:rsid w:val="00162451"/>
    <w:rsid w:val="001625D1"/>
    <w:rsid w:val="001625F4"/>
    <w:rsid w:val="0016288D"/>
    <w:rsid w:val="00162DCD"/>
    <w:rsid w:val="00162E0E"/>
    <w:rsid w:val="00163417"/>
    <w:rsid w:val="0016345F"/>
    <w:rsid w:val="00163464"/>
    <w:rsid w:val="001638B1"/>
    <w:rsid w:val="001639D4"/>
    <w:rsid w:val="00163A16"/>
    <w:rsid w:val="00163AD3"/>
    <w:rsid w:val="00163BAA"/>
    <w:rsid w:val="00163BD7"/>
    <w:rsid w:val="00163DD8"/>
    <w:rsid w:val="0016465D"/>
    <w:rsid w:val="001646F3"/>
    <w:rsid w:val="00164CFD"/>
    <w:rsid w:val="00165232"/>
    <w:rsid w:val="00165282"/>
    <w:rsid w:val="001653F3"/>
    <w:rsid w:val="00165590"/>
    <w:rsid w:val="00165877"/>
    <w:rsid w:val="00165A40"/>
    <w:rsid w:val="00165A7C"/>
    <w:rsid w:val="00165C6F"/>
    <w:rsid w:val="00165CD2"/>
    <w:rsid w:val="00165F08"/>
    <w:rsid w:val="00166136"/>
    <w:rsid w:val="0016626C"/>
    <w:rsid w:val="001666B1"/>
    <w:rsid w:val="00166AB1"/>
    <w:rsid w:val="00166F6B"/>
    <w:rsid w:val="00166FF3"/>
    <w:rsid w:val="0016768E"/>
    <w:rsid w:val="00167861"/>
    <w:rsid w:val="0016788C"/>
    <w:rsid w:val="00167BE3"/>
    <w:rsid w:val="00167D56"/>
    <w:rsid w:val="00167D8C"/>
    <w:rsid w:val="00170596"/>
    <w:rsid w:val="0017089B"/>
    <w:rsid w:val="00170CC6"/>
    <w:rsid w:val="00170E61"/>
    <w:rsid w:val="00171158"/>
    <w:rsid w:val="001711B2"/>
    <w:rsid w:val="00171612"/>
    <w:rsid w:val="00171850"/>
    <w:rsid w:val="00171873"/>
    <w:rsid w:val="0017195D"/>
    <w:rsid w:val="00171B19"/>
    <w:rsid w:val="00171B21"/>
    <w:rsid w:val="00171C5E"/>
    <w:rsid w:val="00172207"/>
    <w:rsid w:val="00172310"/>
    <w:rsid w:val="001723EF"/>
    <w:rsid w:val="0017248D"/>
    <w:rsid w:val="00172573"/>
    <w:rsid w:val="0017262F"/>
    <w:rsid w:val="00172655"/>
    <w:rsid w:val="001727E5"/>
    <w:rsid w:val="0017281C"/>
    <w:rsid w:val="00172DA7"/>
    <w:rsid w:val="00172E55"/>
    <w:rsid w:val="00172E5E"/>
    <w:rsid w:val="0017330F"/>
    <w:rsid w:val="001733A8"/>
    <w:rsid w:val="0017343A"/>
    <w:rsid w:val="00173626"/>
    <w:rsid w:val="00173A34"/>
    <w:rsid w:val="00173D11"/>
    <w:rsid w:val="00173E60"/>
    <w:rsid w:val="00173F84"/>
    <w:rsid w:val="00174247"/>
    <w:rsid w:val="001745A2"/>
    <w:rsid w:val="00174705"/>
    <w:rsid w:val="001747B7"/>
    <w:rsid w:val="00174FF3"/>
    <w:rsid w:val="00175349"/>
    <w:rsid w:val="00175526"/>
    <w:rsid w:val="001759EF"/>
    <w:rsid w:val="00175B46"/>
    <w:rsid w:val="00175D2A"/>
    <w:rsid w:val="00175DFD"/>
    <w:rsid w:val="00175FB3"/>
    <w:rsid w:val="001760CC"/>
    <w:rsid w:val="0017614A"/>
    <w:rsid w:val="001761B8"/>
    <w:rsid w:val="001767BF"/>
    <w:rsid w:val="001769DF"/>
    <w:rsid w:val="00176A2C"/>
    <w:rsid w:val="00176E39"/>
    <w:rsid w:val="0017726B"/>
    <w:rsid w:val="001772DB"/>
    <w:rsid w:val="00177436"/>
    <w:rsid w:val="0017775C"/>
    <w:rsid w:val="0017782F"/>
    <w:rsid w:val="00177F9F"/>
    <w:rsid w:val="00177FA5"/>
    <w:rsid w:val="0018047E"/>
    <w:rsid w:val="001805CC"/>
    <w:rsid w:val="00180624"/>
    <w:rsid w:val="00180A22"/>
    <w:rsid w:val="00180AB3"/>
    <w:rsid w:val="00180F48"/>
    <w:rsid w:val="0018117C"/>
    <w:rsid w:val="0018127B"/>
    <w:rsid w:val="001812CB"/>
    <w:rsid w:val="00181415"/>
    <w:rsid w:val="0018177B"/>
    <w:rsid w:val="001817CD"/>
    <w:rsid w:val="00181A48"/>
    <w:rsid w:val="00181C04"/>
    <w:rsid w:val="00181E36"/>
    <w:rsid w:val="00181E67"/>
    <w:rsid w:val="0018202C"/>
    <w:rsid w:val="0018235E"/>
    <w:rsid w:val="001824A8"/>
    <w:rsid w:val="001824C4"/>
    <w:rsid w:val="001827F3"/>
    <w:rsid w:val="00182897"/>
    <w:rsid w:val="0018298C"/>
    <w:rsid w:val="001829C1"/>
    <w:rsid w:val="00182BDC"/>
    <w:rsid w:val="00182E8B"/>
    <w:rsid w:val="00182F99"/>
    <w:rsid w:val="001831AC"/>
    <w:rsid w:val="001834E4"/>
    <w:rsid w:val="0018381F"/>
    <w:rsid w:val="00183843"/>
    <w:rsid w:val="00183957"/>
    <w:rsid w:val="001839E3"/>
    <w:rsid w:val="00183A1C"/>
    <w:rsid w:val="00183AE1"/>
    <w:rsid w:val="00183E0A"/>
    <w:rsid w:val="0018483E"/>
    <w:rsid w:val="0018491A"/>
    <w:rsid w:val="00184A8D"/>
    <w:rsid w:val="00184D64"/>
    <w:rsid w:val="001859C2"/>
    <w:rsid w:val="00185A78"/>
    <w:rsid w:val="00185A82"/>
    <w:rsid w:val="00185B9A"/>
    <w:rsid w:val="00185DBD"/>
    <w:rsid w:val="00185E3C"/>
    <w:rsid w:val="00185E93"/>
    <w:rsid w:val="00186033"/>
    <w:rsid w:val="00186166"/>
    <w:rsid w:val="00186289"/>
    <w:rsid w:val="00186470"/>
    <w:rsid w:val="001869FC"/>
    <w:rsid w:val="00186AAC"/>
    <w:rsid w:val="001872FC"/>
    <w:rsid w:val="001874A5"/>
    <w:rsid w:val="00187537"/>
    <w:rsid w:val="001875B4"/>
    <w:rsid w:val="001875DA"/>
    <w:rsid w:val="0018768C"/>
    <w:rsid w:val="001876C0"/>
    <w:rsid w:val="001879D2"/>
    <w:rsid w:val="00187B53"/>
    <w:rsid w:val="00187C0C"/>
    <w:rsid w:val="00187C22"/>
    <w:rsid w:val="00187C39"/>
    <w:rsid w:val="001902C3"/>
    <w:rsid w:val="001903EC"/>
    <w:rsid w:val="00190763"/>
    <w:rsid w:val="00190DC8"/>
    <w:rsid w:val="00191017"/>
    <w:rsid w:val="001914FA"/>
    <w:rsid w:val="0019155C"/>
    <w:rsid w:val="00191616"/>
    <w:rsid w:val="00191833"/>
    <w:rsid w:val="0019196E"/>
    <w:rsid w:val="00191A2F"/>
    <w:rsid w:val="00191AAE"/>
    <w:rsid w:val="00191F56"/>
    <w:rsid w:val="001923ED"/>
    <w:rsid w:val="00192653"/>
    <w:rsid w:val="00192BA0"/>
    <w:rsid w:val="00192CD9"/>
    <w:rsid w:val="00192E74"/>
    <w:rsid w:val="00192F5A"/>
    <w:rsid w:val="0019304B"/>
    <w:rsid w:val="00193126"/>
    <w:rsid w:val="00193468"/>
    <w:rsid w:val="001936E3"/>
    <w:rsid w:val="001939A5"/>
    <w:rsid w:val="00193A7A"/>
    <w:rsid w:val="00193AAE"/>
    <w:rsid w:val="0019425E"/>
    <w:rsid w:val="00194320"/>
    <w:rsid w:val="001943F2"/>
    <w:rsid w:val="0019492D"/>
    <w:rsid w:val="00194B1F"/>
    <w:rsid w:val="00194D7C"/>
    <w:rsid w:val="00195106"/>
    <w:rsid w:val="00195275"/>
    <w:rsid w:val="0019534E"/>
    <w:rsid w:val="00195365"/>
    <w:rsid w:val="00195377"/>
    <w:rsid w:val="00195619"/>
    <w:rsid w:val="001956CC"/>
    <w:rsid w:val="00195EDE"/>
    <w:rsid w:val="00195F06"/>
    <w:rsid w:val="0019605C"/>
    <w:rsid w:val="001960EE"/>
    <w:rsid w:val="00196170"/>
    <w:rsid w:val="00196190"/>
    <w:rsid w:val="00196264"/>
    <w:rsid w:val="001964FD"/>
    <w:rsid w:val="00196A6E"/>
    <w:rsid w:val="00196C6F"/>
    <w:rsid w:val="00196D08"/>
    <w:rsid w:val="00197303"/>
    <w:rsid w:val="00197453"/>
    <w:rsid w:val="00197547"/>
    <w:rsid w:val="001976F5"/>
    <w:rsid w:val="00197EFA"/>
    <w:rsid w:val="001A00F4"/>
    <w:rsid w:val="001A01C1"/>
    <w:rsid w:val="001A0650"/>
    <w:rsid w:val="001A0A3B"/>
    <w:rsid w:val="001A0E95"/>
    <w:rsid w:val="001A1120"/>
    <w:rsid w:val="001A1222"/>
    <w:rsid w:val="001A12DF"/>
    <w:rsid w:val="001A17EA"/>
    <w:rsid w:val="001A1804"/>
    <w:rsid w:val="001A1AE3"/>
    <w:rsid w:val="001A1D17"/>
    <w:rsid w:val="001A1DD4"/>
    <w:rsid w:val="001A22AA"/>
    <w:rsid w:val="001A25B5"/>
    <w:rsid w:val="001A2638"/>
    <w:rsid w:val="001A27F3"/>
    <w:rsid w:val="001A28C1"/>
    <w:rsid w:val="001A2CB0"/>
    <w:rsid w:val="001A2D75"/>
    <w:rsid w:val="001A32C1"/>
    <w:rsid w:val="001A32E1"/>
    <w:rsid w:val="001A34B6"/>
    <w:rsid w:val="001A36C6"/>
    <w:rsid w:val="001A3AAE"/>
    <w:rsid w:val="001A3AF7"/>
    <w:rsid w:val="001A4198"/>
    <w:rsid w:val="001A4375"/>
    <w:rsid w:val="001A45AB"/>
    <w:rsid w:val="001A4A35"/>
    <w:rsid w:val="001A4D3A"/>
    <w:rsid w:val="001A4D74"/>
    <w:rsid w:val="001A572E"/>
    <w:rsid w:val="001A5921"/>
    <w:rsid w:val="001A5D5A"/>
    <w:rsid w:val="001A5E50"/>
    <w:rsid w:val="001A5F02"/>
    <w:rsid w:val="001A6519"/>
    <w:rsid w:val="001A6677"/>
    <w:rsid w:val="001A6691"/>
    <w:rsid w:val="001A68B2"/>
    <w:rsid w:val="001A68BE"/>
    <w:rsid w:val="001A69C9"/>
    <w:rsid w:val="001A6BBE"/>
    <w:rsid w:val="001A6E24"/>
    <w:rsid w:val="001A6F65"/>
    <w:rsid w:val="001A701B"/>
    <w:rsid w:val="001A74DE"/>
    <w:rsid w:val="001A78DB"/>
    <w:rsid w:val="001A7959"/>
    <w:rsid w:val="001A7A18"/>
    <w:rsid w:val="001A7A9D"/>
    <w:rsid w:val="001A7D7F"/>
    <w:rsid w:val="001A7E07"/>
    <w:rsid w:val="001A7E90"/>
    <w:rsid w:val="001A7F80"/>
    <w:rsid w:val="001B041F"/>
    <w:rsid w:val="001B0562"/>
    <w:rsid w:val="001B0AEE"/>
    <w:rsid w:val="001B1565"/>
    <w:rsid w:val="001B166D"/>
    <w:rsid w:val="001B1A96"/>
    <w:rsid w:val="001B1ACD"/>
    <w:rsid w:val="001B1CB5"/>
    <w:rsid w:val="001B1CE4"/>
    <w:rsid w:val="001B1EDA"/>
    <w:rsid w:val="001B207D"/>
    <w:rsid w:val="001B246B"/>
    <w:rsid w:val="001B26F4"/>
    <w:rsid w:val="001B2810"/>
    <w:rsid w:val="001B28B5"/>
    <w:rsid w:val="001B2975"/>
    <w:rsid w:val="001B2D81"/>
    <w:rsid w:val="001B2DC9"/>
    <w:rsid w:val="001B33DF"/>
    <w:rsid w:val="001B35C1"/>
    <w:rsid w:val="001B368F"/>
    <w:rsid w:val="001B3751"/>
    <w:rsid w:val="001B3CFB"/>
    <w:rsid w:val="001B3FDE"/>
    <w:rsid w:val="001B40E3"/>
    <w:rsid w:val="001B43A4"/>
    <w:rsid w:val="001B43A9"/>
    <w:rsid w:val="001B44C8"/>
    <w:rsid w:val="001B4CF4"/>
    <w:rsid w:val="001B4E1B"/>
    <w:rsid w:val="001B51DF"/>
    <w:rsid w:val="001B5422"/>
    <w:rsid w:val="001B57DF"/>
    <w:rsid w:val="001B5C69"/>
    <w:rsid w:val="001B5E16"/>
    <w:rsid w:val="001B5F72"/>
    <w:rsid w:val="001B6398"/>
    <w:rsid w:val="001B6636"/>
    <w:rsid w:val="001B6C03"/>
    <w:rsid w:val="001B6ED5"/>
    <w:rsid w:val="001B70E0"/>
    <w:rsid w:val="001B7492"/>
    <w:rsid w:val="001B759A"/>
    <w:rsid w:val="001B7792"/>
    <w:rsid w:val="001B7C49"/>
    <w:rsid w:val="001B7DB6"/>
    <w:rsid w:val="001B7F4C"/>
    <w:rsid w:val="001B7F96"/>
    <w:rsid w:val="001C0512"/>
    <w:rsid w:val="001C054F"/>
    <w:rsid w:val="001C06A2"/>
    <w:rsid w:val="001C0872"/>
    <w:rsid w:val="001C08A9"/>
    <w:rsid w:val="001C0A4A"/>
    <w:rsid w:val="001C0AF3"/>
    <w:rsid w:val="001C0E31"/>
    <w:rsid w:val="001C122D"/>
    <w:rsid w:val="001C17CA"/>
    <w:rsid w:val="001C1A5E"/>
    <w:rsid w:val="001C1D18"/>
    <w:rsid w:val="001C209D"/>
    <w:rsid w:val="001C22E7"/>
    <w:rsid w:val="001C23D8"/>
    <w:rsid w:val="001C2409"/>
    <w:rsid w:val="001C279F"/>
    <w:rsid w:val="001C286D"/>
    <w:rsid w:val="001C295D"/>
    <w:rsid w:val="001C2C22"/>
    <w:rsid w:val="001C2CD1"/>
    <w:rsid w:val="001C306D"/>
    <w:rsid w:val="001C31D2"/>
    <w:rsid w:val="001C3445"/>
    <w:rsid w:val="001C374F"/>
    <w:rsid w:val="001C38D1"/>
    <w:rsid w:val="001C3D86"/>
    <w:rsid w:val="001C472B"/>
    <w:rsid w:val="001C4B4F"/>
    <w:rsid w:val="001C4B94"/>
    <w:rsid w:val="001C4BDB"/>
    <w:rsid w:val="001C4C2E"/>
    <w:rsid w:val="001C4F3E"/>
    <w:rsid w:val="001C52A6"/>
    <w:rsid w:val="001C5514"/>
    <w:rsid w:val="001C5A0A"/>
    <w:rsid w:val="001C5BA0"/>
    <w:rsid w:val="001C5C35"/>
    <w:rsid w:val="001C5DD7"/>
    <w:rsid w:val="001C6304"/>
    <w:rsid w:val="001C65D7"/>
    <w:rsid w:val="001C695E"/>
    <w:rsid w:val="001C6967"/>
    <w:rsid w:val="001C69B2"/>
    <w:rsid w:val="001C6A3A"/>
    <w:rsid w:val="001C6E5C"/>
    <w:rsid w:val="001C718C"/>
    <w:rsid w:val="001C723C"/>
    <w:rsid w:val="001C727A"/>
    <w:rsid w:val="001C79D1"/>
    <w:rsid w:val="001C7B1D"/>
    <w:rsid w:val="001C7D1B"/>
    <w:rsid w:val="001C7D38"/>
    <w:rsid w:val="001C7DD0"/>
    <w:rsid w:val="001C7E70"/>
    <w:rsid w:val="001C7F71"/>
    <w:rsid w:val="001C7FBF"/>
    <w:rsid w:val="001D01EA"/>
    <w:rsid w:val="001D04E1"/>
    <w:rsid w:val="001D04F0"/>
    <w:rsid w:val="001D0514"/>
    <w:rsid w:val="001D0F1D"/>
    <w:rsid w:val="001D1366"/>
    <w:rsid w:val="001D167E"/>
    <w:rsid w:val="001D1682"/>
    <w:rsid w:val="001D170A"/>
    <w:rsid w:val="001D1CA3"/>
    <w:rsid w:val="001D1FD5"/>
    <w:rsid w:val="001D217D"/>
    <w:rsid w:val="001D2A04"/>
    <w:rsid w:val="001D2A2D"/>
    <w:rsid w:val="001D2A82"/>
    <w:rsid w:val="001D2B1C"/>
    <w:rsid w:val="001D2B94"/>
    <w:rsid w:val="001D2C79"/>
    <w:rsid w:val="001D2E75"/>
    <w:rsid w:val="001D3135"/>
    <w:rsid w:val="001D3367"/>
    <w:rsid w:val="001D33B7"/>
    <w:rsid w:val="001D38F1"/>
    <w:rsid w:val="001D3B32"/>
    <w:rsid w:val="001D4263"/>
    <w:rsid w:val="001D44E2"/>
    <w:rsid w:val="001D4605"/>
    <w:rsid w:val="001D46C3"/>
    <w:rsid w:val="001D4D3F"/>
    <w:rsid w:val="001D4DAD"/>
    <w:rsid w:val="001D52DF"/>
    <w:rsid w:val="001D53ED"/>
    <w:rsid w:val="001D5450"/>
    <w:rsid w:val="001D55D2"/>
    <w:rsid w:val="001D569B"/>
    <w:rsid w:val="001D5909"/>
    <w:rsid w:val="001D5DB7"/>
    <w:rsid w:val="001D5FB2"/>
    <w:rsid w:val="001D6259"/>
    <w:rsid w:val="001D6451"/>
    <w:rsid w:val="001D64A4"/>
    <w:rsid w:val="001D6504"/>
    <w:rsid w:val="001D65A7"/>
    <w:rsid w:val="001D6660"/>
    <w:rsid w:val="001D6AE2"/>
    <w:rsid w:val="001D6C00"/>
    <w:rsid w:val="001D6D18"/>
    <w:rsid w:val="001D6F2E"/>
    <w:rsid w:val="001D7014"/>
    <w:rsid w:val="001D7138"/>
    <w:rsid w:val="001D71F1"/>
    <w:rsid w:val="001D7345"/>
    <w:rsid w:val="001D7693"/>
    <w:rsid w:val="001D7705"/>
    <w:rsid w:val="001D7998"/>
    <w:rsid w:val="001D7D97"/>
    <w:rsid w:val="001E005B"/>
    <w:rsid w:val="001E019A"/>
    <w:rsid w:val="001E0408"/>
    <w:rsid w:val="001E0767"/>
    <w:rsid w:val="001E0780"/>
    <w:rsid w:val="001E084D"/>
    <w:rsid w:val="001E0B73"/>
    <w:rsid w:val="001E0EA3"/>
    <w:rsid w:val="001E102C"/>
    <w:rsid w:val="001E10FF"/>
    <w:rsid w:val="001E193D"/>
    <w:rsid w:val="001E1AFD"/>
    <w:rsid w:val="001E1DDA"/>
    <w:rsid w:val="001E1E71"/>
    <w:rsid w:val="001E2158"/>
    <w:rsid w:val="001E2445"/>
    <w:rsid w:val="001E24EA"/>
    <w:rsid w:val="001E2AE6"/>
    <w:rsid w:val="001E2F2E"/>
    <w:rsid w:val="001E2FEC"/>
    <w:rsid w:val="001E30EF"/>
    <w:rsid w:val="001E326F"/>
    <w:rsid w:val="001E3284"/>
    <w:rsid w:val="001E328E"/>
    <w:rsid w:val="001E3EEF"/>
    <w:rsid w:val="001E4993"/>
    <w:rsid w:val="001E4995"/>
    <w:rsid w:val="001E4AE7"/>
    <w:rsid w:val="001E4EC5"/>
    <w:rsid w:val="001E5012"/>
    <w:rsid w:val="001E5479"/>
    <w:rsid w:val="001E5522"/>
    <w:rsid w:val="001E583E"/>
    <w:rsid w:val="001E5A80"/>
    <w:rsid w:val="001E5C16"/>
    <w:rsid w:val="001E5C1C"/>
    <w:rsid w:val="001E5E56"/>
    <w:rsid w:val="001E6075"/>
    <w:rsid w:val="001E6334"/>
    <w:rsid w:val="001E6456"/>
    <w:rsid w:val="001E65B3"/>
    <w:rsid w:val="001E6D4B"/>
    <w:rsid w:val="001E6DA7"/>
    <w:rsid w:val="001E73B6"/>
    <w:rsid w:val="001E73F0"/>
    <w:rsid w:val="001E743E"/>
    <w:rsid w:val="001E75FA"/>
    <w:rsid w:val="001E7655"/>
    <w:rsid w:val="001E7A42"/>
    <w:rsid w:val="001E7A67"/>
    <w:rsid w:val="001E7ADF"/>
    <w:rsid w:val="001E7EA1"/>
    <w:rsid w:val="001E7F0C"/>
    <w:rsid w:val="001F0431"/>
    <w:rsid w:val="001F04A5"/>
    <w:rsid w:val="001F0750"/>
    <w:rsid w:val="001F0798"/>
    <w:rsid w:val="001F09DC"/>
    <w:rsid w:val="001F0A8C"/>
    <w:rsid w:val="001F0CFF"/>
    <w:rsid w:val="001F13F6"/>
    <w:rsid w:val="001F1C54"/>
    <w:rsid w:val="001F1D0E"/>
    <w:rsid w:val="001F211D"/>
    <w:rsid w:val="001F2343"/>
    <w:rsid w:val="001F25B3"/>
    <w:rsid w:val="001F2C2A"/>
    <w:rsid w:val="001F2C43"/>
    <w:rsid w:val="001F31ED"/>
    <w:rsid w:val="001F33CE"/>
    <w:rsid w:val="001F33E5"/>
    <w:rsid w:val="001F3719"/>
    <w:rsid w:val="001F3873"/>
    <w:rsid w:val="001F38B0"/>
    <w:rsid w:val="001F4034"/>
    <w:rsid w:val="001F407A"/>
    <w:rsid w:val="001F43E6"/>
    <w:rsid w:val="001F45C5"/>
    <w:rsid w:val="001F46B9"/>
    <w:rsid w:val="001F486A"/>
    <w:rsid w:val="001F4E22"/>
    <w:rsid w:val="001F4F44"/>
    <w:rsid w:val="001F50E7"/>
    <w:rsid w:val="001F51DF"/>
    <w:rsid w:val="001F51F6"/>
    <w:rsid w:val="001F57D5"/>
    <w:rsid w:val="001F5EAF"/>
    <w:rsid w:val="001F5F61"/>
    <w:rsid w:val="001F6332"/>
    <w:rsid w:val="001F65E4"/>
    <w:rsid w:val="001F675A"/>
    <w:rsid w:val="001F67D4"/>
    <w:rsid w:val="001F6981"/>
    <w:rsid w:val="001F6DD7"/>
    <w:rsid w:val="001F6E0E"/>
    <w:rsid w:val="001F71EF"/>
    <w:rsid w:val="001F767F"/>
    <w:rsid w:val="001F7765"/>
    <w:rsid w:val="001F7C66"/>
    <w:rsid w:val="001F7D95"/>
    <w:rsid w:val="0020021C"/>
    <w:rsid w:val="00200539"/>
    <w:rsid w:val="00200736"/>
    <w:rsid w:val="0020091B"/>
    <w:rsid w:val="00200AD9"/>
    <w:rsid w:val="00200B6C"/>
    <w:rsid w:val="00200EFF"/>
    <w:rsid w:val="00200FA2"/>
    <w:rsid w:val="002014C6"/>
    <w:rsid w:val="002015C0"/>
    <w:rsid w:val="00201630"/>
    <w:rsid w:val="00201B39"/>
    <w:rsid w:val="00201CE5"/>
    <w:rsid w:val="00201D46"/>
    <w:rsid w:val="00201D87"/>
    <w:rsid w:val="00201E8D"/>
    <w:rsid w:val="00201FF9"/>
    <w:rsid w:val="002021D3"/>
    <w:rsid w:val="0020222B"/>
    <w:rsid w:val="0020281F"/>
    <w:rsid w:val="00202D4B"/>
    <w:rsid w:val="00202DA0"/>
    <w:rsid w:val="00202DC6"/>
    <w:rsid w:val="00203093"/>
    <w:rsid w:val="002030EA"/>
    <w:rsid w:val="002031B6"/>
    <w:rsid w:val="0020377B"/>
    <w:rsid w:val="002037B8"/>
    <w:rsid w:val="00203901"/>
    <w:rsid w:val="00203A0D"/>
    <w:rsid w:val="0020425B"/>
    <w:rsid w:val="002043AF"/>
    <w:rsid w:val="002043EE"/>
    <w:rsid w:val="00204A7C"/>
    <w:rsid w:val="00204FE8"/>
    <w:rsid w:val="002051C5"/>
    <w:rsid w:val="002051CC"/>
    <w:rsid w:val="00205200"/>
    <w:rsid w:val="00205269"/>
    <w:rsid w:val="002052AA"/>
    <w:rsid w:val="002052F3"/>
    <w:rsid w:val="00205352"/>
    <w:rsid w:val="0020543D"/>
    <w:rsid w:val="002055D8"/>
    <w:rsid w:val="002057B0"/>
    <w:rsid w:val="00205A2B"/>
    <w:rsid w:val="00205A33"/>
    <w:rsid w:val="002067BE"/>
    <w:rsid w:val="00206943"/>
    <w:rsid w:val="00207096"/>
    <w:rsid w:val="00207149"/>
    <w:rsid w:val="00207C9D"/>
    <w:rsid w:val="002101E2"/>
    <w:rsid w:val="002103FC"/>
    <w:rsid w:val="002107D9"/>
    <w:rsid w:val="002108F3"/>
    <w:rsid w:val="00210A6C"/>
    <w:rsid w:val="00210E7D"/>
    <w:rsid w:val="00210F0F"/>
    <w:rsid w:val="0021108B"/>
    <w:rsid w:val="002112FB"/>
    <w:rsid w:val="00211462"/>
    <w:rsid w:val="002115A0"/>
    <w:rsid w:val="0021172C"/>
    <w:rsid w:val="00211A7C"/>
    <w:rsid w:val="00211E92"/>
    <w:rsid w:val="00211EA8"/>
    <w:rsid w:val="0021212B"/>
    <w:rsid w:val="002122E0"/>
    <w:rsid w:val="002124EF"/>
    <w:rsid w:val="00212AED"/>
    <w:rsid w:val="00213772"/>
    <w:rsid w:val="00213825"/>
    <w:rsid w:val="002138D5"/>
    <w:rsid w:val="00213DB5"/>
    <w:rsid w:val="00213E91"/>
    <w:rsid w:val="00213ECD"/>
    <w:rsid w:val="00213FD2"/>
    <w:rsid w:val="002140E0"/>
    <w:rsid w:val="002141AC"/>
    <w:rsid w:val="00214356"/>
    <w:rsid w:val="0021443F"/>
    <w:rsid w:val="002145FD"/>
    <w:rsid w:val="00214732"/>
    <w:rsid w:val="00214864"/>
    <w:rsid w:val="002148E9"/>
    <w:rsid w:val="00214A26"/>
    <w:rsid w:val="00214D9F"/>
    <w:rsid w:val="00214DCC"/>
    <w:rsid w:val="00214EDA"/>
    <w:rsid w:val="002150DB"/>
    <w:rsid w:val="0021528E"/>
    <w:rsid w:val="00215404"/>
    <w:rsid w:val="002154C9"/>
    <w:rsid w:val="00215793"/>
    <w:rsid w:val="0021583E"/>
    <w:rsid w:val="00215AED"/>
    <w:rsid w:val="00215D68"/>
    <w:rsid w:val="00215DC8"/>
    <w:rsid w:val="0021616A"/>
    <w:rsid w:val="002161E0"/>
    <w:rsid w:val="00216585"/>
    <w:rsid w:val="002167F0"/>
    <w:rsid w:val="0021681A"/>
    <w:rsid w:val="002168AB"/>
    <w:rsid w:val="00216B84"/>
    <w:rsid w:val="00216CE8"/>
    <w:rsid w:val="00217067"/>
    <w:rsid w:val="002176D9"/>
    <w:rsid w:val="0021794B"/>
    <w:rsid w:val="00217D60"/>
    <w:rsid w:val="002200F4"/>
    <w:rsid w:val="0022058B"/>
    <w:rsid w:val="00220749"/>
    <w:rsid w:val="0022081F"/>
    <w:rsid w:val="00220AB8"/>
    <w:rsid w:val="002211DC"/>
    <w:rsid w:val="0022124C"/>
    <w:rsid w:val="0022128E"/>
    <w:rsid w:val="00221328"/>
    <w:rsid w:val="002214B2"/>
    <w:rsid w:val="002215E8"/>
    <w:rsid w:val="002216BD"/>
    <w:rsid w:val="002216CF"/>
    <w:rsid w:val="00221BAA"/>
    <w:rsid w:val="002222AF"/>
    <w:rsid w:val="00222925"/>
    <w:rsid w:val="00222B43"/>
    <w:rsid w:val="00222D1B"/>
    <w:rsid w:val="00222F1B"/>
    <w:rsid w:val="00222F4D"/>
    <w:rsid w:val="00223246"/>
    <w:rsid w:val="00223559"/>
    <w:rsid w:val="00223AA9"/>
    <w:rsid w:val="00223AB2"/>
    <w:rsid w:val="00223C8F"/>
    <w:rsid w:val="00223CF4"/>
    <w:rsid w:val="00223D30"/>
    <w:rsid w:val="00223D99"/>
    <w:rsid w:val="002241CB"/>
    <w:rsid w:val="0022422C"/>
    <w:rsid w:val="00224647"/>
    <w:rsid w:val="00224BBD"/>
    <w:rsid w:val="00224D4B"/>
    <w:rsid w:val="00224DCA"/>
    <w:rsid w:val="00224DE0"/>
    <w:rsid w:val="00224E5B"/>
    <w:rsid w:val="002251D1"/>
    <w:rsid w:val="00225372"/>
    <w:rsid w:val="002255E6"/>
    <w:rsid w:val="0022576E"/>
    <w:rsid w:val="002258FB"/>
    <w:rsid w:val="00225BF7"/>
    <w:rsid w:val="00225E07"/>
    <w:rsid w:val="00225F53"/>
    <w:rsid w:val="002260DB"/>
    <w:rsid w:val="002263B6"/>
    <w:rsid w:val="002264F6"/>
    <w:rsid w:val="00226617"/>
    <w:rsid w:val="002266E3"/>
    <w:rsid w:val="002268C9"/>
    <w:rsid w:val="00226F51"/>
    <w:rsid w:val="002271AA"/>
    <w:rsid w:val="0022724E"/>
    <w:rsid w:val="002272AB"/>
    <w:rsid w:val="0022754B"/>
    <w:rsid w:val="0022780F"/>
    <w:rsid w:val="00227881"/>
    <w:rsid w:val="00227A76"/>
    <w:rsid w:val="00227A9A"/>
    <w:rsid w:val="00227DD2"/>
    <w:rsid w:val="00227FD4"/>
    <w:rsid w:val="002300F7"/>
    <w:rsid w:val="00230303"/>
    <w:rsid w:val="002303A4"/>
    <w:rsid w:val="00230666"/>
    <w:rsid w:val="002307C1"/>
    <w:rsid w:val="0023091C"/>
    <w:rsid w:val="00230AD7"/>
    <w:rsid w:val="00230AD8"/>
    <w:rsid w:val="00230CF4"/>
    <w:rsid w:val="002310FF"/>
    <w:rsid w:val="00231153"/>
    <w:rsid w:val="00231264"/>
    <w:rsid w:val="0023135E"/>
    <w:rsid w:val="002314AB"/>
    <w:rsid w:val="00231516"/>
    <w:rsid w:val="002319AE"/>
    <w:rsid w:val="002319B1"/>
    <w:rsid w:val="00231CA6"/>
    <w:rsid w:val="00232272"/>
    <w:rsid w:val="00232495"/>
    <w:rsid w:val="0023252E"/>
    <w:rsid w:val="0023282B"/>
    <w:rsid w:val="002328A5"/>
    <w:rsid w:val="00232A13"/>
    <w:rsid w:val="00232AF9"/>
    <w:rsid w:val="00232BDE"/>
    <w:rsid w:val="00232E3C"/>
    <w:rsid w:val="00233186"/>
    <w:rsid w:val="0023324E"/>
    <w:rsid w:val="00233643"/>
    <w:rsid w:val="00233A4C"/>
    <w:rsid w:val="00233BE3"/>
    <w:rsid w:val="00234B09"/>
    <w:rsid w:val="00234B49"/>
    <w:rsid w:val="00234C27"/>
    <w:rsid w:val="00234C51"/>
    <w:rsid w:val="0023551E"/>
    <w:rsid w:val="00235988"/>
    <w:rsid w:val="00235B0E"/>
    <w:rsid w:val="00235CD8"/>
    <w:rsid w:val="00235D53"/>
    <w:rsid w:val="00235E95"/>
    <w:rsid w:val="00235F62"/>
    <w:rsid w:val="00236358"/>
    <w:rsid w:val="002363A6"/>
    <w:rsid w:val="00236565"/>
    <w:rsid w:val="00236A4E"/>
    <w:rsid w:val="00236C63"/>
    <w:rsid w:val="00236F47"/>
    <w:rsid w:val="00237256"/>
    <w:rsid w:val="002375F0"/>
    <w:rsid w:val="002377B7"/>
    <w:rsid w:val="00237A89"/>
    <w:rsid w:val="00237F28"/>
    <w:rsid w:val="00240036"/>
    <w:rsid w:val="0024047B"/>
    <w:rsid w:val="002409F6"/>
    <w:rsid w:val="00240A2D"/>
    <w:rsid w:val="00240A3C"/>
    <w:rsid w:val="00240AB2"/>
    <w:rsid w:val="00240B29"/>
    <w:rsid w:val="00240BA5"/>
    <w:rsid w:val="00240BD6"/>
    <w:rsid w:val="00240C8C"/>
    <w:rsid w:val="00241065"/>
    <w:rsid w:val="00241274"/>
    <w:rsid w:val="0024162A"/>
    <w:rsid w:val="00241C31"/>
    <w:rsid w:val="00241D72"/>
    <w:rsid w:val="00241E90"/>
    <w:rsid w:val="0024204F"/>
    <w:rsid w:val="002422F3"/>
    <w:rsid w:val="00242551"/>
    <w:rsid w:val="002426DF"/>
    <w:rsid w:val="00242B69"/>
    <w:rsid w:val="00242CCE"/>
    <w:rsid w:val="00242FE3"/>
    <w:rsid w:val="00243077"/>
    <w:rsid w:val="002430EB"/>
    <w:rsid w:val="0024344E"/>
    <w:rsid w:val="00243A0E"/>
    <w:rsid w:val="00243C27"/>
    <w:rsid w:val="00244398"/>
    <w:rsid w:val="002443F1"/>
    <w:rsid w:val="0024451B"/>
    <w:rsid w:val="002446D6"/>
    <w:rsid w:val="002447FF"/>
    <w:rsid w:val="00244BB4"/>
    <w:rsid w:val="00244CD2"/>
    <w:rsid w:val="00244CE6"/>
    <w:rsid w:val="00244E07"/>
    <w:rsid w:val="002450BC"/>
    <w:rsid w:val="002458E6"/>
    <w:rsid w:val="002459C0"/>
    <w:rsid w:val="00245C02"/>
    <w:rsid w:val="00245DE3"/>
    <w:rsid w:val="002460BC"/>
    <w:rsid w:val="00246589"/>
    <w:rsid w:val="00246AB1"/>
    <w:rsid w:val="002473C0"/>
    <w:rsid w:val="00247507"/>
    <w:rsid w:val="002478C3"/>
    <w:rsid w:val="002479F8"/>
    <w:rsid w:val="00250007"/>
    <w:rsid w:val="00250391"/>
    <w:rsid w:val="00250454"/>
    <w:rsid w:val="002506EB"/>
    <w:rsid w:val="00250C64"/>
    <w:rsid w:val="00250D70"/>
    <w:rsid w:val="00250FFE"/>
    <w:rsid w:val="00251125"/>
    <w:rsid w:val="002512E8"/>
    <w:rsid w:val="0025158C"/>
    <w:rsid w:val="002517EF"/>
    <w:rsid w:val="00251A4E"/>
    <w:rsid w:val="00251E9E"/>
    <w:rsid w:val="00251EB5"/>
    <w:rsid w:val="002522AB"/>
    <w:rsid w:val="002524F2"/>
    <w:rsid w:val="002526D3"/>
    <w:rsid w:val="00252877"/>
    <w:rsid w:val="00252D48"/>
    <w:rsid w:val="00253185"/>
    <w:rsid w:val="00253670"/>
    <w:rsid w:val="00253981"/>
    <w:rsid w:val="00253D42"/>
    <w:rsid w:val="00253E10"/>
    <w:rsid w:val="00253FBB"/>
    <w:rsid w:val="00254376"/>
    <w:rsid w:val="00254579"/>
    <w:rsid w:val="0025473C"/>
    <w:rsid w:val="00254D85"/>
    <w:rsid w:val="00255479"/>
    <w:rsid w:val="0025574C"/>
    <w:rsid w:val="002558F4"/>
    <w:rsid w:val="00255B73"/>
    <w:rsid w:val="00255C79"/>
    <w:rsid w:val="00256146"/>
    <w:rsid w:val="0025635A"/>
    <w:rsid w:val="00256A04"/>
    <w:rsid w:val="00256B17"/>
    <w:rsid w:val="00256CAB"/>
    <w:rsid w:val="00256E7C"/>
    <w:rsid w:val="002571B7"/>
    <w:rsid w:val="002572A1"/>
    <w:rsid w:val="00257515"/>
    <w:rsid w:val="00257538"/>
    <w:rsid w:val="00257E35"/>
    <w:rsid w:val="00260077"/>
    <w:rsid w:val="00260172"/>
    <w:rsid w:val="002603AA"/>
    <w:rsid w:val="002603D5"/>
    <w:rsid w:val="00260489"/>
    <w:rsid w:val="0026075D"/>
    <w:rsid w:val="002607B1"/>
    <w:rsid w:val="00260AA4"/>
    <w:rsid w:val="00260B41"/>
    <w:rsid w:val="00260B74"/>
    <w:rsid w:val="00260C64"/>
    <w:rsid w:val="0026130C"/>
    <w:rsid w:val="00261425"/>
    <w:rsid w:val="00261843"/>
    <w:rsid w:val="002619D9"/>
    <w:rsid w:val="00261C9C"/>
    <w:rsid w:val="00262237"/>
    <w:rsid w:val="0026225C"/>
    <w:rsid w:val="002630C9"/>
    <w:rsid w:val="00263188"/>
    <w:rsid w:val="00263469"/>
    <w:rsid w:val="00263A33"/>
    <w:rsid w:val="00263A58"/>
    <w:rsid w:val="00263BAA"/>
    <w:rsid w:val="00263D0E"/>
    <w:rsid w:val="00263D19"/>
    <w:rsid w:val="00263D4E"/>
    <w:rsid w:val="00263F57"/>
    <w:rsid w:val="00264141"/>
    <w:rsid w:val="00264283"/>
    <w:rsid w:val="002642B2"/>
    <w:rsid w:val="00264355"/>
    <w:rsid w:val="002645BC"/>
    <w:rsid w:val="00264878"/>
    <w:rsid w:val="002649AD"/>
    <w:rsid w:val="00264A3E"/>
    <w:rsid w:val="00264C15"/>
    <w:rsid w:val="00264D6B"/>
    <w:rsid w:val="00265750"/>
    <w:rsid w:val="00265891"/>
    <w:rsid w:val="002658E6"/>
    <w:rsid w:val="00265992"/>
    <w:rsid w:val="002659BB"/>
    <w:rsid w:val="002659E3"/>
    <w:rsid w:val="00265A3B"/>
    <w:rsid w:val="00265AC7"/>
    <w:rsid w:val="00265F94"/>
    <w:rsid w:val="00266182"/>
    <w:rsid w:val="00266239"/>
    <w:rsid w:val="00266E6E"/>
    <w:rsid w:val="00266ED2"/>
    <w:rsid w:val="00266FC3"/>
    <w:rsid w:val="0026744F"/>
    <w:rsid w:val="002675B4"/>
    <w:rsid w:val="002679D5"/>
    <w:rsid w:val="00267B5F"/>
    <w:rsid w:val="00267DFB"/>
    <w:rsid w:val="002700F1"/>
    <w:rsid w:val="0027031B"/>
    <w:rsid w:val="0027050B"/>
    <w:rsid w:val="00270805"/>
    <w:rsid w:val="00270A2E"/>
    <w:rsid w:val="00270C14"/>
    <w:rsid w:val="00270DC8"/>
    <w:rsid w:val="00270F83"/>
    <w:rsid w:val="002710FF"/>
    <w:rsid w:val="002711C2"/>
    <w:rsid w:val="002714BC"/>
    <w:rsid w:val="002714FD"/>
    <w:rsid w:val="002715D6"/>
    <w:rsid w:val="00271885"/>
    <w:rsid w:val="002719D0"/>
    <w:rsid w:val="00271BE0"/>
    <w:rsid w:val="00271DF4"/>
    <w:rsid w:val="0027204C"/>
    <w:rsid w:val="002720AD"/>
    <w:rsid w:val="002720F7"/>
    <w:rsid w:val="002722C9"/>
    <w:rsid w:val="0027233A"/>
    <w:rsid w:val="00272381"/>
    <w:rsid w:val="00272452"/>
    <w:rsid w:val="0027247E"/>
    <w:rsid w:val="002724AC"/>
    <w:rsid w:val="00272838"/>
    <w:rsid w:val="00272C1E"/>
    <w:rsid w:val="00272CF7"/>
    <w:rsid w:val="00273156"/>
    <w:rsid w:val="002731C6"/>
    <w:rsid w:val="0027342B"/>
    <w:rsid w:val="00273632"/>
    <w:rsid w:val="00273758"/>
    <w:rsid w:val="00273AFD"/>
    <w:rsid w:val="00273CC0"/>
    <w:rsid w:val="00273D86"/>
    <w:rsid w:val="00273F46"/>
    <w:rsid w:val="002740CC"/>
    <w:rsid w:val="00274136"/>
    <w:rsid w:val="00274538"/>
    <w:rsid w:val="002745C8"/>
    <w:rsid w:val="00274621"/>
    <w:rsid w:val="002746E6"/>
    <w:rsid w:val="00274980"/>
    <w:rsid w:val="0027509E"/>
    <w:rsid w:val="00275186"/>
    <w:rsid w:val="00275301"/>
    <w:rsid w:val="00275C02"/>
    <w:rsid w:val="00275DBD"/>
    <w:rsid w:val="00275DD8"/>
    <w:rsid w:val="00275F94"/>
    <w:rsid w:val="00276459"/>
    <w:rsid w:val="0027663C"/>
    <w:rsid w:val="002769EF"/>
    <w:rsid w:val="00276E73"/>
    <w:rsid w:val="00276EDA"/>
    <w:rsid w:val="002770A3"/>
    <w:rsid w:val="00277215"/>
    <w:rsid w:val="00277263"/>
    <w:rsid w:val="0027746F"/>
    <w:rsid w:val="0027752F"/>
    <w:rsid w:val="002778E4"/>
    <w:rsid w:val="00277A15"/>
    <w:rsid w:val="00277A6D"/>
    <w:rsid w:val="00277F9B"/>
    <w:rsid w:val="00280068"/>
    <w:rsid w:val="00280850"/>
    <w:rsid w:val="002809F1"/>
    <w:rsid w:val="00280B1B"/>
    <w:rsid w:val="00280CEC"/>
    <w:rsid w:val="00280D15"/>
    <w:rsid w:val="00280E8B"/>
    <w:rsid w:val="00281034"/>
    <w:rsid w:val="00281172"/>
    <w:rsid w:val="0028118E"/>
    <w:rsid w:val="002813C9"/>
    <w:rsid w:val="00281618"/>
    <w:rsid w:val="00281A22"/>
    <w:rsid w:val="00281A44"/>
    <w:rsid w:val="00281AC4"/>
    <w:rsid w:val="00281B40"/>
    <w:rsid w:val="00281B9C"/>
    <w:rsid w:val="00281F68"/>
    <w:rsid w:val="00282165"/>
    <w:rsid w:val="002825C6"/>
    <w:rsid w:val="0028279F"/>
    <w:rsid w:val="0028289F"/>
    <w:rsid w:val="0028296B"/>
    <w:rsid w:val="00282CA1"/>
    <w:rsid w:val="00282CAB"/>
    <w:rsid w:val="00282CEE"/>
    <w:rsid w:val="00282D34"/>
    <w:rsid w:val="00282ECE"/>
    <w:rsid w:val="0028330B"/>
    <w:rsid w:val="0028360D"/>
    <w:rsid w:val="00283972"/>
    <w:rsid w:val="00283C3F"/>
    <w:rsid w:val="00283DD2"/>
    <w:rsid w:val="002844B2"/>
    <w:rsid w:val="00284523"/>
    <w:rsid w:val="002845EA"/>
    <w:rsid w:val="00284636"/>
    <w:rsid w:val="002848DF"/>
    <w:rsid w:val="00284928"/>
    <w:rsid w:val="00284AB8"/>
    <w:rsid w:val="00284C9B"/>
    <w:rsid w:val="00284CB0"/>
    <w:rsid w:val="00284CDB"/>
    <w:rsid w:val="00284DA5"/>
    <w:rsid w:val="00284DCB"/>
    <w:rsid w:val="00284EB4"/>
    <w:rsid w:val="00284EFD"/>
    <w:rsid w:val="0028505C"/>
    <w:rsid w:val="00285169"/>
    <w:rsid w:val="00285256"/>
    <w:rsid w:val="00285975"/>
    <w:rsid w:val="00285D74"/>
    <w:rsid w:val="0028606E"/>
    <w:rsid w:val="002863E8"/>
    <w:rsid w:val="0028679B"/>
    <w:rsid w:val="0028692C"/>
    <w:rsid w:val="00286F75"/>
    <w:rsid w:val="00287009"/>
    <w:rsid w:val="002871CE"/>
    <w:rsid w:val="00287735"/>
    <w:rsid w:val="00287944"/>
    <w:rsid w:val="00287BE1"/>
    <w:rsid w:val="00287C66"/>
    <w:rsid w:val="00287F23"/>
    <w:rsid w:val="00290148"/>
    <w:rsid w:val="0029036B"/>
    <w:rsid w:val="00290427"/>
    <w:rsid w:val="002906E9"/>
    <w:rsid w:val="00290723"/>
    <w:rsid w:val="0029077A"/>
    <w:rsid w:val="00290807"/>
    <w:rsid w:val="002908D9"/>
    <w:rsid w:val="00290F83"/>
    <w:rsid w:val="0029107B"/>
    <w:rsid w:val="002910C5"/>
    <w:rsid w:val="002918A6"/>
    <w:rsid w:val="00291DAE"/>
    <w:rsid w:val="00291E05"/>
    <w:rsid w:val="00291FC3"/>
    <w:rsid w:val="00292339"/>
    <w:rsid w:val="00292635"/>
    <w:rsid w:val="00292682"/>
    <w:rsid w:val="0029277C"/>
    <w:rsid w:val="00292FB9"/>
    <w:rsid w:val="00293809"/>
    <w:rsid w:val="0029396A"/>
    <w:rsid w:val="00293A9C"/>
    <w:rsid w:val="00293E4D"/>
    <w:rsid w:val="0029443B"/>
    <w:rsid w:val="00294477"/>
    <w:rsid w:val="002945C5"/>
    <w:rsid w:val="002946C1"/>
    <w:rsid w:val="002948C7"/>
    <w:rsid w:val="00294922"/>
    <w:rsid w:val="00294AED"/>
    <w:rsid w:val="00294DC0"/>
    <w:rsid w:val="00295059"/>
    <w:rsid w:val="00295125"/>
    <w:rsid w:val="00295280"/>
    <w:rsid w:val="00295285"/>
    <w:rsid w:val="0029560B"/>
    <w:rsid w:val="0029599B"/>
    <w:rsid w:val="00295B24"/>
    <w:rsid w:val="00295EE4"/>
    <w:rsid w:val="00296693"/>
    <w:rsid w:val="0029682A"/>
    <w:rsid w:val="0029697A"/>
    <w:rsid w:val="00296AFC"/>
    <w:rsid w:val="00296B0A"/>
    <w:rsid w:val="00296B57"/>
    <w:rsid w:val="00296BD3"/>
    <w:rsid w:val="00296F91"/>
    <w:rsid w:val="002970D2"/>
    <w:rsid w:val="002974CD"/>
    <w:rsid w:val="00297D22"/>
    <w:rsid w:val="00297EEB"/>
    <w:rsid w:val="00297FC0"/>
    <w:rsid w:val="002A03AB"/>
    <w:rsid w:val="002A05CD"/>
    <w:rsid w:val="002A0933"/>
    <w:rsid w:val="002A0A3E"/>
    <w:rsid w:val="002A0DAE"/>
    <w:rsid w:val="002A0DBB"/>
    <w:rsid w:val="002A0F42"/>
    <w:rsid w:val="002A1038"/>
    <w:rsid w:val="002A1071"/>
    <w:rsid w:val="002A141B"/>
    <w:rsid w:val="002A1795"/>
    <w:rsid w:val="002A1889"/>
    <w:rsid w:val="002A18EF"/>
    <w:rsid w:val="002A1A33"/>
    <w:rsid w:val="002A1E93"/>
    <w:rsid w:val="002A1EFC"/>
    <w:rsid w:val="002A1FBC"/>
    <w:rsid w:val="002A2091"/>
    <w:rsid w:val="002A2156"/>
    <w:rsid w:val="002A22E1"/>
    <w:rsid w:val="002A26B6"/>
    <w:rsid w:val="002A290B"/>
    <w:rsid w:val="002A2A19"/>
    <w:rsid w:val="002A2BA8"/>
    <w:rsid w:val="002A2C31"/>
    <w:rsid w:val="002A2CD2"/>
    <w:rsid w:val="002A2EBB"/>
    <w:rsid w:val="002A312D"/>
    <w:rsid w:val="002A31C9"/>
    <w:rsid w:val="002A329D"/>
    <w:rsid w:val="002A3395"/>
    <w:rsid w:val="002A3423"/>
    <w:rsid w:val="002A35CC"/>
    <w:rsid w:val="002A385E"/>
    <w:rsid w:val="002A38D1"/>
    <w:rsid w:val="002A39C2"/>
    <w:rsid w:val="002A3B37"/>
    <w:rsid w:val="002A3BC0"/>
    <w:rsid w:val="002A3CDA"/>
    <w:rsid w:val="002A3DB6"/>
    <w:rsid w:val="002A3E28"/>
    <w:rsid w:val="002A3F8E"/>
    <w:rsid w:val="002A4603"/>
    <w:rsid w:val="002A4714"/>
    <w:rsid w:val="002A4B85"/>
    <w:rsid w:val="002A5080"/>
    <w:rsid w:val="002A512C"/>
    <w:rsid w:val="002A5132"/>
    <w:rsid w:val="002A5373"/>
    <w:rsid w:val="002A55F7"/>
    <w:rsid w:val="002A5CE0"/>
    <w:rsid w:val="002A61F3"/>
    <w:rsid w:val="002A6527"/>
    <w:rsid w:val="002A6A4E"/>
    <w:rsid w:val="002A6CC3"/>
    <w:rsid w:val="002A6E29"/>
    <w:rsid w:val="002A6EA2"/>
    <w:rsid w:val="002A6FE5"/>
    <w:rsid w:val="002A702C"/>
    <w:rsid w:val="002A706E"/>
    <w:rsid w:val="002A775E"/>
    <w:rsid w:val="002A777A"/>
    <w:rsid w:val="002A7B9F"/>
    <w:rsid w:val="002A7BDF"/>
    <w:rsid w:val="002A7C2A"/>
    <w:rsid w:val="002A7DEF"/>
    <w:rsid w:val="002A7E94"/>
    <w:rsid w:val="002A7F1F"/>
    <w:rsid w:val="002A7F62"/>
    <w:rsid w:val="002B0302"/>
    <w:rsid w:val="002B066D"/>
    <w:rsid w:val="002B06F4"/>
    <w:rsid w:val="002B0808"/>
    <w:rsid w:val="002B0BEE"/>
    <w:rsid w:val="002B0CC4"/>
    <w:rsid w:val="002B0E42"/>
    <w:rsid w:val="002B1103"/>
    <w:rsid w:val="002B124B"/>
    <w:rsid w:val="002B13DE"/>
    <w:rsid w:val="002B158F"/>
    <w:rsid w:val="002B1BD8"/>
    <w:rsid w:val="002B1C8F"/>
    <w:rsid w:val="002B1D44"/>
    <w:rsid w:val="002B1EFB"/>
    <w:rsid w:val="002B2299"/>
    <w:rsid w:val="002B2432"/>
    <w:rsid w:val="002B2622"/>
    <w:rsid w:val="002B271E"/>
    <w:rsid w:val="002B282F"/>
    <w:rsid w:val="002B2F0B"/>
    <w:rsid w:val="002B2F5C"/>
    <w:rsid w:val="002B30A9"/>
    <w:rsid w:val="002B34CA"/>
    <w:rsid w:val="002B382C"/>
    <w:rsid w:val="002B3ACE"/>
    <w:rsid w:val="002B3DCC"/>
    <w:rsid w:val="002B3EC1"/>
    <w:rsid w:val="002B3F39"/>
    <w:rsid w:val="002B3F63"/>
    <w:rsid w:val="002B4A36"/>
    <w:rsid w:val="002B4A6E"/>
    <w:rsid w:val="002B4B7A"/>
    <w:rsid w:val="002B4F7B"/>
    <w:rsid w:val="002B511A"/>
    <w:rsid w:val="002B5248"/>
    <w:rsid w:val="002B5261"/>
    <w:rsid w:val="002B55C8"/>
    <w:rsid w:val="002B5770"/>
    <w:rsid w:val="002B5868"/>
    <w:rsid w:val="002B5A45"/>
    <w:rsid w:val="002B5A85"/>
    <w:rsid w:val="002B5D80"/>
    <w:rsid w:val="002B5E5A"/>
    <w:rsid w:val="002B6044"/>
    <w:rsid w:val="002B60E6"/>
    <w:rsid w:val="002B63A7"/>
    <w:rsid w:val="002B6776"/>
    <w:rsid w:val="002B67B1"/>
    <w:rsid w:val="002B6822"/>
    <w:rsid w:val="002B6911"/>
    <w:rsid w:val="002B6A0C"/>
    <w:rsid w:val="002B6AEC"/>
    <w:rsid w:val="002B6C61"/>
    <w:rsid w:val="002B6D53"/>
    <w:rsid w:val="002B6F96"/>
    <w:rsid w:val="002B7726"/>
    <w:rsid w:val="002B774B"/>
    <w:rsid w:val="002B77F3"/>
    <w:rsid w:val="002B78B4"/>
    <w:rsid w:val="002B78CE"/>
    <w:rsid w:val="002C05E9"/>
    <w:rsid w:val="002C063A"/>
    <w:rsid w:val="002C069B"/>
    <w:rsid w:val="002C089D"/>
    <w:rsid w:val="002C08C1"/>
    <w:rsid w:val="002C0BB2"/>
    <w:rsid w:val="002C0C9F"/>
    <w:rsid w:val="002C0CAB"/>
    <w:rsid w:val="002C18ED"/>
    <w:rsid w:val="002C1985"/>
    <w:rsid w:val="002C1ACF"/>
    <w:rsid w:val="002C1B44"/>
    <w:rsid w:val="002C1C5B"/>
    <w:rsid w:val="002C22E6"/>
    <w:rsid w:val="002C236D"/>
    <w:rsid w:val="002C24D1"/>
    <w:rsid w:val="002C2583"/>
    <w:rsid w:val="002C2814"/>
    <w:rsid w:val="002C2C22"/>
    <w:rsid w:val="002C2CC2"/>
    <w:rsid w:val="002C2F5D"/>
    <w:rsid w:val="002C2F8F"/>
    <w:rsid w:val="002C38E6"/>
    <w:rsid w:val="002C39EB"/>
    <w:rsid w:val="002C3BBB"/>
    <w:rsid w:val="002C4034"/>
    <w:rsid w:val="002C409D"/>
    <w:rsid w:val="002C42BA"/>
    <w:rsid w:val="002C4309"/>
    <w:rsid w:val="002C47A1"/>
    <w:rsid w:val="002C4AEE"/>
    <w:rsid w:val="002C4C22"/>
    <w:rsid w:val="002C4D74"/>
    <w:rsid w:val="002C4FCE"/>
    <w:rsid w:val="002C523F"/>
    <w:rsid w:val="002C52B6"/>
    <w:rsid w:val="002C5543"/>
    <w:rsid w:val="002C556B"/>
    <w:rsid w:val="002C57AE"/>
    <w:rsid w:val="002C58F4"/>
    <w:rsid w:val="002C5A55"/>
    <w:rsid w:val="002C5B67"/>
    <w:rsid w:val="002C5CBF"/>
    <w:rsid w:val="002C5EB3"/>
    <w:rsid w:val="002C600D"/>
    <w:rsid w:val="002C60F6"/>
    <w:rsid w:val="002C62C4"/>
    <w:rsid w:val="002C64AB"/>
    <w:rsid w:val="002C6D8B"/>
    <w:rsid w:val="002C6F03"/>
    <w:rsid w:val="002C6FC0"/>
    <w:rsid w:val="002C70A0"/>
    <w:rsid w:val="002C72AF"/>
    <w:rsid w:val="002C7308"/>
    <w:rsid w:val="002C7852"/>
    <w:rsid w:val="002C7917"/>
    <w:rsid w:val="002C7F75"/>
    <w:rsid w:val="002D022C"/>
    <w:rsid w:val="002D034B"/>
    <w:rsid w:val="002D06C2"/>
    <w:rsid w:val="002D0861"/>
    <w:rsid w:val="002D08CB"/>
    <w:rsid w:val="002D09E2"/>
    <w:rsid w:val="002D09E7"/>
    <w:rsid w:val="002D0AC9"/>
    <w:rsid w:val="002D0C11"/>
    <w:rsid w:val="002D0E11"/>
    <w:rsid w:val="002D0F3D"/>
    <w:rsid w:val="002D0F7F"/>
    <w:rsid w:val="002D1411"/>
    <w:rsid w:val="002D18DE"/>
    <w:rsid w:val="002D1EC9"/>
    <w:rsid w:val="002D21C9"/>
    <w:rsid w:val="002D2522"/>
    <w:rsid w:val="002D2614"/>
    <w:rsid w:val="002D2627"/>
    <w:rsid w:val="002D273E"/>
    <w:rsid w:val="002D27B7"/>
    <w:rsid w:val="002D2CCC"/>
    <w:rsid w:val="002D2D7E"/>
    <w:rsid w:val="002D2E3D"/>
    <w:rsid w:val="002D2FDC"/>
    <w:rsid w:val="002D3103"/>
    <w:rsid w:val="002D3363"/>
    <w:rsid w:val="002D34F6"/>
    <w:rsid w:val="002D3605"/>
    <w:rsid w:val="002D3639"/>
    <w:rsid w:val="002D3A9B"/>
    <w:rsid w:val="002D3AF7"/>
    <w:rsid w:val="002D3BC7"/>
    <w:rsid w:val="002D4415"/>
    <w:rsid w:val="002D44F9"/>
    <w:rsid w:val="002D4545"/>
    <w:rsid w:val="002D4566"/>
    <w:rsid w:val="002D4686"/>
    <w:rsid w:val="002D470E"/>
    <w:rsid w:val="002D4900"/>
    <w:rsid w:val="002D4C87"/>
    <w:rsid w:val="002D4CE8"/>
    <w:rsid w:val="002D4D4E"/>
    <w:rsid w:val="002D4F07"/>
    <w:rsid w:val="002D5233"/>
    <w:rsid w:val="002D553B"/>
    <w:rsid w:val="002D5600"/>
    <w:rsid w:val="002D592C"/>
    <w:rsid w:val="002D5978"/>
    <w:rsid w:val="002D5B0B"/>
    <w:rsid w:val="002D5E97"/>
    <w:rsid w:val="002D600F"/>
    <w:rsid w:val="002D6084"/>
    <w:rsid w:val="002D686C"/>
    <w:rsid w:val="002D691A"/>
    <w:rsid w:val="002D6B09"/>
    <w:rsid w:val="002D6BE7"/>
    <w:rsid w:val="002D6BEF"/>
    <w:rsid w:val="002D6C80"/>
    <w:rsid w:val="002D7159"/>
    <w:rsid w:val="002D71D4"/>
    <w:rsid w:val="002D71F8"/>
    <w:rsid w:val="002D72A8"/>
    <w:rsid w:val="002D772A"/>
    <w:rsid w:val="002E0024"/>
    <w:rsid w:val="002E00D5"/>
    <w:rsid w:val="002E0198"/>
    <w:rsid w:val="002E08BA"/>
    <w:rsid w:val="002E0A7A"/>
    <w:rsid w:val="002E0A8A"/>
    <w:rsid w:val="002E1208"/>
    <w:rsid w:val="002E1224"/>
    <w:rsid w:val="002E17A4"/>
    <w:rsid w:val="002E1D7C"/>
    <w:rsid w:val="002E1DC7"/>
    <w:rsid w:val="002E2003"/>
    <w:rsid w:val="002E2234"/>
    <w:rsid w:val="002E2278"/>
    <w:rsid w:val="002E241B"/>
    <w:rsid w:val="002E254A"/>
    <w:rsid w:val="002E2B50"/>
    <w:rsid w:val="002E2B88"/>
    <w:rsid w:val="002E2C9D"/>
    <w:rsid w:val="002E2CD3"/>
    <w:rsid w:val="002E306C"/>
    <w:rsid w:val="002E3098"/>
    <w:rsid w:val="002E328B"/>
    <w:rsid w:val="002E35E5"/>
    <w:rsid w:val="002E3860"/>
    <w:rsid w:val="002E39B6"/>
    <w:rsid w:val="002E39FE"/>
    <w:rsid w:val="002E3D9F"/>
    <w:rsid w:val="002E3EA3"/>
    <w:rsid w:val="002E4144"/>
    <w:rsid w:val="002E441C"/>
    <w:rsid w:val="002E4A35"/>
    <w:rsid w:val="002E50B5"/>
    <w:rsid w:val="002E5316"/>
    <w:rsid w:val="002E539C"/>
    <w:rsid w:val="002E5F5A"/>
    <w:rsid w:val="002E60CD"/>
    <w:rsid w:val="002E6159"/>
    <w:rsid w:val="002E62F2"/>
    <w:rsid w:val="002E640C"/>
    <w:rsid w:val="002E673A"/>
    <w:rsid w:val="002E6E13"/>
    <w:rsid w:val="002E70F9"/>
    <w:rsid w:val="002E7103"/>
    <w:rsid w:val="002E73A8"/>
    <w:rsid w:val="002E761F"/>
    <w:rsid w:val="002E79F7"/>
    <w:rsid w:val="002E7A13"/>
    <w:rsid w:val="002E7B26"/>
    <w:rsid w:val="002E7CDE"/>
    <w:rsid w:val="002E7DAB"/>
    <w:rsid w:val="002E7DC5"/>
    <w:rsid w:val="002E7DE5"/>
    <w:rsid w:val="002E7F38"/>
    <w:rsid w:val="002F00F8"/>
    <w:rsid w:val="002F012F"/>
    <w:rsid w:val="002F01DE"/>
    <w:rsid w:val="002F0289"/>
    <w:rsid w:val="002F0306"/>
    <w:rsid w:val="002F0395"/>
    <w:rsid w:val="002F0A07"/>
    <w:rsid w:val="002F0AB7"/>
    <w:rsid w:val="002F0C9E"/>
    <w:rsid w:val="002F12D0"/>
    <w:rsid w:val="002F1576"/>
    <w:rsid w:val="002F180F"/>
    <w:rsid w:val="002F1F5B"/>
    <w:rsid w:val="002F1F69"/>
    <w:rsid w:val="002F20B8"/>
    <w:rsid w:val="002F21AF"/>
    <w:rsid w:val="002F28E0"/>
    <w:rsid w:val="002F2ABF"/>
    <w:rsid w:val="002F2DC8"/>
    <w:rsid w:val="002F2E60"/>
    <w:rsid w:val="002F3139"/>
    <w:rsid w:val="002F34FB"/>
    <w:rsid w:val="002F3900"/>
    <w:rsid w:val="002F3A62"/>
    <w:rsid w:val="002F3BB5"/>
    <w:rsid w:val="002F4267"/>
    <w:rsid w:val="002F43DE"/>
    <w:rsid w:val="002F449B"/>
    <w:rsid w:val="002F44E0"/>
    <w:rsid w:val="002F478C"/>
    <w:rsid w:val="002F48E8"/>
    <w:rsid w:val="002F4D86"/>
    <w:rsid w:val="002F4FDD"/>
    <w:rsid w:val="002F52DD"/>
    <w:rsid w:val="002F53A1"/>
    <w:rsid w:val="002F5BAB"/>
    <w:rsid w:val="002F5C09"/>
    <w:rsid w:val="002F5D69"/>
    <w:rsid w:val="002F5DEA"/>
    <w:rsid w:val="002F62AF"/>
    <w:rsid w:val="002F63C0"/>
    <w:rsid w:val="002F645A"/>
    <w:rsid w:val="002F66A0"/>
    <w:rsid w:val="002F66A7"/>
    <w:rsid w:val="002F66D4"/>
    <w:rsid w:val="002F6839"/>
    <w:rsid w:val="002F6A2F"/>
    <w:rsid w:val="002F6A39"/>
    <w:rsid w:val="002F6AB0"/>
    <w:rsid w:val="002F6D5C"/>
    <w:rsid w:val="002F7288"/>
    <w:rsid w:val="002F7557"/>
    <w:rsid w:val="002F7998"/>
    <w:rsid w:val="002F7A61"/>
    <w:rsid w:val="002F7C77"/>
    <w:rsid w:val="002F7CC5"/>
    <w:rsid w:val="002F7DAF"/>
    <w:rsid w:val="002F7E52"/>
    <w:rsid w:val="003002BA"/>
    <w:rsid w:val="003004B0"/>
    <w:rsid w:val="00300570"/>
    <w:rsid w:val="00300AB7"/>
    <w:rsid w:val="00300C38"/>
    <w:rsid w:val="00300CB3"/>
    <w:rsid w:val="00300D64"/>
    <w:rsid w:val="00301009"/>
    <w:rsid w:val="00301013"/>
    <w:rsid w:val="003013A9"/>
    <w:rsid w:val="00301490"/>
    <w:rsid w:val="00301A65"/>
    <w:rsid w:val="00301A66"/>
    <w:rsid w:val="00301A94"/>
    <w:rsid w:val="00301CAB"/>
    <w:rsid w:val="00301F3B"/>
    <w:rsid w:val="00302119"/>
    <w:rsid w:val="00302265"/>
    <w:rsid w:val="00302550"/>
    <w:rsid w:val="003027F3"/>
    <w:rsid w:val="00302DA3"/>
    <w:rsid w:val="00302EF0"/>
    <w:rsid w:val="00302EF3"/>
    <w:rsid w:val="003033D1"/>
    <w:rsid w:val="003036D1"/>
    <w:rsid w:val="003037CD"/>
    <w:rsid w:val="003038A5"/>
    <w:rsid w:val="0030394B"/>
    <w:rsid w:val="003039C2"/>
    <w:rsid w:val="003039DF"/>
    <w:rsid w:val="003039F9"/>
    <w:rsid w:val="00303C12"/>
    <w:rsid w:val="00303D51"/>
    <w:rsid w:val="00303FA0"/>
    <w:rsid w:val="00304110"/>
    <w:rsid w:val="00304119"/>
    <w:rsid w:val="00304244"/>
    <w:rsid w:val="003043C0"/>
    <w:rsid w:val="0030447C"/>
    <w:rsid w:val="00304629"/>
    <w:rsid w:val="00304CA0"/>
    <w:rsid w:val="00304CF3"/>
    <w:rsid w:val="00304DFA"/>
    <w:rsid w:val="00305223"/>
    <w:rsid w:val="003054E0"/>
    <w:rsid w:val="003055C6"/>
    <w:rsid w:val="003055CA"/>
    <w:rsid w:val="003056BF"/>
    <w:rsid w:val="003057C1"/>
    <w:rsid w:val="003059EE"/>
    <w:rsid w:val="003059FB"/>
    <w:rsid w:val="00305B16"/>
    <w:rsid w:val="00305FD4"/>
    <w:rsid w:val="0030613B"/>
    <w:rsid w:val="0030665A"/>
    <w:rsid w:val="003067B1"/>
    <w:rsid w:val="00306984"/>
    <w:rsid w:val="003070BC"/>
    <w:rsid w:val="003072C6"/>
    <w:rsid w:val="00307674"/>
    <w:rsid w:val="003076A1"/>
    <w:rsid w:val="00307778"/>
    <w:rsid w:val="00307CF9"/>
    <w:rsid w:val="0031049F"/>
    <w:rsid w:val="00310600"/>
    <w:rsid w:val="003107F9"/>
    <w:rsid w:val="00310B54"/>
    <w:rsid w:val="00310D8E"/>
    <w:rsid w:val="00311123"/>
    <w:rsid w:val="003113C4"/>
    <w:rsid w:val="003113C7"/>
    <w:rsid w:val="0031152A"/>
    <w:rsid w:val="003116C7"/>
    <w:rsid w:val="0031189E"/>
    <w:rsid w:val="00311A65"/>
    <w:rsid w:val="00311C48"/>
    <w:rsid w:val="00311CC0"/>
    <w:rsid w:val="00311DA1"/>
    <w:rsid w:val="0031200F"/>
    <w:rsid w:val="003121B8"/>
    <w:rsid w:val="0031240A"/>
    <w:rsid w:val="00312EF1"/>
    <w:rsid w:val="00312F8A"/>
    <w:rsid w:val="0031325B"/>
    <w:rsid w:val="003137AB"/>
    <w:rsid w:val="00313C9E"/>
    <w:rsid w:val="00313CB4"/>
    <w:rsid w:val="00313E1B"/>
    <w:rsid w:val="00313F98"/>
    <w:rsid w:val="003143B7"/>
    <w:rsid w:val="00314A21"/>
    <w:rsid w:val="00314AFB"/>
    <w:rsid w:val="00314B9F"/>
    <w:rsid w:val="00314E9B"/>
    <w:rsid w:val="00314FC4"/>
    <w:rsid w:val="0031501F"/>
    <w:rsid w:val="00315294"/>
    <w:rsid w:val="003152E8"/>
    <w:rsid w:val="00315364"/>
    <w:rsid w:val="00315492"/>
    <w:rsid w:val="0031553E"/>
    <w:rsid w:val="003159B0"/>
    <w:rsid w:val="00315BBD"/>
    <w:rsid w:val="00315DA7"/>
    <w:rsid w:val="00315F26"/>
    <w:rsid w:val="00316614"/>
    <w:rsid w:val="00316837"/>
    <w:rsid w:val="00316AB8"/>
    <w:rsid w:val="00316B3B"/>
    <w:rsid w:val="00316BA4"/>
    <w:rsid w:val="00316D0F"/>
    <w:rsid w:val="0031721E"/>
    <w:rsid w:val="0031728E"/>
    <w:rsid w:val="003172E1"/>
    <w:rsid w:val="00317445"/>
    <w:rsid w:val="00317505"/>
    <w:rsid w:val="0031753A"/>
    <w:rsid w:val="00317852"/>
    <w:rsid w:val="00317937"/>
    <w:rsid w:val="00317BCC"/>
    <w:rsid w:val="00317C28"/>
    <w:rsid w:val="00317CF3"/>
    <w:rsid w:val="0032000C"/>
    <w:rsid w:val="00320090"/>
    <w:rsid w:val="003201DA"/>
    <w:rsid w:val="0032025E"/>
    <w:rsid w:val="00320293"/>
    <w:rsid w:val="0032078A"/>
    <w:rsid w:val="00320A94"/>
    <w:rsid w:val="00320ACC"/>
    <w:rsid w:val="003210AF"/>
    <w:rsid w:val="003212D3"/>
    <w:rsid w:val="0032188E"/>
    <w:rsid w:val="003218D6"/>
    <w:rsid w:val="00321ED8"/>
    <w:rsid w:val="00322803"/>
    <w:rsid w:val="003228FC"/>
    <w:rsid w:val="00322CC2"/>
    <w:rsid w:val="00322D95"/>
    <w:rsid w:val="00323300"/>
    <w:rsid w:val="0032338A"/>
    <w:rsid w:val="00323981"/>
    <w:rsid w:val="00323D15"/>
    <w:rsid w:val="00324066"/>
    <w:rsid w:val="00324507"/>
    <w:rsid w:val="003249EE"/>
    <w:rsid w:val="00324AF6"/>
    <w:rsid w:val="00324C4B"/>
    <w:rsid w:val="00324D53"/>
    <w:rsid w:val="0032514D"/>
    <w:rsid w:val="003253A9"/>
    <w:rsid w:val="00325775"/>
    <w:rsid w:val="003257D8"/>
    <w:rsid w:val="00325801"/>
    <w:rsid w:val="00325842"/>
    <w:rsid w:val="00325B02"/>
    <w:rsid w:val="00325C0C"/>
    <w:rsid w:val="00325E13"/>
    <w:rsid w:val="00325E4E"/>
    <w:rsid w:val="00326020"/>
    <w:rsid w:val="0032610E"/>
    <w:rsid w:val="00326147"/>
    <w:rsid w:val="00326154"/>
    <w:rsid w:val="0032615E"/>
    <w:rsid w:val="003262AD"/>
    <w:rsid w:val="00326747"/>
    <w:rsid w:val="00326777"/>
    <w:rsid w:val="00326781"/>
    <w:rsid w:val="0032678B"/>
    <w:rsid w:val="00326AE2"/>
    <w:rsid w:val="00327064"/>
    <w:rsid w:val="003270E7"/>
    <w:rsid w:val="00327120"/>
    <w:rsid w:val="003271DC"/>
    <w:rsid w:val="0032722F"/>
    <w:rsid w:val="0032723F"/>
    <w:rsid w:val="00327442"/>
    <w:rsid w:val="003274FE"/>
    <w:rsid w:val="0032755E"/>
    <w:rsid w:val="00327574"/>
    <w:rsid w:val="00327725"/>
    <w:rsid w:val="003278CD"/>
    <w:rsid w:val="00327D82"/>
    <w:rsid w:val="00327ED2"/>
    <w:rsid w:val="0033017B"/>
    <w:rsid w:val="00330491"/>
    <w:rsid w:val="00330612"/>
    <w:rsid w:val="003306FA"/>
    <w:rsid w:val="00330718"/>
    <w:rsid w:val="00330B30"/>
    <w:rsid w:val="00330D85"/>
    <w:rsid w:val="00330F36"/>
    <w:rsid w:val="003310C8"/>
    <w:rsid w:val="003313CC"/>
    <w:rsid w:val="003315D8"/>
    <w:rsid w:val="0033168C"/>
    <w:rsid w:val="00331951"/>
    <w:rsid w:val="003319C7"/>
    <w:rsid w:val="00331E61"/>
    <w:rsid w:val="00332371"/>
    <w:rsid w:val="00332391"/>
    <w:rsid w:val="003326BA"/>
    <w:rsid w:val="003327E9"/>
    <w:rsid w:val="00332946"/>
    <w:rsid w:val="00332D57"/>
    <w:rsid w:val="00332DCC"/>
    <w:rsid w:val="00333645"/>
    <w:rsid w:val="003337AB"/>
    <w:rsid w:val="003338A8"/>
    <w:rsid w:val="00333938"/>
    <w:rsid w:val="00333A63"/>
    <w:rsid w:val="00333A8A"/>
    <w:rsid w:val="00333AD1"/>
    <w:rsid w:val="00333CF9"/>
    <w:rsid w:val="003346F6"/>
    <w:rsid w:val="003349EC"/>
    <w:rsid w:val="00334B54"/>
    <w:rsid w:val="00334B57"/>
    <w:rsid w:val="00334C78"/>
    <w:rsid w:val="00334CAA"/>
    <w:rsid w:val="00334EAB"/>
    <w:rsid w:val="00334ED4"/>
    <w:rsid w:val="00334F19"/>
    <w:rsid w:val="00335010"/>
    <w:rsid w:val="0033503B"/>
    <w:rsid w:val="00335509"/>
    <w:rsid w:val="00335740"/>
    <w:rsid w:val="0033576E"/>
    <w:rsid w:val="00335788"/>
    <w:rsid w:val="00335CE1"/>
    <w:rsid w:val="00335E0D"/>
    <w:rsid w:val="00335EC0"/>
    <w:rsid w:val="00335F31"/>
    <w:rsid w:val="003361A1"/>
    <w:rsid w:val="00336239"/>
    <w:rsid w:val="00336338"/>
    <w:rsid w:val="00336409"/>
    <w:rsid w:val="00336412"/>
    <w:rsid w:val="00336589"/>
    <w:rsid w:val="00336792"/>
    <w:rsid w:val="00336E52"/>
    <w:rsid w:val="00336E88"/>
    <w:rsid w:val="00336F6D"/>
    <w:rsid w:val="003371F5"/>
    <w:rsid w:val="00337346"/>
    <w:rsid w:val="0033739E"/>
    <w:rsid w:val="003374AC"/>
    <w:rsid w:val="003376A7"/>
    <w:rsid w:val="003376EB"/>
    <w:rsid w:val="0033770F"/>
    <w:rsid w:val="00337810"/>
    <w:rsid w:val="00337E50"/>
    <w:rsid w:val="00340290"/>
    <w:rsid w:val="00340413"/>
    <w:rsid w:val="003404E2"/>
    <w:rsid w:val="00340502"/>
    <w:rsid w:val="00340934"/>
    <w:rsid w:val="00340A2C"/>
    <w:rsid w:val="00340AE3"/>
    <w:rsid w:val="00340D69"/>
    <w:rsid w:val="00340DC3"/>
    <w:rsid w:val="00341050"/>
    <w:rsid w:val="00341304"/>
    <w:rsid w:val="003413CB"/>
    <w:rsid w:val="0034161C"/>
    <w:rsid w:val="00341978"/>
    <w:rsid w:val="00341D55"/>
    <w:rsid w:val="00341D97"/>
    <w:rsid w:val="00341DA6"/>
    <w:rsid w:val="0034208F"/>
    <w:rsid w:val="003420D8"/>
    <w:rsid w:val="00342142"/>
    <w:rsid w:val="0034216C"/>
    <w:rsid w:val="0034241F"/>
    <w:rsid w:val="0034255A"/>
    <w:rsid w:val="003425BD"/>
    <w:rsid w:val="00342641"/>
    <w:rsid w:val="0034267F"/>
    <w:rsid w:val="00342E1B"/>
    <w:rsid w:val="003431A0"/>
    <w:rsid w:val="00343515"/>
    <w:rsid w:val="003436E0"/>
    <w:rsid w:val="00343733"/>
    <w:rsid w:val="0034398E"/>
    <w:rsid w:val="00343E49"/>
    <w:rsid w:val="00343ECE"/>
    <w:rsid w:val="00343F4D"/>
    <w:rsid w:val="003441AC"/>
    <w:rsid w:val="003441F6"/>
    <w:rsid w:val="00344583"/>
    <w:rsid w:val="00344734"/>
    <w:rsid w:val="00344786"/>
    <w:rsid w:val="00344813"/>
    <w:rsid w:val="00344C58"/>
    <w:rsid w:val="00345162"/>
    <w:rsid w:val="0034545A"/>
    <w:rsid w:val="00345592"/>
    <w:rsid w:val="00345B77"/>
    <w:rsid w:val="0034634D"/>
    <w:rsid w:val="00346917"/>
    <w:rsid w:val="003469A5"/>
    <w:rsid w:val="00346ABE"/>
    <w:rsid w:val="00346C60"/>
    <w:rsid w:val="00346D94"/>
    <w:rsid w:val="00346F66"/>
    <w:rsid w:val="00347447"/>
    <w:rsid w:val="00347874"/>
    <w:rsid w:val="00347BCE"/>
    <w:rsid w:val="00347E98"/>
    <w:rsid w:val="00350100"/>
    <w:rsid w:val="0035031D"/>
    <w:rsid w:val="00350524"/>
    <w:rsid w:val="00350534"/>
    <w:rsid w:val="003505A5"/>
    <w:rsid w:val="003507C1"/>
    <w:rsid w:val="00350C08"/>
    <w:rsid w:val="00350F25"/>
    <w:rsid w:val="00350F81"/>
    <w:rsid w:val="003511F9"/>
    <w:rsid w:val="0035142A"/>
    <w:rsid w:val="00351936"/>
    <w:rsid w:val="00351EEA"/>
    <w:rsid w:val="00351F98"/>
    <w:rsid w:val="00352348"/>
    <w:rsid w:val="0035244C"/>
    <w:rsid w:val="0035274A"/>
    <w:rsid w:val="0035319D"/>
    <w:rsid w:val="003535D7"/>
    <w:rsid w:val="0035386E"/>
    <w:rsid w:val="00353891"/>
    <w:rsid w:val="00353E89"/>
    <w:rsid w:val="00353FF4"/>
    <w:rsid w:val="003541B7"/>
    <w:rsid w:val="00354289"/>
    <w:rsid w:val="003542BE"/>
    <w:rsid w:val="00354B70"/>
    <w:rsid w:val="00354C06"/>
    <w:rsid w:val="00354CEA"/>
    <w:rsid w:val="00354D0D"/>
    <w:rsid w:val="00354ED6"/>
    <w:rsid w:val="00354F59"/>
    <w:rsid w:val="00355590"/>
    <w:rsid w:val="00355832"/>
    <w:rsid w:val="00355886"/>
    <w:rsid w:val="003559A1"/>
    <w:rsid w:val="00355DC0"/>
    <w:rsid w:val="00355F72"/>
    <w:rsid w:val="00355FA4"/>
    <w:rsid w:val="003564A7"/>
    <w:rsid w:val="0035662A"/>
    <w:rsid w:val="00356769"/>
    <w:rsid w:val="00356814"/>
    <w:rsid w:val="00356B0A"/>
    <w:rsid w:val="003570B0"/>
    <w:rsid w:val="00357301"/>
    <w:rsid w:val="00357784"/>
    <w:rsid w:val="003579C3"/>
    <w:rsid w:val="00357B8A"/>
    <w:rsid w:val="00357DCE"/>
    <w:rsid w:val="003600DB"/>
    <w:rsid w:val="00360167"/>
    <w:rsid w:val="00360224"/>
    <w:rsid w:val="00360556"/>
    <w:rsid w:val="0036087F"/>
    <w:rsid w:val="00360900"/>
    <w:rsid w:val="00360A7F"/>
    <w:rsid w:val="00360AC0"/>
    <w:rsid w:val="00360ACC"/>
    <w:rsid w:val="00360C9E"/>
    <w:rsid w:val="00361090"/>
    <w:rsid w:val="0036113F"/>
    <w:rsid w:val="003614F1"/>
    <w:rsid w:val="003614FE"/>
    <w:rsid w:val="00361634"/>
    <w:rsid w:val="0036176B"/>
    <w:rsid w:val="003617AC"/>
    <w:rsid w:val="00361C3B"/>
    <w:rsid w:val="0036201F"/>
    <w:rsid w:val="0036209A"/>
    <w:rsid w:val="0036243A"/>
    <w:rsid w:val="003625A9"/>
    <w:rsid w:val="00362930"/>
    <w:rsid w:val="00362AC2"/>
    <w:rsid w:val="00362B28"/>
    <w:rsid w:val="00362DAE"/>
    <w:rsid w:val="00362F36"/>
    <w:rsid w:val="00363665"/>
    <w:rsid w:val="003639B7"/>
    <w:rsid w:val="00363A99"/>
    <w:rsid w:val="00363AD5"/>
    <w:rsid w:val="00363C76"/>
    <w:rsid w:val="00363D50"/>
    <w:rsid w:val="00363F4C"/>
    <w:rsid w:val="00363F69"/>
    <w:rsid w:val="00364885"/>
    <w:rsid w:val="00364DCF"/>
    <w:rsid w:val="00365011"/>
    <w:rsid w:val="00365120"/>
    <w:rsid w:val="00365294"/>
    <w:rsid w:val="003659CA"/>
    <w:rsid w:val="00365BD3"/>
    <w:rsid w:val="00365C99"/>
    <w:rsid w:val="00365D92"/>
    <w:rsid w:val="003661C1"/>
    <w:rsid w:val="00366405"/>
    <w:rsid w:val="003666C3"/>
    <w:rsid w:val="00366930"/>
    <w:rsid w:val="0036694A"/>
    <w:rsid w:val="00366A21"/>
    <w:rsid w:val="00366CF7"/>
    <w:rsid w:val="00366E63"/>
    <w:rsid w:val="0036722C"/>
    <w:rsid w:val="003672B5"/>
    <w:rsid w:val="003676B0"/>
    <w:rsid w:val="00370323"/>
    <w:rsid w:val="00370767"/>
    <w:rsid w:val="003707C5"/>
    <w:rsid w:val="00370BF4"/>
    <w:rsid w:val="0037100E"/>
    <w:rsid w:val="00371539"/>
    <w:rsid w:val="00371583"/>
    <w:rsid w:val="0037185D"/>
    <w:rsid w:val="00371948"/>
    <w:rsid w:val="00371D6F"/>
    <w:rsid w:val="00371EAF"/>
    <w:rsid w:val="003720D4"/>
    <w:rsid w:val="003720EC"/>
    <w:rsid w:val="003721F1"/>
    <w:rsid w:val="00372240"/>
    <w:rsid w:val="0037249A"/>
    <w:rsid w:val="00372639"/>
    <w:rsid w:val="00373180"/>
    <w:rsid w:val="00373331"/>
    <w:rsid w:val="0037367E"/>
    <w:rsid w:val="00373B57"/>
    <w:rsid w:val="00373C9B"/>
    <w:rsid w:val="00373CE9"/>
    <w:rsid w:val="00373D9E"/>
    <w:rsid w:val="00373DD4"/>
    <w:rsid w:val="003741AD"/>
    <w:rsid w:val="00374353"/>
    <w:rsid w:val="00374406"/>
    <w:rsid w:val="00374729"/>
    <w:rsid w:val="003748AE"/>
    <w:rsid w:val="003749FC"/>
    <w:rsid w:val="00374B12"/>
    <w:rsid w:val="00374C2D"/>
    <w:rsid w:val="00374C69"/>
    <w:rsid w:val="00374D9B"/>
    <w:rsid w:val="00374E0B"/>
    <w:rsid w:val="00374F85"/>
    <w:rsid w:val="003750B9"/>
    <w:rsid w:val="003752A1"/>
    <w:rsid w:val="00375383"/>
    <w:rsid w:val="003759EF"/>
    <w:rsid w:val="00375BE9"/>
    <w:rsid w:val="00375BFF"/>
    <w:rsid w:val="00375FA9"/>
    <w:rsid w:val="0037614E"/>
    <w:rsid w:val="00376705"/>
    <w:rsid w:val="003768E5"/>
    <w:rsid w:val="00376DD8"/>
    <w:rsid w:val="00376E08"/>
    <w:rsid w:val="00376EFD"/>
    <w:rsid w:val="00376F50"/>
    <w:rsid w:val="00376F5A"/>
    <w:rsid w:val="003770A3"/>
    <w:rsid w:val="003770EA"/>
    <w:rsid w:val="0037724C"/>
    <w:rsid w:val="003776DA"/>
    <w:rsid w:val="00377B5E"/>
    <w:rsid w:val="00380145"/>
    <w:rsid w:val="0038019F"/>
    <w:rsid w:val="00380259"/>
    <w:rsid w:val="00380617"/>
    <w:rsid w:val="0038082D"/>
    <w:rsid w:val="00380A75"/>
    <w:rsid w:val="00380AE9"/>
    <w:rsid w:val="00380F05"/>
    <w:rsid w:val="00381200"/>
    <w:rsid w:val="003815C8"/>
    <w:rsid w:val="003819C9"/>
    <w:rsid w:val="00382071"/>
    <w:rsid w:val="00382382"/>
    <w:rsid w:val="003823AE"/>
    <w:rsid w:val="00382402"/>
    <w:rsid w:val="00382530"/>
    <w:rsid w:val="0038257E"/>
    <w:rsid w:val="00382A98"/>
    <w:rsid w:val="0038364C"/>
    <w:rsid w:val="003837B6"/>
    <w:rsid w:val="003837F3"/>
    <w:rsid w:val="00383D01"/>
    <w:rsid w:val="00383E16"/>
    <w:rsid w:val="00383E86"/>
    <w:rsid w:val="00383E92"/>
    <w:rsid w:val="00383ED3"/>
    <w:rsid w:val="00384533"/>
    <w:rsid w:val="00384698"/>
    <w:rsid w:val="003846EF"/>
    <w:rsid w:val="00384910"/>
    <w:rsid w:val="00384AC3"/>
    <w:rsid w:val="00384ACE"/>
    <w:rsid w:val="00384CA0"/>
    <w:rsid w:val="00384CBB"/>
    <w:rsid w:val="00384EB5"/>
    <w:rsid w:val="0038545D"/>
    <w:rsid w:val="003854CC"/>
    <w:rsid w:val="00385561"/>
    <w:rsid w:val="0038575F"/>
    <w:rsid w:val="00385BE6"/>
    <w:rsid w:val="00385BEC"/>
    <w:rsid w:val="00385D2F"/>
    <w:rsid w:val="00385F50"/>
    <w:rsid w:val="00386028"/>
    <w:rsid w:val="0038619C"/>
    <w:rsid w:val="00386205"/>
    <w:rsid w:val="003862BA"/>
    <w:rsid w:val="0038669A"/>
    <w:rsid w:val="003867CE"/>
    <w:rsid w:val="00386AE3"/>
    <w:rsid w:val="00386C23"/>
    <w:rsid w:val="00386C4B"/>
    <w:rsid w:val="00386F1A"/>
    <w:rsid w:val="00386F3D"/>
    <w:rsid w:val="003874A4"/>
    <w:rsid w:val="0038755F"/>
    <w:rsid w:val="003877B9"/>
    <w:rsid w:val="003877CE"/>
    <w:rsid w:val="00387AED"/>
    <w:rsid w:val="00387AEF"/>
    <w:rsid w:val="00387F25"/>
    <w:rsid w:val="00390A03"/>
    <w:rsid w:val="00391247"/>
    <w:rsid w:val="00391509"/>
    <w:rsid w:val="00391613"/>
    <w:rsid w:val="00391CB2"/>
    <w:rsid w:val="00391CDC"/>
    <w:rsid w:val="003920D1"/>
    <w:rsid w:val="0039221C"/>
    <w:rsid w:val="00392383"/>
    <w:rsid w:val="00392BFF"/>
    <w:rsid w:val="00392EDD"/>
    <w:rsid w:val="00392FC7"/>
    <w:rsid w:val="003931EB"/>
    <w:rsid w:val="003932BD"/>
    <w:rsid w:val="00393381"/>
    <w:rsid w:val="0039436C"/>
    <w:rsid w:val="00394900"/>
    <w:rsid w:val="00394B95"/>
    <w:rsid w:val="00395897"/>
    <w:rsid w:val="00395922"/>
    <w:rsid w:val="00395AC3"/>
    <w:rsid w:val="00395C83"/>
    <w:rsid w:val="00395EF5"/>
    <w:rsid w:val="003961DC"/>
    <w:rsid w:val="00396305"/>
    <w:rsid w:val="003965B2"/>
    <w:rsid w:val="00396DA8"/>
    <w:rsid w:val="00396DC7"/>
    <w:rsid w:val="00396E1D"/>
    <w:rsid w:val="00396EC2"/>
    <w:rsid w:val="00396EEB"/>
    <w:rsid w:val="00396F91"/>
    <w:rsid w:val="00397042"/>
    <w:rsid w:val="00397236"/>
    <w:rsid w:val="0039727F"/>
    <w:rsid w:val="0039784A"/>
    <w:rsid w:val="00397AAE"/>
    <w:rsid w:val="00397BC2"/>
    <w:rsid w:val="00397D3D"/>
    <w:rsid w:val="00397EAD"/>
    <w:rsid w:val="00397FC0"/>
    <w:rsid w:val="003A0002"/>
    <w:rsid w:val="003A01D6"/>
    <w:rsid w:val="003A089A"/>
    <w:rsid w:val="003A089E"/>
    <w:rsid w:val="003A0C15"/>
    <w:rsid w:val="003A0DDF"/>
    <w:rsid w:val="003A0EED"/>
    <w:rsid w:val="003A106A"/>
    <w:rsid w:val="003A10ED"/>
    <w:rsid w:val="003A12C9"/>
    <w:rsid w:val="003A1D97"/>
    <w:rsid w:val="003A1E02"/>
    <w:rsid w:val="003A2534"/>
    <w:rsid w:val="003A261E"/>
    <w:rsid w:val="003A2967"/>
    <w:rsid w:val="003A29D0"/>
    <w:rsid w:val="003A2A21"/>
    <w:rsid w:val="003A2A9B"/>
    <w:rsid w:val="003A2B80"/>
    <w:rsid w:val="003A2EC7"/>
    <w:rsid w:val="003A2F25"/>
    <w:rsid w:val="003A2FC3"/>
    <w:rsid w:val="003A30A8"/>
    <w:rsid w:val="003A3243"/>
    <w:rsid w:val="003A3453"/>
    <w:rsid w:val="003A37C9"/>
    <w:rsid w:val="003A3F26"/>
    <w:rsid w:val="003A3FB3"/>
    <w:rsid w:val="003A420E"/>
    <w:rsid w:val="003A43D1"/>
    <w:rsid w:val="003A4923"/>
    <w:rsid w:val="003A4FD4"/>
    <w:rsid w:val="003A50CD"/>
    <w:rsid w:val="003A51C3"/>
    <w:rsid w:val="003A5768"/>
    <w:rsid w:val="003A5A61"/>
    <w:rsid w:val="003A5B20"/>
    <w:rsid w:val="003A5BD2"/>
    <w:rsid w:val="003A5DC7"/>
    <w:rsid w:val="003A5E1D"/>
    <w:rsid w:val="003A6170"/>
    <w:rsid w:val="003A62B0"/>
    <w:rsid w:val="003A6604"/>
    <w:rsid w:val="003A68F8"/>
    <w:rsid w:val="003A69B9"/>
    <w:rsid w:val="003A6CDC"/>
    <w:rsid w:val="003A6D31"/>
    <w:rsid w:val="003A7155"/>
    <w:rsid w:val="003A769D"/>
    <w:rsid w:val="003A78F7"/>
    <w:rsid w:val="003A7F75"/>
    <w:rsid w:val="003B006F"/>
    <w:rsid w:val="003B03E5"/>
    <w:rsid w:val="003B0599"/>
    <w:rsid w:val="003B0A30"/>
    <w:rsid w:val="003B0F1A"/>
    <w:rsid w:val="003B0FD8"/>
    <w:rsid w:val="003B10E6"/>
    <w:rsid w:val="003B1330"/>
    <w:rsid w:val="003B1430"/>
    <w:rsid w:val="003B18A0"/>
    <w:rsid w:val="003B1D4E"/>
    <w:rsid w:val="003B1E4B"/>
    <w:rsid w:val="003B1F43"/>
    <w:rsid w:val="003B1FCC"/>
    <w:rsid w:val="003B21D9"/>
    <w:rsid w:val="003B2347"/>
    <w:rsid w:val="003B236D"/>
    <w:rsid w:val="003B2393"/>
    <w:rsid w:val="003B2672"/>
    <w:rsid w:val="003B2807"/>
    <w:rsid w:val="003B2928"/>
    <w:rsid w:val="003B3096"/>
    <w:rsid w:val="003B364E"/>
    <w:rsid w:val="003B38F2"/>
    <w:rsid w:val="003B3930"/>
    <w:rsid w:val="003B393C"/>
    <w:rsid w:val="003B3994"/>
    <w:rsid w:val="003B3A6F"/>
    <w:rsid w:val="003B3AFB"/>
    <w:rsid w:val="003B4011"/>
    <w:rsid w:val="003B4298"/>
    <w:rsid w:val="003B42BE"/>
    <w:rsid w:val="003B4AF6"/>
    <w:rsid w:val="003B4F9D"/>
    <w:rsid w:val="003B4FD4"/>
    <w:rsid w:val="003B513E"/>
    <w:rsid w:val="003B5175"/>
    <w:rsid w:val="003B5279"/>
    <w:rsid w:val="003B5302"/>
    <w:rsid w:val="003B5433"/>
    <w:rsid w:val="003B551E"/>
    <w:rsid w:val="003B555B"/>
    <w:rsid w:val="003B55AB"/>
    <w:rsid w:val="003B57A7"/>
    <w:rsid w:val="003B5808"/>
    <w:rsid w:val="003B5866"/>
    <w:rsid w:val="003B5C3F"/>
    <w:rsid w:val="003B5F40"/>
    <w:rsid w:val="003B5FAC"/>
    <w:rsid w:val="003B6021"/>
    <w:rsid w:val="003B61CC"/>
    <w:rsid w:val="003B6367"/>
    <w:rsid w:val="003B636C"/>
    <w:rsid w:val="003B6893"/>
    <w:rsid w:val="003B68CE"/>
    <w:rsid w:val="003B695D"/>
    <w:rsid w:val="003B69E3"/>
    <w:rsid w:val="003B71AB"/>
    <w:rsid w:val="003B71F3"/>
    <w:rsid w:val="003B7714"/>
    <w:rsid w:val="003B7C42"/>
    <w:rsid w:val="003B7CBD"/>
    <w:rsid w:val="003B7CC1"/>
    <w:rsid w:val="003C002F"/>
    <w:rsid w:val="003C0266"/>
    <w:rsid w:val="003C0681"/>
    <w:rsid w:val="003C06FE"/>
    <w:rsid w:val="003C09C0"/>
    <w:rsid w:val="003C0D06"/>
    <w:rsid w:val="003C0E1C"/>
    <w:rsid w:val="003C0E4D"/>
    <w:rsid w:val="003C100D"/>
    <w:rsid w:val="003C1124"/>
    <w:rsid w:val="003C1CF8"/>
    <w:rsid w:val="003C1DE8"/>
    <w:rsid w:val="003C1E25"/>
    <w:rsid w:val="003C2171"/>
    <w:rsid w:val="003C21A7"/>
    <w:rsid w:val="003C244A"/>
    <w:rsid w:val="003C249F"/>
    <w:rsid w:val="003C2650"/>
    <w:rsid w:val="003C2B20"/>
    <w:rsid w:val="003C2BCB"/>
    <w:rsid w:val="003C3911"/>
    <w:rsid w:val="003C3AF6"/>
    <w:rsid w:val="003C4384"/>
    <w:rsid w:val="003C4469"/>
    <w:rsid w:val="003C48F2"/>
    <w:rsid w:val="003C4D25"/>
    <w:rsid w:val="003C4E9A"/>
    <w:rsid w:val="003C4FE7"/>
    <w:rsid w:val="003C5071"/>
    <w:rsid w:val="003C531C"/>
    <w:rsid w:val="003C5361"/>
    <w:rsid w:val="003C55F1"/>
    <w:rsid w:val="003C55FF"/>
    <w:rsid w:val="003C5675"/>
    <w:rsid w:val="003C56BC"/>
    <w:rsid w:val="003C58CB"/>
    <w:rsid w:val="003C5910"/>
    <w:rsid w:val="003C5CC4"/>
    <w:rsid w:val="003C5E42"/>
    <w:rsid w:val="003C6144"/>
    <w:rsid w:val="003C64EF"/>
    <w:rsid w:val="003C66D1"/>
    <w:rsid w:val="003C68F2"/>
    <w:rsid w:val="003C6964"/>
    <w:rsid w:val="003C6E56"/>
    <w:rsid w:val="003C7218"/>
    <w:rsid w:val="003C74EF"/>
    <w:rsid w:val="003C7637"/>
    <w:rsid w:val="003C7680"/>
    <w:rsid w:val="003C7778"/>
    <w:rsid w:val="003C78BB"/>
    <w:rsid w:val="003C7996"/>
    <w:rsid w:val="003C7BEE"/>
    <w:rsid w:val="003C7C36"/>
    <w:rsid w:val="003C7EC3"/>
    <w:rsid w:val="003D0462"/>
    <w:rsid w:val="003D0769"/>
    <w:rsid w:val="003D0BE8"/>
    <w:rsid w:val="003D0D4B"/>
    <w:rsid w:val="003D120D"/>
    <w:rsid w:val="003D12C5"/>
    <w:rsid w:val="003D1452"/>
    <w:rsid w:val="003D1573"/>
    <w:rsid w:val="003D15F4"/>
    <w:rsid w:val="003D16DF"/>
    <w:rsid w:val="003D170C"/>
    <w:rsid w:val="003D1AF8"/>
    <w:rsid w:val="003D1CA7"/>
    <w:rsid w:val="003D1F0B"/>
    <w:rsid w:val="003D1FDC"/>
    <w:rsid w:val="003D208E"/>
    <w:rsid w:val="003D20F7"/>
    <w:rsid w:val="003D26A3"/>
    <w:rsid w:val="003D2847"/>
    <w:rsid w:val="003D2918"/>
    <w:rsid w:val="003D2944"/>
    <w:rsid w:val="003D296A"/>
    <w:rsid w:val="003D2C2E"/>
    <w:rsid w:val="003D2E7F"/>
    <w:rsid w:val="003D2EC2"/>
    <w:rsid w:val="003D303E"/>
    <w:rsid w:val="003D34E9"/>
    <w:rsid w:val="003D354D"/>
    <w:rsid w:val="003D3C94"/>
    <w:rsid w:val="003D42AA"/>
    <w:rsid w:val="003D4884"/>
    <w:rsid w:val="003D491D"/>
    <w:rsid w:val="003D4CCA"/>
    <w:rsid w:val="003D4F32"/>
    <w:rsid w:val="003D52DA"/>
    <w:rsid w:val="003D5365"/>
    <w:rsid w:val="003D548D"/>
    <w:rsid w:val="003D552E"/>
    <w:rsid w:val="003D58B8"/>
    <w:rsid w:val="003D5C7B"/>
    <w:rsid w:val="003D5C9E"/>
    <w:rsid w:val="003D5CFB"/>
    <w:rsid w:val="003D5EBC"/>
    <w:rsid w:val="003D606B"/>
    <w:rsid w:val="003D6469"/>
    <w:rsid w:val="003D6555"/>
    <w:rsid w:val="003D6BF6"/>
    <w:rsid w:val="003D6EDC"/>
    <w:rsid w:val="003D74F0"/>
    <w:rsid w:val="003D77F1"/>
    <w:rsid w:val="003E000B"/>
    <w:rsid w:val="003E006E"/>
    <w:rsid w:val="003E03D0"/>
    <w:rsid w:val="003E0491"/>
    <w:rsid w:val="003E062B"/>
    <w:rsid w:val="003E0C00"/>
    <w:rsid w:val="003E0EF1"/>
    <w:rsid w:val="003E106D"/>
    <w:rsid w:val="003E11A1"/>
    <w:rsid w:val="003E19CC"/>
    <w:rsid w:val="003E1D7C"/>
    <w:rsid w:val="003E1ED8"/>
    <w:rsid w:val="003E1EDA"/>
    <w:rsid w:val="003E2269"/>
    <w:rsid w:val="003E2636"/>
    <w:rsid w:val="003E27AC"/>
    <w:rsid w:val="003E2D52"/>
    <w:rsid w:val="003E2DEA"/>
    <w:rsid w:val="003E2E12"/>
    <w:rsid w:val="003E3072"/>
    <w:rsid w:val="003E308D"/>
    <w:rsid w:val="003E3221"/>
    <w:rsid w:val="003E3898"/>
    <w:rsid w:val="003E3AE3"/>
    <w:rsid w:val="003E3AEB"/>
    <w:rsid w:val="003E3CDA"/>
    <w:rsid w:val="003E3DDF"/>
    <w:rsid w:val="003E3EBF"/>
    <w:rsid w:val="003E4057"/>
    <w:rsid w:val="003E4089"/>
    <w:rsid w:val="003E45A1"/>
    <w:rsid w:val="003E470A"/>
    <w:rsid w:val="003E49E6"/>
    <w:rsid w:val="003E4DEA"/>
    <w:rsid w:val="003E5034"/>
    <w:rsid w:val="003E5523"/>
    <w:rsid w:val="003E574D"/>
    <w:rsid w:val="003E5B1D"/>
    <w:rsid w:val="003E60AB"/>
    <w:rsid w:val="003E62CF"/>
    <w:rsid w:val="003E6383"/>
    <w:rsid w:val="003E642C"/>
    <w:rsid w:val="003E658D"/>
    <w:rsid w:val="003E6730"/>
    <w:rsid w:val="003E6B45"/>
    <w:rsid w:val="003E726B"/>
    <w:rsid w:val="003E7277"/>
    <w:rsid w:val="003E7704"/>
    <w:rsid w:val="003E7A1A"/>
    <w:rsid w:val="003F0118"/>
    <w:rsid w:val="003F029D"/>
    <w:rsid w:val="003F0401"/>
    <w:rsid w:val="003F07AE"/>
    <w:rsid w:val="003F0D92"/>
    <w:rsid w:val="003F1092"/>
    <w:rsid w:val="003F18E0"/>
    <w:rsid w:val="003F1BD3"/>
    <w:rsid w:val="003F1C4C"/>
    <w:rsid w:val="003F1DC3"/>
    <w:rsid w:val="003F1FFE"/>
    <w:rsid w:val="003F205F"/>
    <w:rsid w:val="003F240E"/>
    <w:rsid w:val="003F270F"/>
    <w:rsid w:val="003F2736"/>
    <w:rsid w:val="003F29C3"/>
    <w:rsid w:val="003F2AA1"/>
    <w:rsid w:val="003F2BD7"/>
    <w:rsid w:val="003F2C3E"/>
    <w:rsid w:val="003F2CE1"/>
    <w:rsid w:val="003F2FD0"/>
    <w:rsid w:val="003F39CE"/>
    <w:rsid w:val="003F3D90"/>
    <w:rsid w:val="003F3F7B"/>
    <w:rsid w:val="003F4045"/>
    <w:rsid w:val="003F47A5"/>
    <w:rsid w:val="003F4AAE"/>
    <w:rsid w:val="003F4D79"/>
    <w:rsid w:val="003F5194"/>
    <w:rsid w:val="003F53A0"/>
    <w:rsid w:val="003F53F6"/>
    <w:rsid w:val="003F56CF"/>
    <w:rsid w:val="003F5E12"/>
    <w:rsid w:val="003F5F3A"/>
    <w:rsid w:val="003F6341"/>
    <w:rsid w:val="003F678B"/>
    <w:rsid w:val="003F67D7"/>
    <w:rsid w:val="003F69D0"/>
    <w:rsid w:val="003F6C9B"/>
    <w:rsid w:val="003F7036"/>
    <w:rsid w:val="003F724E"/>
    <w:rsid w:val="003F7338"/>
    <w:rsid w:val="003F7399"/>
    <w:rsid w:val="003F76BF"/>
    <w:rsid w:val="003F7721"/>
    <w:rsid w:val="003F7E36"/>
    <w:rsid w:val="003F7F6D"/>
    <w:rsid w:val="00400BA3"/>
    <w:rsid w:val="00400D33"/>
    <w:rsid w:val="00400F3C"/>
    <w:rsid w:val="00401108"/>
    <w:rsid w:val="0040123F"/>
    <w:rsid w:val="0040128E"/>
    <w:rsid w:val="004018A3"/>
    <w:rsid w:val="004019F6"/>
    <w:rsid w:val="00401B31"/>
    <w:rsid w:val="00401BE7"/>
    <w:rsid w:val="00401CE2"/>
    <w:rsid w:val="00401FF7"/>
    <w:rsid w:val="0040201A"/>
    <w:rsid w:val="0040230E"/>
    <w:rsid w:val="00402485"/>
    <w:rsid w:val="004027B0"/>
    <w:rsid w:val="00402927"/>
    <w:rsid w:val="00402977"/>
    <w:rsid w:val="00402AC6"/>
    <w:rsid w:val="00402C2D"/>
    <w:rsid w:val="00402C30"/>
    <w:rsid w:val="0040311A"/>
    <w:rsid w:val="00403591"/>
    <w:rsid w:val="004037F9"/>
    <w:rsid w:val="004038A1"/>
    <w:rsid w:val="00403922"/>
    <w:rsid w:val="00403B5A"/>
    <w:rsid w:val="00403CDB"/>
    <w:rsid w:val="00403F1D"/>
    <w:rsid w:val="00404105"/>
    <w:rsid w:val="0040436E"/>
    <w:rsid w:val="004044AF"/>
    <w:rsid w:val="00404560"/>
    <w:rsid w:val="00404914"/>
    <w:rsid w:val="00404A47"/>
    <w:rsid w:val="0040524C"/>
    <w:rsid w:val="0040570E"/>
    <w:rsid w:val="00406333"/>
    <w:rsid w:val="004064D5"/>
    <w:rsid w:val="00406B60"/>
    <w:rsid w:val="00406C5F"/>
    <w:rsid w:val="00407379"/>
    <w:rsid w:val="00407993"/>
    <w:rsid w:val="00407C44"/>
    <w:rsid w:val="00407C9B"/>
    <w:rsid w:val="00407D4B"/>
    <w:rsid w:val="00410168"/>
    <w:rsid w:val="00410274"/>
    <w:rsid w:val="00410996"/>
    <w:rsid w:val="00410A9C"/>
    <w:rsid w:val="00410AFD"/>
    <w:rsid w:val="00410B49"/>
    <w:rsid w:val="00410B79"/>
    <w:rsid w:val="00410CE2"/>
    <w:rsid w:val="00411327"/>
    <w:rsid w:val="00411495"/>
    <w:rsid w:val="00411833"/>
    <w:rsid w:val="0041192A"/>
    <w:rsid w:val="004119B4"/>
    <w:rsid w:val="00411A54"/>
    <w:rsid w:val="00411ADD"/>
    <w:rsid w:val="00411C83"/>
    <w:rsid w:val="00411DE9"/>
    <w:rsid w:val="00411ED0"/>
    <w:rsid w:val="00411EE1"/>
    <w:rsid w:val="0041222A"/>
    <w:rsid w:val="004126A7"/>
    <w:rsid w:val="00412A0F"/>
    <w:rsid w:val="00412CE2"/>
    <w:rsid w:val="00412DE8"/>
    <w:rsid w:val="00412F64"/>
    <w:rsid w:val="004130C7"/>
    <w:rsid w:val="00413168"/>
    <w:rsid w:val="00413174"/>
    <w:rsid w:val="00413746"/>
    <w:rsid w:val="00413792"/>
    <w:rsid w:val="00413937"/>
    <w:rsid w:val="00413B95"/>
    <w:rsid w:val="00413D48"/>
    <w:rsid w:val="00413D95"/>
    <w:rsid w:val="00413E67"/>
    <w:rsid w:val="004142E0"/>
    <w:rsid w:val="00414964"/>
    <w:rsid w:val="004149B4"/>
    <w:rsid w:val="00414CEE"/>
    <w:rsid w:val="00414D39"/>
    <w:rsid w:val="00414D40"/>
    <w:rsid w:val="00414EE6"/>
    <w:rsid w:val="004153B4"/>
    <w:rsid w:val="00415510"/>
    <w:rsid w:val="004157C3"/>
    <w:rsid w:val="00415864"/>
    <w:rsid w:val="004158D5"/>
    <w:rsid w:val="00415DA0"/>
    <w:rsid w:val="00416445"/>
    <w:rsid w:val="00416643"/>
    <w:rsid w:val="004168E5"/>
    <w:rsid w:val="00416A91"/>
    <w:rsid w:val="00416BC4"/>
    <w:rsid w:val="00416C5F"/>
    <w:rsid w:val="004173A3"/>
    <w:rsid w:val="004173BE"/>
    <w:rsid w:val="00417A05"/>
    <w:rsid w:val="00417B98"/>
    <w:rsid w:val="00417BEB"/>
    <w:rsid w:val="00417CC6"/>
    <w:rsid w:val="00420206"/>
    <w:rsid w:val="004202FE"/>
    <w:rsid w:val="004203BA"/>
    <w:rsid w:val="004204FC"/>
    <w:rsid w:val="00420BCD"/>
    <w:rsid w:val="00421596"/>
    <w:rsid w:val="00421839"/>
    <w:rsid w:val="00421C37"/>
    <w:rsid w:val="00421E30"/>
    <w:rsid w:val="004220A0"/>
    <w:rsid w:val="004220C7"/>
    <w:rsid w:val="00422302"/>
    <w:rsid w:val="00422401"/>
    <w:rsid w:val="004229A6"/>
    <w:rsid w:val="00422C98"/>
    <w:rsid w:val="00423034"/>
    <w:rsid w:val="00423115"/>
    <w:rsid w:val="00423334"/>
    <w:rsid w:val="00423493"/>
    <w:rsid w:val="004235C5"/>
    <w:rsid w:val="004236AC"/>
    <w:rsid w:val="00423763"/>
    <w:rsid w:val="00423AF0"/>
    <w:rsid w:val="00423D9C"/>
    <w:rsid w:val="004240C9"/>
    <w:rsid w:val="004241A7"/>
    <w:rsid w:val="0042430B"/>
    <w:rsid w:val="004247FF"/>
    <w:rsid w:val="00424D24"/>
    <w:rsid w:val="00424F07"/>
    <w:rsid w:val="0042557A"/>
    <w:rsid w:val="00425677"/>
    <w:rsid w:val="00425CA7"/>
    <w:rsid w:val="0042623D"/>
    <w:rsid w:val="00426397"/>
    <w:rsid w:val="004265EC"/>
    <w:rsid w:val="00426645"/>
    <w:rsid w:val="00426700"/>
    <w:rsid w:val="004268EF"/>
    <w:rsid w:val="00426AAC"/>
    <w:rsid w:val="00426F3E"/>
    <w:rsid w:val="004271AB"/>
    <w:rsid w:val="004272CB"/>
    <w:rsid w:val="0042779D"/>
    <w:rsid w:val="004277D4"/>
    <w:rsid w:val="00427CE4"/>
    <w:rsid w:val="00427E5F"/>
    <w:rsid w:val="00430102"/>
    <w:rsid w:val="0043048A"/>
    <w:rsid w:val="00430CC1"/>
    <w:rsid w:val="00430DE0"/>
    <w:rsid w:val="00431051"/>
    <w:rsid w:val="00431233"/>
    <w:rsid w:val="00431F93"/>
    <w:rsid w:val="004324FF"/>
    <w:rsid w:val="00432500"/>
    <w:rsid w:val="0043256C"/>
    <w:rsid w:val="004325CE"/>
    <w:rsid w:val="00432902"/>
    <w:rsid w:val="004329E3"/>
    <w:rsid w:val="00432A55"/>
    <w:rsid w:val="00432B24"/>
    <w:rsid w:val="00432B96"/>
    <w:rsid w:val="00432D53"/>
    <w:rsid w:val="00432D93"/>
    <w:rsid w:val="0043310A"/>
    <w:rsid w:val="004336DA"/>
    <w:rsid w:val="004337E4"/>
    <w:rsid w:val="00433E68"/>
    <w:rsid w:val="004340A1"/>
    <w:rsid w:val="00434292"/>
    <w:rsid w:val="00434566"/>
    <w:rsid w:val="004346DA"/>
    <w:rsid w:val="004348C4"/>
    <w:rsid w:val="00434906"/>
    <w:rsid w:val="00434920"/>
    <w:rsid w:val="00434CFB"/>
    <w:rsid w:val="00434DF8"/>
    <w:rsid w:val="00435033"/>
    <w:rsid w:val="004352B2"/>
    <w:rsid w:val="00435470"/>
    <w:rsid w:val="00435474"/>
    <w:rsid w:val="0043548A"/>
    <w:rsid w:val="0043579D"/>
    <w:rsid w:val="00435B89"/>
    <w:rsid w:val="00435D9E"/>
    <w:rsid w:val="00435F39"/>
    <w:rsid w:val="0043650A"/>
    <w:rsid w:val="00436569"/>
    <w:rsid w:val="004365E7"/>
    <w:rsid w:val="004369F3"/>
    <w:rsid w:val="00436C67"/>
    <w:rsid w:val="00436C8B"/>
    <w:rsid w:val="004372B7"/>
    <w:rsid w:val="0043731F"/>
    <w:rsid w:val="00437378"/>
    <w:rsid w:val="00437525"/>
    <w:rsid w:val="00437B7D"/>
    <w:rsid w:val="00437D2C"/>
    <w:rsid w:val="00437D58"/>
    <w:rsid w:val="00440018"/>
    <w:rsid w:val="00440218"/>
    <w:rsid w:val="0044030D"/>
    <w:rsid w:val="00440372"/>
    <w:rsid w:val="0044042E"/>
    <w:rsid w:val="0044050A"/>
    <w:rsid w:val="00440533"/>
    <w:rsid w:val="00440575"/>
    <w:rsid w:val="004407B8"/>
    <w:rsid w:val="00440836"/>
    <w:rsid w:val="00440A74"/>
    <w:rsid w:val="00440A75"/>
    <w:rsid w:val="00440AD5"/>
    <w:rsid w:val="00440CF5"/>
    <w:rsid w:val="00440E38"/>
    <w:rsid w:val="00440E48"/>
    <w:rsid w:val="00440ED4"/>
    <w:rsid w:val="0044133B"/>
    <w:rsid w:val="00441380"/>
    <w:rsid w:val="00441507"/>
    <w:rsid w:val="0044150B"/>
    <w:rsid w:val="00441A7B"/>
    <w:rsid w:val="00441E41"/>
    <w:rsid w:val="00441E85"/>
    <w:rsid w:val="00442231"/>
    <w:rsid w:val="004422A8"/>
    <w:rsid w:val="00442376"/>
    <w:rsid w:val="004424B2"/>
    <w:rsid w:val="0044260A"/>
    <w:rsid w:val="0044279C"/>
    <w:rsid w:val="0044286A"/>
    <w:rsid w:val="00442939"/>
    <w:rsid w:val="00442A6C"/>
    <w:rsid w:val="00442AA8"/>
    <w:rsid w:val="00442DF2"/>
    <w:rsid w:val="00442FFE"/>
    <w:rsid w:val="004433BA"/>
    <w:rsid w:val="00443866"/>
    <w:rsid w:val="004440B9"/>
    <w:rsid w:val="004441E7"/>
    <w:rsid w:val="004441FC"/>
    <w:rsid w:val="00444687"/>
    <w:rsid w:val="00444741"/>
    <w:rsid w:val="0044474A"/>
    <w:rsid w:val="004448E0"/>
    <w:rsid w:val="0044497C"/>
    <w:rsid w:val="00444B07"/>
    <w:rsid w:val="00444B4F"/>
    <w:rsid w:val="00444B7F"/>
    <w:rsid w:val="00444C03"/>
    <w:rsid w:val="00444D61"/>
    <w:rsid w:val="00444D82"/>
    <w:rsid w:val="00444DBE"/>
    <w:rsid w:val="0044521F"/>
    <w:rsid w:val="004452E6"/>
    <w:rsid w:val="0044540B"/>
    <w:rsid w:val="0044540C"/>
    <w:rsid w:val="00445484"/>
    <w:rsid w:val="00445517"/>
    <w:rsid w:val="004455ED"/>
    <w:rsid w:val="0044563C"/>
    <w:rsid w:val="004458E1"/>
    <w:rsid w:val="00445945"/>
    <w:rsid w:val="00445983"/>
    <w:rsid w:val="00446052"/>
    <w:rsid w:val="0044610C"/>
    <w:rsid w:val="004461E2"/>
    <w:rsid w:val="00446240"/>
    <w:rsid w:val="00446308"/>
    <w:rsid w:val="004465B4"/>
    <w:rsid w:val="00446E4C"/>
    <w:rsid w:val="004471D9"/>
    <w:rsid w:val="00447361"/>
    <w:rsid w:val="0044736D"/>
    <w:rsid w:val="00447AC8"/>
    <w:rsid w:val="00447E23"/>
    <w:rsid w:val="00447EDF"/>
    <w:rsid w:val="004500ED"/>
    <w:rsid w:val="00450848"/>
    <w:rsid w:val="00450C99"/>
    <w:rsid w:val="00450DA2"/>
    <w:rsid w:val="00450F84"/>
    <w:rsid w:val="00450F90"/>
    <w:rsid w:val="0045146A"/>
    <w:rsid w:val="004516B7"/>
    <w:rsid w:val="00451F7E"/>
    <w:rsid w:val="00451F7F"/>
    <w:rsid w:val="004523AE"/>
    <w:rsid w:val="004526E5"/>
    <w:rsid w:val="00452768"/>
    <w:rsid w:val="0045277B"/>
    <w:rsid w:val="00452969"/>
    <w:rsid w:val="00452C36"/>
    <w:rsid w:val="00452D98"/>
    <w:rsid w:val="00452E19"/>
    <w:rsid w:val="00452EF0"/>
    <w:rsid w:val="00453271"/>
    <w:rsid w:val="004532D9"/>
    <w:rsid w:val="00453360"/>
    <w:rsid w:val="00453828"/>
    <w:rsid w:val="00453A0B"/>
    <w:rsid w:val="00453C8E"/>
    <w:rsid w:val="00453D2C"/>
    <w:rsid w:val="00453DBC"/>
    <w:rsid w:val="00454049"/>
    <w:rsid w:val="0045437F"/>
    <w:rsid w:val="00454418"/>
    <w:rsid w:val="004545BF"/>
    <w:rsid w:val="00454806"/>
    <w:rsid w:val="00454815"/>
    <w:rsid w:val="00454BAE"/>
    <w:rsid w:val="00454C98"/>
    <w:rsid w:val="00454E48"/>
    <w:rsid w:val="0045528C"/>
    <w:rsid w:val="00455334"/>
    <w:rsid w:val="004554CC"/>
    <w:rsid w:val="00455A2B"/>
    <w:rsid w:val="00455A7D"/>
    <w:rsid w:val="00455AA4"/>
    <w:rsid w:val="00455D13"/>
    <w:rsid w:val="004560E1"/>
    <w:rsid w:val="00456120"/>
    <w:rsid w:val="00456276"/>
    <w:rsid w:val="00456414"/>
    <w:rsid w:val="004564C6"/>
    <w:rsid w:val="004567DB"/>
    <w:rsid w:val="0045693C"/>
    <w:rsid w:val="004569AD"/>
    <w:rsid w:val="004569ED"/>
    <w:rsid w:val="00456C06"/>
    <w:rsid w:val="00457521"/>
    <w:rsid w:val="00457554"/>
    <w:rsid w:val="00457714"/>
    <w:rsid w:val="004579CC"/>
    <w:rsid w:val="00457F24"/>
    <w:rsid w:val="00460263"/>
    <w:rsid w:val="004603F2"/>
    <w:rsid w:val="00460A60"/>
    <w:rsid w:val="004610CC"/>
    <w:rsid w:val="0046115C"/>
    <w:rsid w:val="00461726"/>
    <w:rsid w:val="004618E8"/>
    <w:rsid w:val="00461AA3"/>
    <w:rsid w:val="00461C14"/>
    <w:rsid w:val="00461C8D"/>
    <w:rsid w:val="0046210A"/>
    <w:rsid w:val="00462254"/>
    <w:rsid w:val="004622FC"/>
    <w:rsid w:val="004623FA"/>
    <w:rsid w:val="0046289C"/>
    <w:rsid w:val="004631AB"/>
    <w:rsid w:val="00463236"/>
    <w:rsid w:val="004639ED"/>
    <w:rsid w:val="00463B6A"/>
    <w:rsid w:val="0046403D"/>
    <w:rsid w:val="00464B0D"/>
    <w:rsid w:val="00464E1B"/>
    <w:rsid w:val="004652BE"/>
    <w:rsid w:val="004653E8"/>
    <w:rsid w:val="00465464"/>
    <w:rsid w:val="004655B5"/>
    <w:rsid w:val="00465649"/>
    <w:rsid w:val="00465785"/>
    <w:rsid w:val="00465BBD"/>
    <w:rsid w:val="00465CE6"/>
    <w:rsid w:val="00465E0D"/>
    <w:rsid w:val="00465E75"/>
    <w:rsid w:val="00465E87"/>
    <w:rsid w:val="004662E2"/>
    <w:rsid w:val="004663F8"/>
    <w:rsid w:val="00466479"/>
    <w:rsid w:val="00466579"/>
    <w:rsid w:val="0046663B"/>
    <w:rsid w:val="004666F0"/>
    <w:rsid w:val="00466978"/>
    <w:rsid w:val="00466C12"/>
    <w:rsid w:val="00466C9A"/>
    <w:rsid w:val="00466CC3"/>
    <w:rsid w:val="00466D41"/>
    <w:rsid w:val="00466E24"/>
    <w:rsid w:val="0046705C"/>
    <w:rsid w:val="004672B1"/>
    <w:rsid w:val="00467BFA"/>
    <w:rsid w:val="00467C3B"/>
    <w:rsid w:val="00467F21"/>
    <w:rsid w:val="004702FF"/>
    <w:rsid w:val="00470556"/>
    <w:rsid w:val="004705F2"/>
    <w:rsid w:val="004706FB"/>
    <w:rsid w:val="00470726"/>
    <w:rsid w:val="00470834"/>
    <w:rsid w:val="0047094D"/>
    <w:rsid w:val="00470952"/>
    <w:rsid w:val="00470A97"/>
    <w:rsid w:val="00471955"/>
    <w:rsid w:val="004719D8"/>
    <w:rsid w:val="00471B4C"/>
    <w:rsid w:val="00471F19"/>
    <w:rsid w:val="00472254"/>
    <w:rsid w:val="0047270E"/>
    <w:rsid w:val="0047282C"/>
    <w:rsid w:val="004729B7"/>
    <w:rsid w:val="00472A1D"/>
    <w:rsid w:val="00472AB9"/>
    <w:rsid w:val="00472B0A"/>
    <w:rsid w:val="00472EB1"/>
    <w:rsid w:val="00472EE4"/>
    <w:rsid w:val="00473088"/>
    <w:rsid w:val="0047311F"/>
    <w:rsid w:val="0047323A"/>
    <w:rsid w:val="00473615"/>
    <w:rsid w:val="0047374E"/>
    <w:rsid w:val="004739F9"/>
    <w:rsid w:val="00473C0F"/>
    <w:rsid w:val="00473EAD"/>
    <w:rsid w:val="0047463F"/>
    <w:rsid w:val="004748A3"/>
    <w:rsid w:val="00474A58"/>
    <w:rsid w:val="00474F54"/>
    <w:rsid w:val="0047503E"/>
    <w:rsid w:val="0047561F"/>
    <w:rsid w:val="00475839"/>
    <w:rsid w:val="004758B5"/>
    <w:rsid w:val="0047590F"/>
    <w:rsid w:val="00475AF6"/>
    <w:rsid w:val="00475B53"/>
    <w:rsid w:val="00475C54"/>
    <w:rsid w:val="00476220"/>
    <w:rsid w:val="00476310"/>
    <w:rsid w:val="00476614"/>
    <w:rsid w:val="00476737"/>
    <w:rsid w:val="00476967"/>
    <w:rsid w:val="004769D2"/>
    <w:rsid w:val="00476D34"/>
    <w:rsid w:val="00476DAC"/>
    <w:rsid w:val="0047709B"/>
    <w:rsid w:val="00477105"/>
    <w:rsid w:val="0047710D"/>
    <w:rsid w:val="00477581"/>
    <w:rsid w:val="0047786A"/>
    <w:rsid w:val="00477A65"/>
    <w:rsid w:val="00477A66"/>
    <w:rsid w:val="00477D36"/>
    <w:rsid w:val="00477D87"/>
    <w:rsid w:val="00477DA9"/>
    <w:rsid w:val="00477DAC"/>
    <w:rsid w:val="0048031A"/>
    <w:rsid w:val="004803D1"/>
    <w:rsid w:val="00480465"/>
    <w:rsid w:val="00480516"/>
    <w:rsid w:val="00480783"/>
    <w:rsid w:val="00480B89"/>
    <w:rsid w:val="00480B99"/>
    <w:rsid w:val="004812B7"/>
    <w:rsid w:val="00481629"/>
    <w:rsid w:val="00481847"/>
    <w:rsid w:val="00481AFB"/>
    <w:rsid w:val="00481BC7"/>
    <w:rsid w:val="00481DD3"/>
    <w:rsid w:val="00481F23"/>
    <w:rsid w:val="00482601"/>
    <w:rsid w:val="00482A9A"/>
    <w:rsid w:val="00482DB3"/>
    <w:rsid w:val="00483307"/>
    <w:rsid w:val="004834DF"/>
    <w:rsid w:val="004836BF"/>
    <w:rsid w:val="0048371A"/>
    <w:rsid w:val="004837D4"/>
    <w:rsid w:val="0048388D"/>
    <w:rsid w:val="00483F94"/>
    <w:rsid w:val="00484073"/>
    <w:rsid w:val="00484A65"/>
    <w:rsid w:val="00484CB4"/>
    <w:rsid w:val="00484ED1"/>
    <w:rsid w:val="00485069"/>
    <w:rsid w:val="004850E6"/>
    <w:rsid w:val="00485255"/>
    <w:rsid w:val="00485D9E"/>
    <w:rsid w:val="00485E58"/>
    <w:rsid w:val="004864B2"/>
    <w:rsid w:val="004869D5"/>
    <w:rsid w:val="00486D25"/>
    <w:rsid w:val="00486FA0"/>
    <w:rsid w:val="0048710B"/>
    <w:rsid w:val="0048754D"/>
    <w:rsid w:val="004878D5"/>
    <w:rsid w:val="00487A9C"/>
    <w:rsid w:val="00487DAD"/>
    <w:rsid w:val="004900B6"/>
    <w:rsid w:val="004906CC"/>
    <w:rsid w:val="004908A0"/>
    <w:rsid w:val="004908BF"/>
    <w:rsid w:val="00490C76"/>
    <w:rsid w:val="00490C89"/>
    <w:rsid w:val="00491063"/>
    <w:rsid w:val="00491256"/>
    <w:rsid w:val="004913AC"/>
    <w:rsid w:val="00491735"/>
    <w:rsid w:val="00491799"/>
    <w:rsid w:val="00491ACC"/>
    <w:rsid w:val="00491B28"/>
    <w:rsid w:val="00491DB2"/>
    <w:rsid w:val="00492471"/>
    <w:rsid w:val="004925AA"/>
    <w:rsid w:val="00492911"/>
    <w:rsid w:val="00492969"/>
    <w:rsid w:val="00492B3B"/>
    <w:rsid w:val="00492B9D"/>
    <w:rsid w:val="00492DDA"/>
    <w:rsid w:val="00493114"/>
    <w:rsid w:val="0049313A"/>
    <w:rsid w:val="004933C2"/>
    <w:rsid w:val="004934E0"/>
    <w:rsid w:val="00493A39"/>
    <w:rsid w:val="00493B2F"/>
    <w:rsid w:val="00493BF4"/>
    <w:rsid w:val="00493C0B"/>
    <w:rsid w:val="00493DE5"/>
    <w:rsid w:val="00493E2B"/>
    <w:rsid w:val="00494004"/>
    <w:rsid w:val="00494AA8"/>
    <w:rsid w:val="00494B50"/>
    <w:rsid w:val="00495249"/>
    <w:rsid w:val="00495405"/>
    <w:rsid w:val="0049541A"/>
    <w:rsid w:val="004956E1"/>
    <w:rsid w:val="0049570A"/>
    <w:rsid w:val="0049579C"/>
    <w:rsid w:val="00495E2F"/>
    <w:rsid w:val="00495EA6"/>
    <w:rsid w:val="00495EB7"/>
    <w:rsid w:val="00495FBA"/>
    <w:rsid w:val="004964D4"/>
    <w:rsid w:val="004966D8"/>
    <w:rsid w:val="00496B0F"/>
    <w:rsid w:val="00496E38"/>
    <w:rsid w:val="00496E3A"/>
    <w:rsid w:val="00497425"/>
    <w:rsid w:val="00497560"/>
    <w:rsid w:val="0049763A"/>
    <w:rsid w:val="004976F0"/>
    <w:rsid w:val="00497AD1"/>
    <w:rsid w:val="00497AEC"/>
    <w:rsid w:val="00497F0E"/>
    <w:rsid w:val="004A000A"/>
    <w:rsid w:val="004A0156"/>
    <w:rsid w:val="004A0236"/>
    <w:rsid w:val="004A02BE"/>
    <w:rsid w:val="004A0730"/>
    <w:rsid w:val="004A08AA"/>
    <w:rsid w:val="004A0BC2"/>
    <w:rsid w:val="004A0BCE"/>
    <w:rsid w:val="004A0CD3"/>
    <w:rsid w:val="004A0DEE"/>
    <w:rsid w:val="004A1187"/>
    <w:rsid w:val="004A120B"/>
    <w:rsid w:val="004A17C1"/>
    <w:rsid w:val="004A18DC"/>
    <w:rsid w:val="004A1B4B"/>
    <w:rsid w:val="004A1CBE"/>
    <w:rsid w:val="004A1E22"/>
    <w:rsid w:val="004A1FB6"/>
    <w:rsid w:val="004A2217"/>
    <w:rsid w:val="004A25FF"/>
    <w:rsid w:val="004A26DC"/>
    <w:rsid w:val="004A2A8C"/>
    <w:rsid w:val="004A2ABE"/>
    <w:rsid w:val="004A2BA8"/>
    <w:rsid w:val="004A2DE4"/>
    <w:rsid w:val="004A3025"/>
    <w:rsid w:val="004A3057"/>
    <w:rsid w:val="004A30EA"/>
    <w:rsid w:val="004A33B8"/>
    <w:rsid w:val="004A3569"/>
    <w:rsid w:val="004A369A"/>
    <w:rsid w:val="004A36E1"/>
    <w:rsid w:val="004A3907"/>
    <w:rsid w:val="004A3983"/>
    <w:rsid w:val="004A3A19"/>
    <w:rsid w:val="004A3B3E"/>
    <w:rsid w:val="004A3C81"/>
    <w:rsid w:val="004A3F7F"/>
    <w:rsid w:val="004A4066"/>
    <w:rsid w:val="004A4073"/>
    <w:rsid w:val="004A4342"/>
    <w:rsid w:val="004A4464"/>
    <w:rsid w:val="004A4B08"/>
    <w:rsid w:val="004A4D59"/>
    <w:rsid w:val="004A514D"/>
    <w:rsid w:val="004A58E5"/>
    <w:rsid w:val="004A5ECD"/>
    <w:rsid w:val="004A6230"/>
    <w:rsid w:val="004A6317"/>
    <w:rsid w:val="004A640E"/>
    <w:rsid w:val="004A6967"/>
    <w:rsid w:val="004A6EAA"/>
    <w:rsid w:val="004A6F7B"/>
    <w:rsid w:val="004A7035"/>
    <w:rsid w:val="004A7217"/>
    <w:rsid w:val="004A74A7"/>
    <w:rsid w:val="004A7606"/>
    <w:rsid w:val="004A7BC3"/>
    <w:rsid w:val="004B01AD"/>
    <w:rsid w:val="004B01E5"/>
    <w:rsid w:val="004B033B"/>
    <w:rsid w:val="004B0792"/>
    <w:rsid w:val="004B0801"/>
    <w:rsid w:val="004B09D0"/>
    <w:rsid w:val="004B0B27"/>
    <w:rsid w:val="004B0BDA"/>
    <w:rsid w:val="004B0CA7"/>
    <w:rsid w:val="004B0E0E"/>
    <w:rsid w:val="004B0F53"/>
    <w:rsid w:val="004B1093"/>
    <w:rsid w:val="004B1579"/>
    <w:rsid w:val="004B171F"/>
    <w:rsid w:val="004B1787"/>
    <w:rsid w:val="004B1921"/>
    <w:rsid w:val="004B1E1F"/>
    <w:rsid w:val="004B26FB"/>
    <w:rsid w:val="004B2729"/>
    <w:rsid w:val="004B2C4F"/>
    <w:rsid w:val="004B2E00"/>
    <w:rsid w:val="004B309B"/>
    <w:rsid w:val="004B324F"/>
    <w:rsid w:val="004B38FF"/>
    <w:rsid w:val="004B39A2"/>
    <w:rsid w:val="004B39D9"/>
    <w:rsid w:val="004B3A6C"/>
    <w:rsid w:val="004B4332"/>
    <w:rsid w:val="004B4537"/>
    <w:rsid w:val="004B49CD"/>
    <w:rsid w:val="004B4CD6"/>
    <w:rsid w:val="004B4CE1"/>
    <w:rsid w:val="004B50D3"/>
    <w:rsid w:val="004B58C1"/>
    <w:rsid w:val="004B5904"/>
    <w:rsid w:val="004B5A34"/>
    <w:rsid w:val="004B6022"/>
    <w:rsid w:val="004B6462"/>
    <w:rsid w:val="004B65F7"/>
    <w:rsid w:val="004B67A5"/>
    <w:rsid w:val="004B6A69"/>
    <w:rsid w:val="004B6EF9"/>
    <w:rsid w:val="004B705D"/>
    <w:rsid w:val="004B72B1"/>
    <w:rsid w:val="004B73C1"/>
    <w:rsid w:val="004B741A"/>
    <w:rsid w:val="004B79CB"/>
    <w:rsid w:val="004B7E0F"/>
    <w:rsid w:val="004C00C6"/>
    <w:rsid w:val="004C02FA"/>
    <w:rsid w:val="004C03FF"/>
    <w:rsid w:val="004C042B"/>
    <w:rsid w:val="004C07D1"/>
    <w:rsid w:val="004C09F8"/>
    <w:rsid w:val="004C0E81"/>
    <w:rsid w:val="004C0F22"/>
    <w:rsid w:val="004C1070"/>
    <w:rsid w:val="004C1361"/>
    <w:rsid w:val="004C161D"/>
    <w:rsid w:val="004C1812"/>
    <w:rsid w:val="004C19D6"/>
    <w:rsid w:val="004C1C62"/>
    <w:rsid w:val="004C1E39"/>
    <w:rsid w:val="004C2809"/>
    <w:rsid w:val="004C2DD7"/>
    <w:rsid w:val="004C2EB8"/>
    <w:rsid w:val="004C3295"/>
    <w:rsid w:val="004C3534"/>
    <w:rsid w:val="004C36C1"/>
    <w:rsid w:val="004C37D3"/>
    <w:rsid w:val="004C40E3"/>
    <w:rsid w:val="004C4763"/>
    <w:rsid w:val="004C52CB"/>
    <w:rsid w:val="004C53C8"/>
    <w:rsid w:val="004C5508"/>
    <w:rsid w:val="004C5777"/>
    <w:rsid w:val="004C57F0"/>
    <w:rsid w:val="004C584D"/>
    <w:rsid w:val="004C5C57"/>
    <w:rsid w:val="004C6041"/>
    <w:rsid w:val="004C62CB"/>
    <w:rsid w:val="004C6550"/>
    <w:rsid w:val="004C6991"/>
    <w:rsid w:val="004C6ADF"/>
    <w:rsid w:val="004C6CCC"/>
    <w:rsid w:val="004C6E2F"/>
    <w:rsid w:val="004C6F94"/>
    <w:rsid w:val="004C70B7"/>
    <w:rsid w:val="004C70BA"/>
    <w:rsid w:val="004C762B"/>
    <w:rsid w:val="004C76EE"/>
    <w:rsid w:val="004C7A7D"/>
    <w:rsid w:val="004C7EA5"/>
    <w:rsid w:val="004D0086"/>
    <w:rsid w:val="004D0173"/>
    <w:rsid w:val="004D0AA9"/>
    <w:rsid w:val="004D0F80"/>
    <w:rsid w:val="004D1056"/>
    <w:rsid w:val="004D108E"/>
    <w:rsid w:val="004D1143"/>
    <w:rsid w:val="004D123B"/>
    <w:rsid w:val="004D128B"/>
    <w:rsid w:val="004D13FC"/>
    <w:rsid w:val="004D1607"/>
    <w:rsid w:val="004D18B9"/>
    <w:rsid w:val="004D1AD8"/>
    <w:rsid w:val="004D1CA0"/>
    <w:rsid w:val="004D228A"/>
    <w:rsid w:val="004D2341"/>
    <w:rsid w:val="004D2556"/>
    <w:rsid w:val="004D2761"/>
    <w:rsid w:val="004D27EF"/>
    <w:rsid w:val="004D2B7B"/>
    <w:rsid w:val="004D2DAB"/>
    <w:rsid w:val="004D2DCA"/>
    <w:rsid w:val="004D349C"/>
    <w:rsid w:val="004D354D"/>
    <w:rsid w:val="004D3577"/>
    <w:rsid w:val="004D35E4"/>
    <w:rsid w:val="004D3627"/>
    <w:rsid w:val="004D36FE"/>
    <w:rsid w:val="004D37A6"/>
    <w:rsid w:val="004D38FA"/>
    <w:rsid w:val="004D3AF0"/>
    <w:rsid w:val="004D3EC3"/>
    <w:rsid w:val="004D3F03"/>
    <w:rsid w:val="004D3FE2"/>
    <w:rsid w:val="004D4126"/>
    <w:rsid w:val="004D4198"/>
    <w:rsid w:val="004D4611"/>
    <w:rsid w:val="004D4856"/>
    <w:rsid w:val="004D4924"/>
    <w:rsid w:val="004D4CF7"/>
    <w:rsid w:val="004D4EBA"/>
    <w:rsid w:val="004D5A93"/>
    <w:rsid w:val="004D5C95"/>
    <w:rsid w:val="004D5E1A"/>
    <w:rsid w:val="004D6009"/>
    <w:rsid w:val="004D60C4"/>
    <w:rsid w:val="004D6333"/>
    <w:rsid w:val="004D63AC"/>
    <w:rsid w:val="004D6D2D"/>
    <w:rsid w:val="004D6EC7"/>
    <w:rsid w:val="004D6F07"/>
    <w:rsid w:val="004D71C2"/>
    <w:rsid w:val="004D73D5"/>
    <w:rsid w:val="004D75EF"/>
    <w:rsid w:val="004D7EBC"/>
    <w:rsid w:val="004E016C"/>
    <w:rsid w:val="004E0477"/>
    <w:rsid w:val="004E07C9"/>
    <w:rsid w:val="004E08CF"/>
    <w:rsid w:val="004E0965"/>
    <w:rsid w:val="004E0ABC"/>
    <w:rsid w:val="004E0D04"/>
    <w:rsid w:val="004E136A"/>
    <w:rsid w:val="004E14F6"/>
    <w:rsid w:val="004E167F"/>
    <w:rsid w:val="004E16B9"/>
    <w:rsid w:val="004E185A"/>
    <w:rsid w:val="004E18CE"/>
    <w:rsid w:val="004E1BDF"/>
    <w:rsid w:val="004E1ECC"/>
    <w:rsid w:val="004E1EDE"/>
    <w:rsid w:val="004E215C"/>
    <w:rsid w:val="004E21E2"/>
    <w:rsid w:val="004E2515"/>
    <w:rsid w:val="004E25D9"/>
    <w:rsid w:val="004E293F"/>
    <w:rsid w:val="004E29E2"/>
    <w:rsid w:val="004E2A19"/>
    <w:rsid w:val="004E2A74"/>
    <w:rsid w:val="004E2B41"/>
    <w:rsid w:val="004E2C86"/>
    <w:rsid w:val="004E312B"/>
    <w:rsid w:val="004E3250"/>
    <w:rsid w:val="004E3603"/>
    <w:rsid w:val="004E36EF"/>
    <w:rsid w:val="004E380D"/>
    <w:rsid w:val="004E3989"/>
    <w:rsid w:val="004E3BC8"/>
    <w:rsid w:val="004E3D59"/>
    <w:rsid w:val="004E3FD9"/>
    <w:rsid w:val="004E42AB"/>
    <w:rsid w:val="004E4526"/>
    <w:rsid w:val="004E4A6C"/>
    <w:rsid w:val="004E4E1B"/>
    <w:rsid w:val="004E50DF"/>
    <w:rsid w:val="004E518C"/>
    <w:rsid w:val="004E5345"/>
    <w:rsid w:val="004E556E"/>
    <w:rsid w:val="004E574E"/>
    <w:rsid w:val="004E5AF0"/>
    <w:rsid w:val="004E5DC1"/>
    <w:rsid w:val="004E5E06"/>
    <w:rsid w:val="004E6325"/>
    <w:rsid w:val="004E634F"/>
    <w:rsid w:val="004E6366"/>
    <w:rsid w:val="004E64A6"/>
    <w:rsid w:val="004E6A3A"/>
    <w:rsid w:val="004E6B53"/>
    <w:rsid w:val="004E6F1E"/>
    <w:rsid w:val="004E781C"/>
    <w:rsid w:val="004E7922"/>
    <w:rsid w:val="004E7D1E"/>
    <w:rsid w:val="004F00C1"/>
    <w:rsid w:val="004F0202"/>
    <w:rsid w:val="004F054E"/>
    <w:rsid w:val="004F097A"/>
    <w:rsid w:val="004F0D7C"/>
    <w:rsid w:val="004F0DFC"/>
    <w:rsid w:val="004F1178"/>
    <w:rsid w:val="004F16AD"/>
    <w:rsid w:val="004F17A5"/>
    <w:rsid w:val="004F19AD"/>
    <w:rsid w:val="004F283D"/>
    <w:rsid w:val="004F294E"/>
    <w:rsid w:val="004F2B11"/>
    <w:rsid w:val="004F2BA8"/>
    <w:rsid w:val="004F2C37"/>
    <w:rsid w:val="004F2D39"/>
    <w:rsid w:val="004F2E49"/>
    <w:rsid w:val="004F3441"/>
    <w:rsid w:val="004F356D"/>
    <w:rsid w:val="004F3A41"/>
    <w:rsid w:val="004F3A74"/>
    <w:rsid w:val="004F3ABF"/>
    <w:rsid w:val="004F41B2"/>
    <w:rsid w:val="004F477D"/>
    <w:rsid w:val="004F4AFC"/>
    <w:rsid w:val="004F4B9E"/>
    <w:rsid w:val="004F4C2E"/>
    <w:rsid w:val="004F4CFE"/>
    <w:rsid w:val="004F4D8A"/>
    <w:rsid w:val="004F4EDE"/>
    <w:rsid w:val="004F504B"/>
    <w:rsid w:val="004F52A5"/>
    <w:rsid w:val="004F53B3"/>
    <w:rsid w:val="004F5799"/>
    <w:rsid w:val="004F5EC3"/>
    <w:rsid w:val="004F6310"/>
    <w:rsid w:val="004F636B"/>
    <w:rsid w:val="004F63B0"/>
    <w:rsid w:val="004F6539"/>
    <w:rsid w:val="004F6C2E"/>
    <w:rsid w:val="004F7093"/>
    <w:rsid w:val="004F713D"/>
    <w:rsid w:val="004F7144"/>
    <w:rsid w:val="004F7399"/>
    <w:rsid w:val="005001CD"/>
    <w:rsid w:val="00500362"/>
    <w:rsid w:val="00500558"/>
    <w:rsid w:val="0050056F"/>
    <w:rsid w:val="00500A78"/>
    <w:rsid w:val="00500C8C"/>
    <w:rsid w:val="005012B1"/>
    <w:rsid w:val="00501375"/>
    <w:rsid w:val="0050158A"/>
    <w:rsid w:val="00501752"/>
    <w:rsid w:val="0050191B"/>
    <w:rsid w:val="005019A2"/>
    <w:rsid w:val="00501A14"/>
    <w:rsid w:val="00501AF1"/>
    <w:rsid w:val="00501B50"/>
    <w:rsid w:val="00501BB8"/>
    <w:rsid w:val="00501D3B"/>
    <w:rsid w:val="00501D49"/>
    <w:rsid w:val="00501F55"/>
    <w:rsid w:val="005021FB"/>
    <w:rsid w:val="005022C9"/>
    <w:rsid w:val="00502331"/>
    <w:rsid w:val="00502723"/>
    <w:rsid w:val="00502A06"/>
    <w:rsid w:val="00502B8F"/>
    <w:rsid w:val="00502BF7"/>
    <w:rsid w:val="00502C02"/>
    <w:rsid w:val="00502CC8"/>
    <w:rsid w:val="00502F70"/>
    <w:rsid w:val="00503102"/>
    <w:rsid w:val="005031F2"/>
    <w:rsid w:val="0050320B"/>
    <w:rsid w:val="0050364F"/>
    <w:rsid w:val="0050367B"/>
    <w:rsid w:val="0050384A"/>
    <w:rsid w:val="00503B6A"/>
    <w:rsid w:val="00503B75"/>
    <w:rsid w:val="00503E12"/>
    <w:rsid w:val="0050431D"/>
    <w:rsid w:val="005043C0"/>
    <w:rsid w:val="0050444C"/>
    <w:rsid w:val="0050447B"/>
    <w:rsid w:val="005045C6"/>
    <w:rsid w:val="005045F7"/>
    <w:rsid w:val="00504A79"/>
    <w:rsid w:val="00504A8C"/>
    <w:rsid w:val="00504BED"/>
    <w:rsid w:val="00504D60"/>
    <w:rsid w:val="00504E3E"/>
    <w:rsid w:val="00504EEF"/>
    <w:rsid w:val="005051E6"/>
    <w:rsid w:val="005052D9"/>
    <w:rsid w:val="00505836"/>
    <w:rsid w:val="00505BA0"/>
    <w:rsid w:val="00505D13"/>
    <w:rsid w:val="00505EA1"/>
    <w:rsid w:val="00505F71"/>
    <w:rsid w:val="00506013"/>
    <w:rsid w:val="0050610F"/>
    <w:rsid w:val="0050619F"/>
    <w:rsid w:val="0050659C"/>
    <w:rsid w:val="0050681B"/>
    <w:rsid w:val="0050682A"/>
    <w:rsid w:val="00506FB1"/>
    <w:rsid w:val="00506FF9"/>
    <w:rsid w:val="0050716A"/>
    <w:rsid w:val="0050729C"/>
    <w:rsid w:val="00507439"/>
    <w:rsid w:val="005074EB"/>
    <w:rsid w:val="0050779D"/>
    <w:rsid w:val="00507ECD"/>
    <w:rsid w:val="00507F27"/>
    <w:rsid w:val="005100BE"/>
    <w:rsid w:val="0051039A"/>
    <w:rsid w:val="00510514"/>
    <w:rsid w:val="005107A6"/>
    <w:rsid w:val="00510848"/>
    <w:rsid w:val="005109C8"/>
    <w:rsid w:val="00510AFA"/>
    <w:rsid w:val="00510B11"/>
    <w:rsid w:val="00510F35"/>
    <w:rsid w:val="005111AE"/>
    <w:rsid w:val="005111E4"/>
    <w:rsid w:val="0051151D"/>
    <w:rsid w:val="00511B7D"/>
    <w:rsid w:val="00511CAF"/>
    <w:rsid w:val="00511DB9"/>
    <w:rsid w:val="00511DE6"/>
    <w:rsid w:val="0051234A"/>
    <w:rsid w:val="005128E4"/>
    <w:rsid w:val="0051371C"/>
    <w:rsid w:val="005139EA"/>
    <w:rsid w:val="00513BEB"/>
    <w:rsid w:val="00513F21"/>
    <w:rsid w:val="005141FE"/>
    <w:rsid w:val="00514354"/>
    <w:rsid w:val="00514355"/>
    <w:rsid w:val="00514678"/>
    <w:rsid w:val="00514793"/>
    <w:rsid w:val="00514835"/>
    <w:rsid w:val="0051496B"/>
    <w:rsid w:val="00514A4E"/>
    <w:rsid w:val="00514E10"/>
    <w:rsid w:val="00514E29"/>
    <w:rsid w:val="00515212"/>
    <w:rsid w:val="00515BE0"/>
    <w:rsid w:val="00515E48"/>
    <w:rsid w:val="005160CC"/>
    <w:rsid w:val="005160E7"/>
    <w:rsid w:val="005165DD"/>
    <w:rsid w:val="005166E7"/>
    <w:rsid w:val="00516801"/>
    <w:rsid w:val="00516861"/>
    <w:rsid w:val="0051688B"/>
    <w:rsid w:val="0051690E"/>
    <w:rsid w:val="00516A6B"/>
    <w:rsid w:val="00516B6C"/>
    <w:rsid w:val="00516B6E"/>
    <w:rsid w:val="00516B6F"/>
    <w:rsid w:val="00516E20"/>
    <w:rsid w:val="00516E72"/>
    <w:rsid w:val="0051729E"/>
    <w:rsid w:val="005173E4"/>
    <w:rsid w:val="00517B2C"/>
    <w:rsid w:val="00520905"/>
    <w:rsid w:val="00520935"/>
    <w:rsid w:val="00520B45"/>
    <w:rsid w:val="00520BBB"/>
    <w:rsid w:val="00520C72"/>
    <w:rsid w:val="00520DCF"/>
    <w:rsid w:val="00521141"/>
    <w:rsid w:val="00521326"/>
    <w:rsid w:val="00521879"/>
    <w:rsid w:val="00521BAD"/>
    <w:rsid w:val="00521CD5"/>
    <w:rsid w:val="00521E14"/>
    <w:rsid w:val="00521FBF"/>
    <w:rsid w:val="00522227"/>
    <w:rsid w:val="0052242C"/>
    <w:rsid w:val="00522580"/>
    <w:rsid w:val="00522C0D"/>
    <w:rsid w:val="00522FCD"/>
    <w:rsid w:val="0052337C"/>
    <w:rsid w:val="0052354A"/>
    <w:rsid w:val="00523A9F"/>
    <w:rsid w:val="00523CB6"/>
    <w:rsid w:val="00523CC3"/>
    <w:rsid w:val="00523E1E"/>
    <w:rsid w:val="0052408C"/>
    <w:rsid w:val="00524310"/>
    <w:rsid w:val="0052449C"/>
    <w:rsid w:val="00524622"/>
    <w:rsid w:val="0052480E"/>
    <w:rsid w:val="005249F9"/>
    <w:rsid w:val="00524A33"/>
    <w:rsid w:val="00524BB1"/>
    <w:rsid w:val="00524CD9"/>
    <w:rsid w:val="00524D34"/>
    <w:rsid w:val="00524E59"/>
    <w:rsid w:val="0052500B"/>
    <w:rsid w:val="005250FB"/>
    <w:rsid w:val="00525456"/>
    <w:rsid w:val="00525651"/>
    <w:rsid w:val="005257D4"/>
    <w:rsid w:val="00525C24"/>
    <w:rsid w:val="00525F0E"/>
    <w:rsid w:val="00526033"/>
    <w:rsid w:val="005260F0"/>
    <w:rsid w:val="0052669A"/>
    <w:rsid w:val="005269C1"/>
    <w:rsid w:val="00526A16"/>
    <w:rsid w:val="00526B39"/>
    <w:rsid w:val="00526B6B"/>
    <w:rsid w:val="00526BE9"/>
    <w:rsid w:val="00526FC8"/>
    <w:rsid w:val="00526FDC"/>
    <w:rsid w:val="00527634"/>
    <w:rsid w:val="00527A64"/>
    <w:rsid w:val="00527BE2"/>
    <w:rsid w:val="00527CCE"/>
    <w:rsid w:val="00530115"/>
    <w:rsid w:val="005302AF"/>
    <w:rsid w:val="00530548"/>
    <w:rsid w:val="00530576"/>
    <w:rsid w:val="00530819"/>
    <w:rsid w:val="00530B41"/>
    <w:rsid w:val="00530B97"/>
    <w:rsid w:val="00530D58"/>
    <w:rsid w:val="00531328"/>
    <w:rsid w:val="0053149D"/>
    <w:rsid w:val="00531A01"/>
    <w:rsid w:val="00531A2E"/>
    <w:rsid w:val="00531C91"/>
    <w:rsid w:val="00531F30"/>
    <w:rsid w:val="00532187"/>
    <w:rsid w:val="0053219E"/>
    <w:rsid w:val="005321E0"/>
    <w:rsid w:val="00532236"/>
    <w:rsid w:val="00532379"/>
    <w:rsid w:val="00532481"/>
    <w:rsid w:val="0053263C"/>
    <w:rsid w:val="00532649"/>
    <w:rsid w:val="0053279D"/>
    <w:rsid w:val="00532AAF"/>
    <w:rsid w:val="00532C4A"/>
    <w:rsid w:val="00532E3E"/>
    <w:rsid w:val="00532F54"/>
    <w:rsid w:val="00533073"/>
    <w:rsid w:val="005332C0"/>
    <w:rsid w:val="005333CE"/>
    <w:rsid w:val="005334FE"/>
    <w:rsid w:val="005335A5"/>
    <w:rsid w:val="005338EA"/>
    <w:rsid w:val="0053397F"/>
    <w:rsid w:val="00533A35"/>
    <w:rsid w:val="00533DDA"/>
    <w:rsid w:val="00533FAA"/>
    <w:rsid w:val="005341E9"/>
    <w:rsid w:val="0053444B"/>
    <w:rsid w:val="00534593"/>
    <w:rsid w:val="00534658"/>
    <w:rsid w:val="005346AB"/>
    <w:rsid w:val="00534BCD"/>
    <w:rsid w:val="00534DBB"/>
    <w:rsid w:val="00535385"/>
    <w:rsid w:val="00535494"/>
    <w:rsid w:val="00535518"/>
    <w:rsid w:val="005357DE"/>
    <w:rsid w:val="00535C8C"/>
    <w:rsid w:val="0053600C"/>
    <w:rsid w:val="00536332"/>
    <w:rsid w:val="00536436"/>
    <w:rsid w:val="005364D4"/>
    <w:rsid w:val="00536633"/>
    <w:rsid w:val="00536B03"/>
    <w:rsid w:val="00536F81"/>
    <w:rsid w:val="00537101"/>
    <w:rsid w:val="005371A9"/>
    <w:rsid w:val="00537234"/>
    <w:rsid w:val="005372C1"/>
    <w:rsid w:val="0053755D"/>
    <w:rsid w:val="005379AE"/>
    <w:rsid w:val="00540149"/>
    <w:rsid w:val="0054027C"/>
    <w:rsid w:val="00540468"/>
    <w:rsid w:val="00540477"/>
    <w:rsid w:val="0054089D"/>
    <w:rsid w:val="0054092D"/>
    <w:rsid w:val="005416D3"/>
    <w:rsid w:val="00541DFE"/>
    <w:rsid w:val="00541FB7"/>
    <w:rsid w:val="005420D1"/>
    <w:rsid w:val="0054222B"/>
    <w:rsid w:val="00542438"/>
    <w:rsid w:val="0054252A"/>
    <w:rsid w:val="005426AB"/>
    <w:rsid w:val="00542732"/>
    <w:rsid w:val="00542B31"/>
    <w:rsid w:val="00542C3E"/>
    <w:rsid w:val="00542CA4"/>
    <w:rsid w:val="005433AF"/>
    <w:rsid w:val="00543967"/>
    <w:rsid w:val="00543A73"/>
    <w:rsid w:val="00543C65"/>
    <w:rsid w:val="00543E6C"/>
    <w:rsid w:val="00543F0F"/>
    <w:rsid w:val="00544065"/>
    <w:rsid w:val="00544184"/>
    <w:rsid w:val="0054461E"/>
    <w:rsid w:val="00544759"/>
    <w:rsid w:val="005447CE"/>
    <w:rsid w:val="005448E4"/>
    <w:rsid w:val="00544AA0"/>
    <w:rsid w:val="00544F20"/>
    <w:rsid w:val="00544F53"/>
    <w:rsid w:val="0054507E"/>
    <w:rsid w:val="0054524C"/>
    <w:rsid w:val="0054529D"/>
    <w:rsid w:val="005452D5"/>
    <w:rsid w:val="00545689"/>
    <w:rsid w:val="005456A7"/>
    <w:rsid w:val="00545852"/>
    <w:rsid w:val="005458DF"/>
    <w:rsid w:val="00545C0D"/>
    <w:rsid w:val="00545D4A"/>
    <w:rsid w:val="00546158"/>
    <w:rsid w:val="005463D4"/>
    <w:rsid w:val="00546545"/>
    <w:rsid w:val="005466ED"/>
    <w:rsid w:val="00546902"/>
    <w:rsid w:val="00546BDA"/>
    <w:rsid w:val="00546D58"/>
    <w:rsid w:val="00547017"/>
    <w:rsid w:val="005472CD"/>
    <w:rsid w:val="0054734B"/>
    <w:rsid w:val="005475A5"/>
    <w:rsid w:val="00547A8B"/>
    <w:rsid w:val="00547B54"/>
    <w:rsid w:val="00547C41"/>
    <w:rsid w:val="00547CDA"/>
    <w:rsid w:val="00547CE1"/>
    <w:rsid w:val="00547FA3"/>
    <w:rsid w:val="00550108"/>
    <w:rsid w:val="00550249"/>
    <w:rsid w:val="005502D1"/>
    <w:rsid w:val="00550662"/>
    <w:rsid w:val="00550740"/>
    <w:rsid w:val="00550996"/>
    <w:rsid w:val="00550B41"/>
    <w:rsid w:val="00550B47"/>
    <w:rsid w:val="00550BAF"/>
    <w:rsid w:val="00550C93"/>
    <w:rsid w:val="00550DF5"/>
    <w:rsid w:val="00550F8C"/>
    <w:rsid w:val="005514A6"/>
    <w:rsid w:val="005514AB"/>
    <w:rsid w:val="00551755"/>
    <w:rsid w:val="00551786"/>
    <w:rsid w:val="00551789"/>
    <w:rsid w:val="00551BE2"/>
    <w:rsid w:val="00551DEB"/>
    <w:rsid w:val="0055281A"/>
    <w:rsid w:val="00552AFF"/>
    <w:rsid w:val="00552D28"/>
    <w:rsid w:val="00552E72"/>
    <w:rsid w:val="00552EEB"/>
    <w:rsid w:val="00553133"/>
    <w:rsid w:val="005532A9"/>
    <w:rsid w:val="005533A4"/>
    <w:rsid w:val="00553456"/>
    <w:rsid w:val="005534BA"/>
    <w:rsid w:val="005538B6"/>
    <w:rsid w:val="00553CD8"/>
    <w:rsid w:val="00553F68"/>
    <w:rsid w:val="005540A8"/>
    <w:rsid w:val="005549C7"/>
    <w:rsid w:val="00554AE3"/>
    <w:rsid w:val="00554B82"/>
    <w:rsid w:val="00554DB0"/>
    <w:rsid w:val="00554EDC"/>
    <w:rsid w:val="005550B2"/>
    <w:rsid w:val="005552FD"/>
    <w:rsid w:val="0055530F"/>
    <w:rsid w:val="005554A2"/>
    <w:rsid w:val="00555BEC"/>
    <w:rsid w:val="00555C1D"/>
    <w:rsid w:val="00555CB0"/>
    <w:rsid w:val="005569E7"/>
    <w:rsid w:val="00556C99"/>
    <w:rsid w:val="00556E10"/>
    <w:rsid w:val="005571A4"/>
    <w:rsid w:val="00557442"/>
    <w:rsid w:val="00557867"/>
    <w:rsid w:val="0055787E"/>
    <w:rsid w:val="00557C2E"/>
    <w:rsid w:val="00557CBB"/>
    <w:rsid w:val="00557E89"/>
    <w:rsid w:val="00557F37"/>
    <w:rsid w:val="0056007F"/>
    <w:rsid w:val="005600E5"/>
    <w:rsid w:val="00560193"/>
    <w:rsid w:val="00560273"/>
    <w:rsid w:val="00560405"/>
    <w:rsid w:val="0056049D"/>
    <w:rsid w:val="005604C3"/>
    <w:rsid w:val="00560CDE"/>
    <w:rsid w:val="00560F85"/>
    <w:rsid w:val="0056105F"/>
    <w:rsid w:val="005614DE"/>
    <w:rsid w:val="0056157C"/>
    <w:rsid w:val="005615AE"/>
    <w:rsid w:val="005615E5"/>
    <w:rsid w:val="00561686"/>
    <w:rsid w:val="00561DE4"/>
    <w:rsid w:val="0056238F"/>
    <w:rsid w:val="005623FB"/>
    <w:rsid w:val="0056253D"/>
    <w:rsid w:val="00562572"/>
    <w:rsid w:val="00562857"/>
    <w:rsid w:val="005630F0"/>
    <w:rsid w:val="00563178"/>
    <w:rsid w:val="00563866"/>
    <w:rsid w:val="00563901"/>
    <w:rsid w:val="00563A84"/>
    <w:rsid w:val="00563E6E"/>
    <w:rsid w:val="005640EC"/>
    <w:rsid w:val="0056435B"/>
    <w:rsid w:val="00564495"/>
    <w:rsid w:val="00564967"/>
    <w:rsid w:val="00564B26"/>
    <w:rsid w:val="00564C6B"/>
    <w:rsid w:val="00564E8F"/>
    <w:rsid w:val="00565296"/>
    <w:rsid w:val="00565338"/>
    <w:rsid w:val="00565387"/>
    <w:rsid w:val="0056578E"/>
    <w:rsid w:val="005659CD"/>
    <w:rsid w:val="005659F0"/>
    <w:rsid w:val="00565AC4"/>
    <w:rsid w:val="00565C33"/>
    <w:rsid w:val="00565F69"/>
    <w:rsid w:val="0056605B"/>
    <w:rsid w:val="00566080"/>
    <w:rsid w:val="00566242"/>
    <w:rsid w:val="0056640A"/>
    <w:rsid w:val="0056683F"/>
    <w:rsid w:val="00566968"/>
    <w:rsid w:val="00566A85"/>
    <w:rsid w:val="00566B97"/>
    <w:rsid w:val="00566CED"/>
    <w:rsid w:val="00566D97"/>
    <w:rsid w:val="00566FCE"/>
    <w:rsid w:val="005671B2"/>
    <w:rsid w:val="0056755E"/>
    <w:rsid w:val="005676BE"/>
    <w:rsid w:val="00567719"/>
    <w:rsid w:val="005677CF"/>
    <w:rsid w:val="005679D0"/>
    <w:rsid w:val="00567A8D"/>
    <w:rsid w:val="00567B52"/>
    <w:rsid w:val="00567FE8"/>
    <w:rsid w:val="005701B5"/>
    <w:rsid w:val="00570338"/>
    <w:rsid w:val="0057049A"/>
    <w:rsid w:val="00570736"/>
    <w:rsid w:val="005708FB"/>
    <w:rsid w:val="00570ADA"/>
    <w:rsid w:val="00570BBA"/>
    <w:rsid w:val="00570DE6"/>
    <w:rsid w:val="00570F87"/>
    <w:rsid w:val="005710A0"/>
    <w:rsid w:val="00571487"/>
    <w:rsid w:val="005714F7"/>
    <w:rsid w:val="00571855"/>
    <w:rsid w:val="005718C1"/>
    <w:rsid w:val="00571C6E"/>
    <w:rsid w:val="00571E7F"/>
    <w:rsid w:val="00572089"/>
    <w:rsid w:val="0057214E"/>
    <w:rsid w:val="005722E8"/>
    <w:rsid w:val="00572334"/>
    <w:rsid w:val="00572400"/>
    <w:rsid w:val="005727D8"/>
    <w:rsid w:val="005728A4"/>
    <w:rsid w:val="00572A91"/>
    <w:rsid w:val="00572DCD"/>
    <w:rsid w:val="0057342D"/>
    <w:rsid w:val="00573509"/>
    <w:rsid w:val="00573A5B"/>
    <w:rsid w:val="00573AA2"/>
    <w:rsid w:val="00573F2C"/>
    <w:rsid w:val="0057429B"/>
    <w:rsid w:val="00574470"/>
    <w:rsid w:val="005744E5"/>
    <w:rsid w:val="005745D1"/>
    <w:rsid w:val="00574670"/>
    <w:rsid w:val="0057496F"/>
    <w:rsid w:val="00574B34"/>
    <w:rsid w:val="00574BAC"/>
    <w:rsid w:val="00575050"/>
    <w:rsid w:val="00575097"/>
    <w:rsid w:val="005750EB"/>
    <w:rsid w:val="00575188"/>
    <w:rsid w:val="0057521B"/>
    <w:rsid w:val="0057547E"/>
    <w:rsid w:val="00575652"/>
    <w:rsid w:val="00575929"/>
    <w:rsid w:val="00575A8E"/>
    <w:rsid w:val="00575B31"/>
    <w:rsid w:val="005760DC"/>
    <w:rsid w:val="005763FC"/>
    <w:rsid w:val="0057650A"/>
    <w:rsid w:val="0057667B"/>
    <w:rsid w:val="00576948"/>
    <w:rsid w:val="00576D4F"/>
    <w:rsid w:val="00576D88"/>
    <w:rsid w:val="00576EB4"/>
    <w:rsid w:val="00577353"/>
    <w:rsid w:val="00577403"/>
    <w:rsid w:val="005774CA"/>
    <w:rsid w:val="005774D5"/>
    <w:rsid w:val="00577598"/>
    <w:rsid w:val="005776C1"/>
    <w:rsid w:val="00577A9C"/>
    <w:rsid w:val="00577B30"/>
    <w:rsid w:val="00577BD3"/>
    <w:rsid w:val="00577ED1"/>
    <w:rsid w:val="005800A0"/>
    <w:rsid w:val="005805BB"/>
    <w:rsid w:val="00580612"/>
    <w:rsid w:val="005809F5"/>
    <w:rsid w:val="00580AF5"/>
    <w:rsid w:val="00580CF5"/>
    <w:rsid w:val="00580DB1"/>
    <w:rsid w:val="00580ED0"/>
    <w:rsid w:val="00581060"/>
    <w:rsid w:val="00581325"/>
    <w:rsid w:val="00581339"/>
    <w:rsid w:val="00581475"/>
    <w:rsid w:val="0058150A"/>
    <w:rsid w:val="005815B4"/>
    <w:rsid w:val="00581A24"/>
    <w:rsid w:val="00581BBA"/>
    <w:rsid w:val="00581CA7"/>
    <w:rsid w:val="00581CC6"/>
    <w:rsid w:val="005820A7"/>
    <w:rsid w:val="00582288"/>
    <w:rsid w:val="00582310"/>
    <w:rsid w:val="005825BD"/>
    <w:rsid w:val="005825D2"/>
    <w:rsid w:val="00582604"/>
    <w:rsid w:val="00582636"/>
    <w:rsid w:val="00582768"/>
    <w:rsid w:val="00582F3D"/>
    <w:rsid w:val="00582F6F"/>
    <w:rsid w:val="00583461"/>
    <w:rsid w:val="005834D7"/>
    <w:rsid w:val="00583506"/>
    <w:rsid w:val="005837AB"/>
    <w:rsid w:val="00583BFB"/>
    <w:rsid w:val="005840AA"/>
    <w:rsid w:val="00584167"/>
    <w:rsid w:val="00584528"/>
    <w:rsid w:val="005845EF"/>
    <w:rsid w:val="0058468C"/>
    <w:rsid w:val="00584C0E"/>
    <w:rsid w:val="00585553"/>
    <w:rsid w:val="005856A4"/>
    <w:rsid w:val="0058579A"/>
    <w:rsid w:val="00585C87"/>
    <w:rsid w:val="00586854"/>
    <w:rsid w:val="00586861"/>
    <w:rsid w:val="005868A3"/>
    <w:rsid w:val="00587164"/>
    <w:rsid w:val="005871A7"/>
    <w:rsid w:val="00587703"/>
    <w:rsid w:val="00587A2F"/>
    <w:rsid w:val="005900B7"/>
    <w:rsid w:val="005903CB"/>
    <w:rsid w:val="00590689"/>
    <w:rsid w:val="00590730"/>
    <w:rsid w:val="005911DD"/>
    <w:rsid w:val="005913C7"/>
    <w:rsid w:val="005914C7"/>
    <w:rsid w:val="00591A54"/>
    <w:rsid w:val="00591C4A"/>
    <w:rsid w:val="00591DBA"/>
    <w:rsid w:val="00591EF5"/>
    <w:rsid w:val="0059210A"/>
    <w:rsid w:val="0059231A"/>
    <w:rsid w:val="00592491"/>
    <w:rsid w:val="0059267B"/>
    <w:rsid w:val="005926FC"/>
    <w:rsid w:val="005927BB"/>
    <w:rsid w:val="00592C2C"/>
    <w:rsid w:val="00592E91"/>
    <w:rsid w:val="00593007"/>
    <w:rsid w:val="0059310B"/>
    <w:rsid w:val="0059322C"/>
    <w:rsid w:val="00593765"/>
    <w:rsid w:val="00593B4C"/>
    <w:rsid w:val="00593D44"/>
    <w:rsid w:val="00593F48"/>
    <w:rsid w:val="00593F49"/>
    <w:rsid w:val="0059421C"/>
    <w:rsid w:val="00594380"/>
    <w:rsid w:val="00594904"/>
    <w:rsid w:val="00594B01"/>
    <w:rsid w:val="00594B6C"/>
    <w:rsid w:val="00594C9E"/>
    <w:rsid w:val="00594DD7"/>
    <w:rsid w:val="00595243"/>
    <w:rsid w:val="0059524B"/>
    <w:rsid w:val="005953F5"/>
    <w:rsid w:val="0059567D"/>
    <w:rsid w:val="00595708"/>
    <w:rsid w:val="0059582E"/>
    <w:rsid w:val="00595C50"/>
    <w:rsid w:val="00595DDB"/>
    <w:rsid w:val="0059608D"/>
    <w:rsid w:val="005961F8"/>
    <w:rsid w:val="005968F3"/>
    <w:rsid w:val="00596A12"/>
    <w:rsid w:val="00596A96"/>
    <w:rsid w:val="00596BAA"/>
    <w:rsid w:val="0059727E"/>
    <w:rsid w:val="00597538"/>
    <w:rsid w:val="005975E0"/>
    <w:rsid w:val="005975FF"/>
    <w:rsid w:val="005978C5"/>
    <w:rsid w:val="0059790A"/>
    <w:rsid w:val="00597F99"/>
    <w:rsid w:val="005A00FC"/>
    <w:rsid w:val="005A01F6"/>
    <w:rsid w:val="005A0422"/>
    <w:rsid w:val="005A048E"/>
    <w:rsid w:val="005A063F"/>
    <w:rsid w:val="005A065E"/>
    <w:rsid w:val="005A0676"/>
    <w:rsid w:val="005A06B1"/>
    <w:rsid w:val="005A06FC"/>
    <w:rsid w:val="005A0798"/>
    <w:rsid w:val="005A0877"/>
    <w:rsid w:val="005A0940"/>
    <w:rsid w:val="005A09D7"/>
    <w:rsid w:val="005A0F66"/>
    <w:rsid w:val="005A1036"/>
    <w:rsid w:val="005A1295"/>
    <w:rsid w:val="005A136E"/>
    <w:rsid w:val="005A1573"/>
    <w:rsid w:val="005A2024"/>
    <w:rsid w:val="005A2329"/>
    <w:rsid w:val="005A2531"/>
    <w:rsid w:val="005A25B6"/>
    <w:rsid w:val="005A2920"/>
    <w:rsid w:val="005A2AB7"/>
    <w:rsid w:val="005A2BAA"/>
    <w:rsid w:val="005A2CFB"/>
    <w:rsid w:val="005A3051"/>
    <w:rsid w:val="005A32ED"/>
    <w:rsid w:val="005A333E"/>
    <w:rsid w:val="005A3484"/>
    <w:rsid w:val="005A34CE"/>
    <w:rsid w:val="005A372A"/>
    <w:rsid w:val="005A3778"/>
    <w:rsid w:val="005A37B1"/>
    <w:rsid w:val="005A39D3"/>
    <w:rsid w:val="005A3B93"/>
    <w:rsid w:val="005A3CAC"/>
    <w:rsid w:val="005A3F3C"/>
    <w:rsid w:val="005A414C"/>
    <w:rsid w:val="005A41F1"/>
    <w:rsid w:val="005A44D9"/>
    <w:rsid w:val="005A44F6"/>
    <w:rsid w:val="005A4B99"/>
    <w:rsid w:val="005A53FE"/>
    <w:rsid w:val="005A5444"/>
    <w:rsid w:val="005A5641"/>
    <w:rsid w:val="005A5898"/>
    <w:rsid w:val="005A59BE"/>
    <w:rsid w:val="005A5FB3"/>
    <w:rsid w:val="005A6291"/>
    <w:rsid w:val="005A62BF"/>
    <w:rsid w:val="005A64CC"/>
    <w:rsid w:val="005A64FA"/>
    <w:rsid w:val="005A651C"/>
    <w:rsid w:val="005A655D"/>
    <w:rsid w:val="005A6A30"/>
    <w:rsid w:val="005A6C99"/>
    <w:rsid w:val="005A6D63"/>
    <w:rsid w:val="005A6D89"/>
    <w:rsid w:val="005A7010"/>
    <w:rsid w:val="005A7088"/>
    <w:rsid w:val="005A74BE"/>
    <w:rsid w:val="005A74C7"/>
    <w:rsid w:val="005A74E3"/>
    <w:rsid w:val="005A751C"/>
    <w:rsid w:val="005A7595"/>
    <w:rsid w:val="005A76D7"/>
    <w:rsid w:val="005A7BAD"/>
    <w:rsid w:val="005B00DB"/>
    <w:rsid w:val="005B05C5"/>
    <w:rsid w:val="005B0AFA"/>
    <w:rsid w:val="005B0DDD"/>
    <w:rsid w:val="005B0DE1"/>
    <w:rsid w:val="005B0DE5"/>
    <w:rsid w:val="005B0E97"/>
    <w:rsid w:val="005B106B"/>
    <w:rsid w:val="005B1102"/>
    <w:rsid w:val="005B1192"/>
    <w:rsid w:val="005B19A8"/>
    <w:rsid w:val="005B1C75"/>
    <w:rsid w:val="005B1D11"/>
    <w:rsid w:val="005B1EDC"/>
    <w:rsid w:val="005B2249"/>
    <w:rsid w:val="005B23AE"/>
    <w:rsid w:val="005B26FE"/>
    <w:rsid w:val="005B29A1"/>
    <w:rsid w:val="005B2ACD"/>
    <w:rsid w:val="005B2B41"/>
    <w:rsid w:val="005B2F26"/>
    <w:rsid w:val="005B38B3"/>
    <w:rsid w:val="005B3A31"/>
    <w:rsid w:val="005B3DC7"/>
    <w:rsid w:val="005B3E31"/>
    <w:rsid w:val="005B3E32"/>
    <w:rsid w:val="005B4169"/>
    <w:rsid w:val="005B431F"/>
    <w:rsid w:val="005B45B6"/>
    <w:rsid w:val="005B49D7"/>
    <w:rsid w:val="005B4D9A"/>
    <w:rsid w:val="005B50FA"/>
    <w:rsid w:val="005B51F3"/>
    <w:rsid w:val="005B585E"/>
    <w:rsid w:val="005B5EF2"/>
    <w:rsid w:val="005B6273"/>
    <w:rsid w:val="005B66E1"/>
    <w:rsid w:val="005B67AF"/>
    <w:rsid w:val="005B6DF8"/>
    <w:rsid w:val="005B73F7"/>
    <w:rsid w:val="005B75DA"/>
    <w:rsid w:val="005B7944"/>
    <w:rsid w:val="005B7AEE"/>
    <w:rsid w:val="005B7CFC"/>
    <w:rsid w:val="005B7D22"/>
    <w:rsid w:val="005B7D7C"/>
    <w:rsid w:val="005B7F66"/>
    <w:rsid w:val="005C0110"/>
    <w:rsid w:val="005C029E"/>
    <w:rsid w:val="005C0719"/>
    <w:rsid w:val="005C073A"/>
    <w:rsid w:val="005C0B0D"/>
    <w:rsid w:val="005C0D69"/>
    <w:rsid w:val="005C0F00"/>
    <w:rsid w:val="005C100B"/>
    <w:rsid w:val="005C128E"/>
    <w:rsid w:val="005C140D"/>
    <w:rsid w:val="005C1752"/>
    <w:rsid w:val="005C17B8"/>
    <w:rsid w:val="005C180E"/>
    <w:rsid w:val="005C184D"/>
    <w:rsid w:val="005C1A0D"/>
    <w:rsid w:val="005C1D02"/>
    <w:rsid w:val="005C21C5"/>
    <w:rsid w:val="005C21DD"/>
    <w:rsid w:val="005C24CB"/>
    <w:rsid w:val="005C24E9"/>
    <w:rsid w:val="005C25B4"/>
    <w:rsid w:val="005C262B"/>
    <w:rsid w:val="005C2647"/>
    <w:rsid w:val="005C2718"/>
    <w:rsid w:val="005C2787"/>
    <w:rsid w:val="005C2805"/>
    <w:rsid w:val="005C2810"/>
    <w:rsid w:val="005C2931"/>
    <w:rsid w:val="005C2CD9"/>
    <w:rsid w:val="005C2D02"/>
    <w:rsid w:val="005C2D60"/>
    <w:rsid w:val="005C2D89"/>
    <w:rsid w:val="005C2FBF"/>
    <w:rsid w:val="005C3619"/>
    <w:rsid w:val="005C38C1"/>
    <w:rsid w:val="005C4181"/>
    <w:rsid w:val="005C4859"/>
    <w:rsid w:val="005C4A4E"/>
    <w:rsid w:val="005C4AD4"/>
    <w:rsid w:val="005C4CD3"/>
    <w:rsid w:val="005C4EA3"/>
    <w:rsid w:val="005C52A7"/>
    <w:rsid w:val="005C5592"/>
    <w:rsid w:val="005C5947"/>
    <w:rsid w:val="005C5DA9"/>
    <w:rsid w:val="005C5E06"/>
    <w:rsid w:val="005C5E70"/>
    <w:rsid w:val="005C5F83"/>
    <w:rsid w:val="005C606B"/>
    <w:rsid w:val="005C62E3"/>
    <w:rsid w:val="005C67F3"/>
    <w:rsid w:val="005C6BB0"/>
    <w:rsid w:val="005C6E19"/>
    <w:rsid w:val="005C6F17"/>
    <w:rsid w:val="005C7397"/>
    <w:rsid w:val="005C7802"/>
    <w:rsid w:val="005C78B8"/>
    <w:rsid w:val="005C798B"/>
    <w:rsid w:val="005C7A84"/>
    <w:rsid w:val="005C7DD7"/>
    <w:rsid w:val="005D0061"/>
    <w:rsid w:val="005D0487"/>
    <w:rsid w:val="005D063C"/>
    <w:rsid w:val="005D0A7B"/>
    <w:rsid w:val="005D0E9E"/>
    <w:rsid w:val="005D0EA2"/>
    <w:rsid w:val="005D0F49"/>
    <w:rsid w:val="005D10C1"/>
    <w:rsid w:val="005D141C"/>
    <w:rsid w:val="005D142C"/>
    <w:rsid w:val="005D1752"/>
    <w:rsid w:val="005D1823"/>
    <w:rsid w:val="005D1B9C"/>
    <w:rsid w:val="005D1E00"/>
    <w:rsid w:val="005D1FC4"/>
    <w:rsid w:val="005D2121"/>
    <w:rsid w:val="005D21F4"/>
    <w:rsid w:val="005D2444"/>
    <w:rsid w:val="005D265E"/>
    <w:rsid w:val="005D2879"/>
    <w:rsid w:val="005D2AE8"/>
    <w:rsid w:val="005D2AFE"/>
    <w:rsid w:val="005D2B0F"/>
    <w:rsid w:val="005D2B12"/>
    <w:rsid w:val="005D2DF4"/>
    <w:rsid w:val="005D2EED"/>
    <w:rsid w:val="005D32FD"/>
    <w:rsid w:val="005D3350"/>
    <w:rsid w:val="005D33DE"/>
    <w:rsid w:val="005D3CF6"/>
    <w:rsid w:val="005D3EDE"/>
    <w:rsid w:val="005D3F8C"/>
    <w:rsid w:val="005D4088"/>
    <w:rsid w:val="005D4182"/>
    <w:rsid w:val="005D42AD"/>
    <w:rsid w:val="005D43C3"/>
    <w:rsid w:val="005D446E"/>
    <w:rsid w:val="005D46D1"/>
    <w:rsid w:val="005D499F"/>
    <w:rsid w:val="005D4B72"/>
    <w:rsid w:val="005D4D7C"/>
    <w:rsid w:val="005D511B"/>
    <w:rsid w:val="005D53B0"/>
    <w:rsid w:val="005D586D"/>
    <w:rsid w:val="005D5A41"/>
    <w:rsid w:val="005D5B0A"/>
    <w:rsid w:val="005D5B9A"/>
    <w:rsid w:val="005D5BCD"/>
    <w:rsid w:val="005D5DD6"/>
    <w:rsid w:val="005D5EFC"/>
    <w:rsid w:val="005D6540"/>
    <w:rsid w:val="005D67D7"/>
    <w:rsid w:val="005D6927"/>
    <w:rsid w:val="005D6D81"/>
    <w:rsid w:val="005D6FB3"/>
    <w:rsid w:val="005D7155"/>
    <w:rsid w:val="005D778B"/>
    <w:rsid w:val="005D78A2"/>
    <w:rsid w:val="005D7B99"/>
    <w:rsid w:val="005D7C34"/>
    <w:rsid w:val="005D7C65"/>
    <w:rsid w:val="005D7CEC"/>
    <w:rsid w:val="005E0097"/>
    <w:rsid w:val="005E00B6"/>
    <w:rsid w:val="005E0483"/>
    <w:rsid w:val="005E048D"/>
    <w:rsid w:val="005E04E2"/>
    <w:rsid w:val="005E085D"/>
    <w:rsid w:val="005E08E8"/>
    <w:rsid w:val="005E0D8B"/>
    <w:rsid w:val="005E0E57"/>
    <w:rsid w:val="005E0FE9"/>
    <w:rsid w:val="005E1055"/>
    <w:rsid w:val="005E165E"/>
    <w:rsid w:val="005E16CF"/>
    <w:rsid w:val="005E16DF"/>
    <w:rsid w:val="005E197B"/>
    <w:rsid w:val="005E26CC"/>
    <w:rsid w:val="005E2CD4"/>
    <w:rsid w:val="005E2E35"/>
    <w:rsid w:val="005E317E"/>
    <w:rsid w:val="005E3DFD"/>
    <w:rsid w:val="005E3FA7"/>
    <w:rsid w:val="005E4312"/>
    <w:rsid w:val="005E474B"/>
    <w:rsid w:val="005E4972"/>
    <w:rsid w:val="005E4AD6"/>
    <w:rsid w:val="005E4CA3"/>
    <w:rsid w:val="005E4E70"/>
    <w:rsid w:val="005E4E9E"/>
    <w:rsid w:val="005E4FFB"/>
    <w:rsid w:val="005E5647"/>
    <w:rsid w:val="005E5732"/>
    <w:rsid w:val="005E5AA5"/>
    <w:rsid w:val="005E5BE7"/>
    <w:rsid w:val="005E5D58"/>
    <w:rsid w:val="005E63F7"/>
    <w:rsid w:val="005E6681"/>
    <w:rsid w:val="005E66E8"/>
    <w:rsid w:val="005E688B"/>
    <w:rsid w:val="005E7223"/>
    <w:rsid w:val="005E7456"/>
    <w:rsid w:val="005E7500"/>
    <w:rsid w:val="005E753D"/>
    <w:rsid w:val="005E7548"/>
    <w:rsid w:val="005E75B1"/>
    <w:rsid w:val="005E794E"/>
    <w:rsid w:val="005E7963"/>
    <w:rsid w:val="005E7A19"/>
    <w:rsid w:val="005E7CDD"/>
    <w:rsid w:val="005E7D75"/>
    <w:rsid w:val="005E7E2A"/>
    <w:rsid w:val="005E7EA7"/>
    <w:rsid w:val="005E7EDB"/>
    <w:rsid w:val="005F00AA"/>
    <w:rsid w:val="005F040D"/>
    <w:rsid w:val="005F07C4"/>
    <w:rsid w:val="005F09C4"/>
    <w:rsid w:val="005F0B34"/>
    <w:rsid w:val="005F0D47"/>
    <w:rsid w:val="005F0E7A"/>
    <w:rsid w:val="005F1022"/>
    <w:rsid w:val="005F13A8"/>
    <w:rsid w:val="005F1C93"/>
    <w:rsid w:val="005F2146"/>
    <w:rsid w:val="005F218C"/>
    <w:rsid w:val="005F22CE"/>
    <w:rsid w:val="005F2473"/>
    <w:rsid w:val="005F24AB"/>
    <w:rsid w:val="005F24B0"/>
    <w:rsid w:val="005F256F"/>
    <w:rsid w:val="005F2B9D"/>
    <w:rsid w:val="005F2C03"/>
    <w:rsid w:val="005F3163"/>
    <w:rsid w:val="005F31AD"/>
    <w:rsid w:val="005F35C1"/>
    <w:rsid w:val="005F36AF"/>
    <w:rsid w:val="005F37A0"/>
    <w:rsid w:val="005F4062"/>
    <w:rsid w:val="005F406E"/>
    <w:rsid w:val="005F415C"/>
    <w:rsid w:val="005F4264"/>
    <w:rsid w:val="005F4473"/>
    <w:rsid w:val="005F44D3"/>
    <w:rsid w:val="005F4512"/>
    <w:rsid w:val="005F4523"/>
    <w:rsid w:val="005F46B4"/>
    <w:rsid w:val="005F48D3"/>
    <w:rsid w:val="005F49C5"/>
    <w:rsid w:val="005F4B33"/>
    <w:rsid w:val="005F4D74"/>
    <w:rsid w:val="005F54BC"/>
    <w:rsid w:val="005F55E8"/>
    <w:rsid w:val="005F5921"/>
    <w:rsid w:val="005F5A3F"/>
    <w:rsid w:val="005F5E30"/>
    <w:rsid w:val="005F5EED"/>
    <w:rsid w:val="005F6103"/>
    <w:rsid w:val="005F636A"/>
    <w:rsid w:val="005F64AF"/>
    <w:rsid w:val="005F651C"/>
    <w:rsid w:val="005F6536"/>
    <w:rsid w:val="005F692A"/>
    <w:rsid w:val="005F6A24"/>
    <w:rsid w:val="005F6D5C"/>
    <w:rsid w:val="005F6DD4"/>
    <w:rsid w:val="005F6E80"/>
    <w:rsid w:val="005F7107"/>
    <w:rsid w:val="005F7126"/>
    <w:rsid w:val="005F73D9"/>
    <w:rsid w:val="005F76C8"/>
    <w:rsid w:val="005F76D9"/>
    <w:rsid w:val="005F77E6"/>
    <w:rsid w:val="006002B3"/>
    <w:rsid w:val="00600867"/>
    <w:rsid w:val="00600A40"/>
    <w:rsid w:val="00600B2C"/>
    <w:rsid w:val="00600CEA"/>
    <w:rsid w:val="00600EB8"/>
    <w:rsid w:val="00600FBD"/>
    <w:rsid w:val="00600FCE"/>
    <w:rsid w:val="006011A2"/>
    <w:rsid w:val="0060134B"/>
    <w:rsid w:val="00601460"/>
    <w:rsid w:val="006014DA"/>
    <w:rsid w:val="00601553"/>
    <w:rsid w:val="0060163B"/>
    <w:rsid w:val="006016B4"/>
    <w:rsid w:val="00601C26"/>
    <w:rsid w:val="00601D4D"/>
    <w:rsid w:val="00601F5F"/>
    <w:rsid w:val="00602144"/>
    <w:rsid w:val="006021B4"/>
    <w:rsid w:val="00602307"/>
    <w:rsid w:val="00602397"/>
    <w:rsid w:val="006025A1"/>
    <w:rsid w:val="006026E1"/>
    <w:rsid w:val="006027A6"/>
    <w:rsid w:val="00602E87"/>
    <w:rsid w:val="006032BB"/>
    <w:rsid w:val="00603544"/>
    <w:rsid w:val="00603743"/>
    <w:rsid w:val="006037F8"/>
    <w:rsid w:val="00603A6A"/>
    <w:rsid w:val="00603AF3"/>
    <w:rsid w:val="00603BC1"/>
    <w:rsid w:val="00603D94"/>
    <w:rsid w:val="00603F02"/>
    <w:rsid w:val="00604049"/>
    <w:rsid w:val="006042C9"/>
    <w:rsid w:val="006043AC"/>
    <w:rsid w:val="006044E2"/>
    <w:rsid w:val="006044F1"/>
    <w:rsid w:val="0060452D"/>
    <w:rsid w:val="0060483F"/>
    <w:rsid w:val="00604B8A"/>
    <w:rsid w:val="00604CD0"/>
    <w:rsid w:val="00605049"/>
    <w:rsid w:val="00605068"/>
    <w:rsid w:val="00605127"/>
    <w:rsid w:val="006054BE"/>
    <w:rsid w:val="006055A2"/>
    <w:rsid w:val="006055BA"/>
    <w:rsid w:val="00605841"/>
    <w:rsid w:val="00605B5B"/>
    <w:rsid w:val="00605F99"/>
    <w:rsid w:val="006062D8"/>
    <w:rsid w:val="00606380"/>
    <w:rsid w:val="006065E6"/>
    <w:rsid w:val="00606827"/>
    <w:rsid w:val="006070DD"/>
    <w:rsid w:val="00607103"/>
    <w:rsid w:val="006075D7"/>
    <w:rsid w:val="00607653"/>
    <w:rsid w:val="006076EC"/>
    <w:rsid w:val="00607735"/>
    <w:rsid w:val="006078C2"/>
    <w:rsid w:val="006078CF"/>
    <w:rsid w:val="00607A56"/>
    <w:rsid w:val="00607BC0"/>
    <w:rsid w:val="00607C62"/>
    <w:rsid w:val="00607D47"/>
    <w:rsid w:val="00607E49"/>
    <w:rsid w:val="00610139"/>
    <w:rsid w:val="00610184"/>
    <w:rsid w:val="00610193"/>
    <w:rsid w:val="0061043C"/>
    <w:rsid w:val="006104CC"/>
    <w:rsid w:val="00610803"/>
    <w:rsid w:val="006108B8"/>
    <w:rsid w:val="00610919"/>
    <w:rsid w:val="006109D4"/>
    <w:rsid w:val="00610A11"/>
    <w:rsid w:val="00610B9C"/>
    <w:rsid w:val="00610EB0"/>
    <w:rsid w:val="00611126"/>
    <w:rsid w:val="0061115B"/>
    <w:rsid w:val="006113FD"/>
    <w:rsid w:val="00611598"/>
    <w:rsid w:val="00611A92"/>
    <w:rsid w:val="00611C84"/>
    <w:rsid w:val="00611F82"/>
    <w:rsid w:val="0061279B"/>
    <w:rsid w:val="00612D37"/>
    <w:rsid w:val="006130A3"/>
    <w:rsid w:val="006134C2"/>
    <w:rsid w:val="00613A47"/>
    <w:rsid w:val="00613B07"/>
    <w:rsid w:val="00613FA1"/>
    <w:rsid w:val="006140C1"/>
    <w:rsid w:val="0061410C"/>
    <w:rsid w:val="00614235"/>
    <w:rsid w:val="006147EE"/>
    <w:rsid w:val="006152E8"/>
    <w:rsid w:val="006153CC"/>
    <w:rsid w:val="0061551D"/>
    <w:rsid w:val="006155F9"/>
    <w:rsid w:val="00615971"/>
    <w:rsid w:val="00615B44"/>
    <w:rsid w:val="00615FF2"/>
    <w:rsid w:val="0061656E"/>
    <w:rsid w:val="006168C7"/>
    <w:rsid w:val="00616F25"/>
    <w:rsid w:val="006172A3"/>
    <w:rsid w:val="00617456"/>
    <w:rsid w:val="006174B0"/>
    <w:rsid w:val="00617614"/>
    <w:rsid w:val="00617671"/>
    <w:rsid w:val="00617943"/>
    <w:rsid w:val="00617AEC"/>
    <w:rsid w:val="00617D03"/>
    <w:rsid w:val="00617E04"/>
    <w:rsid w:val="00620262"/>
    <w:rsid w:val="006202DA"/>
    <w:rsid w:val="006202E4"/>
    <w:rsid w:val="0062060A"/>
    <w:rsid w:val="006206A3"/>
    <w:rsid w:val="00620F61"/>
    <w:rsid w:val="006210B2"/>
    <w:rsid w:val="00621361"/>
    <w:rsid w:val="00621409"/>
    <w:rsid w:val="00621487"/>
    <w:rsid w:val="0062151F"/>
    <w:rsid w:val="00621778"/>
    <w:rsid w:val="00621B4C"/>
    <w:rsid w:val="00621B9D"/>
    <w:rsid w:val="00621BE7"/>
    <w:rsid w:val="00621E0E"/>
    <w:rsid w:val="0062207E"/>
    <w:rsid w:val="006221E9"/>
    <w:rsid w:val="0062227A"/>
    <w:rsid w:val="006223A0"/>
    <w:rsid w:val="0062265D"/>
    <w:rsid w:val="00622813"/>
    <w:rsid w:val="00622A2E"/>
    <w:rsid w:val="00622B59"/>
    <w:rsid w:val="00622C1B"/>
    <w:rsid w:val="00622D45"/>
    <w:rsid w:val="00622D60"/>
    <w:rsid w:val="00622D78"/>
    <w:rsid w:val="00623197"/>
    <w:rsid w:val="00623204"/>
    <w:rsid w:val="0062330F"/>
    <w:rsid w:val="00623317"/>
    <w:rsid w:val="00623325"/>
    <w:rsid w:val="006236F8"/>
    <w:rsid w:val="0062384F"/>
    <w:rsid w:val="00623889"/>
    <w:rsid w:val="00623AFD"/>
    <w:rsid w:val="00623E53"/>
    <w:rsid w:val="006240E8"/>
    <w:rsid w:val="00624146"/>
    <w:rsid w:val="0062424F"/>
    <w:rsid w:val="006246AB"/>
    <w:rsid w:val="00624B12"/>
    <w:rsid w:val="00624C01"/>
    <w:rsid w:val="00624CC8"/>
    <w:rsid w:val="00624F21"/>
    <w:rsid w:val="00625169"/>
    <w:rsid w:val="00625321"/>
    <w:rsid w:val="006259A2"/>
    <w:rsid w:val="00625ACB"/>
    <w:rsid w:val="00626294"/>
    <w:rsid w:val="0062641D"/>
    <w:rsid w:val="006264CC"/>
    <w:rsid w:val="006266B9"/>
    <w:rsid w:val="00626B60"/>
    <w:rsid w:val="00626C13"/>
    <w:rsid w:val="00626E1C"/>
    <w:rsid w:val="0062708F"/>
    <w:rsid w:val="00627501"/>
    <w:rsid w:val="00627BBB"/>
    <w:rsid w:val="00627C24"/>
    <w:rsid w:val="00627C52"/>
    <w:rsid w:val="00627CE6"/>
    <w:rsid w:val="0063006C"/>
    <w:rsid w:val="006302CF"/>
    <w:rsid w:val="00630350"/>
    <w:rsid w:val="00630497"/>
    <w:rsid w:val="006306C2"/>
    <w:rsid w:val="00630937"/>
    <w:rsid w:val="006309A8"/>
    <w:rsid w:val="00630B45"/>
    <w:rsid w:val="00630C62"/>
    <w:rsid w:val="00630D11"/>
    <w:rsid w:val="00630DA0"/>
    <w:rsid w:val="00630DDA"/>
    <w:rsid w:val="00630FC8"/>
    <w:rsid w:val="0063120A"/>
    <w:rsid w:val="00631390"/>
    <w:rsid w:val="00631850"/>
    <w:rsid w:val="00632086"/>
    <w:rsid w:val="0063295B"/>
    <w:rsid w:val="00632FF9"/>
    <w:rsid w:val="0063318E"/>
    <w:rsid w:val="00633280"/>
    <w:rsid w:val="00633532"/>
    <w:rsid w:val="00633539"/>
    <w:rsid w:val="0063389C"/>
    <w:rsid w:val="00634084"/>
    <w:rsid w:val="006340A2"/>
    <w:rsid w:val="00634137"/>
    <w:rsid w:val="006344CB"/>
    <w:rsid w:val="006345A8"/>
    <w:rsid w:val="0063462D"/>
    <w:rsid w:val="00634728"/>
    <w:rsid w:val="00634974"/>
    <w:rsid w:val="00634F95"/>
    <w:rsid w:val="00634FF8"/>
    <w:rsid w:val="00635152"/>
    <w:rsid w:val="006351B1"/>
    <w:rsid w:val="00635612"/>
    <w:rsid w:val="006357D0"/>
    <w:rsid w:val="0063587C"/>
    <w:rsid w:val="006358EE"/>
    <w:rsid w:val="00635B9A"/>
    <w:rsid w:val="00635BA8"/>
    <w:rsid w:val="00635C38"/>
    <w:rsid w:val="00635DA6"/>
    <w:rsid w:val="00636465"/>
    <w:rsid w:val="0063651D"/>
    <w:rsid w:val="0063654F"/>
    <w:rsid w:val="00636A6E"/>
    <w:rsid w:val="00636B0D"/>
    <w:rsid w:val="00636C39"/>
    <w:rsid w:val="00637281"/>
    <w:rsid w:val="00637732"/>
    <w:rsid w:val="00640013"/>
    <w:rsid w:val="0064003B"/>
    <w:rsid w:val="00640737"/>
    <w:rsid w:val="00640C40"/>
    <w:rsid w:val="00640CE4"/>
    <w:rsid w:val="00640D66"/>
    <w:rsid w:val="00640EBB"/>
    <w:rsid w:val="006411FC"/>
    <w:rsid w:val="0064134A"/>
    <w:rsid w:val="006414CC"/>
    <w:rsid w:val="0064167C"/>
    <w:rsid w:val="006418AA"/>
    <w:rsid w:val="00642076"/>
    <w:rsid w:val="00642265"/>
    <w:rsid w:val="006425ED"/>
    <w:rsid w:val="0064264D"/>
    <w:rsid w:val="00642AC6"/>
    <w:rsid w:val="00642AE4"/>
    <w:rsid w:val="00642B0F"/>
    <w:rsid w:val="00642D67"/>
    <w:rsid w:val="00642E51"/>
    <w:rsid w:val="006431EB"/>
    <w:rsid w:val="00643214"/>
    <w:rsid w:val="006432BA"/>
    <w:rsid w:val="00643336"/>
    <w:rsid w:val="006433E1"/>
    <w:rsid w:val="0064359F"/>
    <w:rsid w:val="00643709"/>
    <w:rsid w:val="0064371C"/>
    <w:rsid w:val="00643890"/>
    <w:rsid w:val="00644758"/>
    <w:rsid w:val="00644842"/>
    <w:rsid w:val="0064488E"/>
    <w:rsid w:val="00644997"/>
    <w:rsid w:val="0064545D"/>
    <w:rsid w:val="006454C7"/>
    <w:rsid w:val="006455E9"/>
    <w:rsid w:val="00645985"/>
    <w:rsid w:val="00645D14"/>
    <w:rsid w:val="00645D1F"/>
    <w:rsid w:val="00645D23"/>
    <w:rsid w:val="00645F72"/>
    <w:rsid w:val="0064671B"/>
    <w:rsid w:val="00646732"/>
    <w:rsid w:val="00646A45"/>
    <w:rsid w:val="00646BFE"/>
    <w:rsid w:val="00646C11"/>
    <w:rsid w:val="00646F3E"/>
    <w:rsid w:val="00647378"/>
    <w:rsid w:val="00647738"/>
    <w:rsid w:val="00647916"/>
    <w:rsid w:val="006479F1"/>
    <w:rsid w:val="00647BD9"/>
    <w:rsid w:val="00647DD1"/>
    <w:rsid w:val="00650053"/>
    <w:rsid w:val="006502C4"/>
    <w:rsid w:val="00650425"/>
    <w:rsid w:val="00650560"/>
    <w:rsid w:val="006507EC"/>
    <w:rsid w:val="006509CE"/>
    <w:rsid w:val="00650D5D"/>
    <w:rsid w:val="00650ED1"/>
    <w:rsid w:val="00651186"/>
    <w:rsid w:val="006512AD"/>
    <w:rsid w:val="006513AC"/>
    <w:rsid w:val="006514E4"/>
    <w:rsid w:val="00651506"/>
    <w:rsid w:val="00651629"/>
    <w:rsid w:val="00651924"/>
    <w:rsid w:val="00651A5B"/>
    <w:rsid w:val="00651A76"/>
    <w:rsid w:val="00651AF3"/>
    <w:rsid w:val="00651C86"/>
    <w:rsid w:val="00651EAF"/>
    <w:rsid w:val="00652362"/>
    <w:rsid w:val="006523CF"/>
    <w:rsid w:val="0065262D"/>
    <w:rsid w:val="006526C9"/>
    <w:rsid w:val="00652C84"/>
    <w:rsid w:val="00652CAF"/>
    <w:rsid w:val="006532B5"/>
    <w:rsid w:val="00653B84"/>
    <w:rsid w:val="00653C17"/>
    <w:rsid w:val="00653E0D"/>
    <w:rsid w:val="006540F9"/>
    <w:rsid w:val="0065418A"/>
    <w:rsid w:val="0065437B"/>
    <w:rsid w:val="00654DF8"/>
    <w:rsid w:val="00654EA3"/>
    <w:rsid w:val="00655169"/>
    <w:rsid w:val="006552AE"/>
    <w:rsid w:val="00655CB4"/>
    <w:rsid w:val="00655E27"/>
    <w:rsid w:val="00656186"/>
    <w:rsid w:val="006568DF"/>
    <w:rsid w:val="00656C71"/>
    <w:rsid w:val="00657351"/>
    <w:rsid w:val="00657499"/>
    <w:rsid w:val="00657A44"/>
    <w:rsid w:val="00657C7D"/>
    <w:rsid w:val="00657D2C"/>
    <w:rsid w:val="00657DB5"/>
    <w:rsid w:val="00660026"/>
    <w:rsid w:val="0066007F"/>
    <w:rsid w:val="0066011D"/>
    <w:rsid w:val="006602B6"/>
    <w:rsid w:val="00660725"/>
    <w:rsid w:val="00660744"/>
    <w:rsid w:val="00660CCF"/>
    <w:rsid w:val="00660CED"/>
    <w:rsid w:val="0066110D"/>
    <w:rsid w:val="00661153"/>
    <w:rsid w:val="00661387"/>
    <w:rsid w:val="006616E5"/>
    <w:rsid w:val="006618B5"/>
    <w:rsid w:val="006619F0"/>
    <w:rsid w:val="00661E70"/>
    <w:rsid w:val="00661FFB"/>
    <w:rsid w:val="006621B0"/>
    <w:rsid w:val="00662229"/>
    <w:rsid w:val="006624A5"/>
    <w:rsid w:val="00662524"/>
    <w:rsid w:val="006627F7"/>
    <w:rsid w:val="00662B7C"/>
    <w:rsid w:val="00662D82"/>
    <w:rsid w:val="0066340F"/>
    <w:rsid w:val="00663462"/>
    <w:rsid w:val="00663514"/>
    <w:rsid w:val="00663531"/>
    <w:rsid w:val="0066366F"/>
    <w:rsid w:val="00663807"/>
    <w:rsid w:val="00663835"/>
    <w:rsid w:val="0066384A"/>
    <w:rsid w:val="0066421B"/>
    <w:rsid w:val="00664258"/>
    <w:rsid w:val="006646C9"/>
    <w:rsid w:val="00664794"/>
    <w:rsid w:val="00664815"/>
    <w:rsid w:val="00664834"/>
    <w:rsid w:val="00664904"/>
    <w:rsid w:val="00664C48"/>
    <w:rsid w:val="00664FF8"/>
    <w:rsid w:val="00665214"/>
    <w:rsid w:val="00665404"/>
    <w:rsid w:val="00665A7B"/>
    <w:rsid w:val="00666081"/>
    <w:rsid w:val="006662C9"/>
    <w:rsid w:val="00666378"/>
    <w:rsid w:val="00666641"/>
    <w:rsid w:val="00666919"/>
    <w:rsid w:val="00666A82"/>
    <w:rsid w:val="00666BCB"/>
    <w:rsid w:val="00666D3B"/>
    <w:rsid w:val="00667710"/>
    <w:rsid w:val="006677B7"/>
    <w:rsid w:val="00667869"/>
    <w:rsid w:val="00667991"/>
    <w:rsid w:val="00667AD7"/>
    <w:rsid w:val="00670121"/>
    <w:rsid w:val="006701C9"/>
    <w:rsid w:val="006701ED"/>
    <w:rsid w:val="006707C5"/>
    <w:rsid w:val="0067083E"/>
    <w:rsid w:val="00670CF3"/>
    <w:rsid w:val="00670E50"/>
    <w:rsid w:val="00671210"/>
    <w:rsid w:val="006712E3"/>
    <w:rsid w:val="00671324"/>
    <w:rsid w:val="00671342"/>
    <w:rsid w:val="00671AA1"/>
    <w:rsid w:val="00671C82"/>
    <w:rsid w:val="00671D00"/>
    <w:rsid w:val="00671D1A"/>
    <w:rsid w:val="00671DB1"/>
    <w:rsid w:val="00671E34"/>
    <w:rsid w:val="00671FE3"/>
    <w:rsid w:val="0067251F"/>
    <w:rsid w:val="00672669"/>
    <w:rsid w:val="00672689"/>
    <w:rsid w:val="006729EA"/>
    <w:rsid w:val="006731C7"/>
    <w:rsid w:val="006734D1"/>
    <w:rsid w:val="006735D5"/>
    <w:rsid w:val="006737BD"/>
    <w:rsid w:val="00673ABA"/>
    <w:rsid w:val="00673B29"/>
    <w:rsid w:val="00673F99"/>
    <w:rsid w:val="0067409E"/>
    <w:rsid w:val="00674448"/>
    <w:rsid w:val="006744D9"/>
    <w:rsid w:val="0067459B"/>
    <w:rsid w:val="006748FD"/>
    <w:rsid w:val="0067491B"/>
    <w:rsid w:val="00674DE3"/>
    <w:rsid w:val="00675157"/>
    <w:rsid w:val="006753F9"/>
    <w:rsid w:val="0067545B"/>
    <w:rsid w:val="0067587A"/>
    <w:rsid w:val="00675C67"/>
    <w:rsid w:val="0067615B"/>
    <w:rsid w:val="006761C9"/>
    <w:rsid w:val="006762DB"/>
    <w:rsid w:val="00676460"/>
    <w:rsid w:val="006764B0"/>
    <w:rsid w:val="006766A2"/>
    <w:rsid w:val="00676C01"/>
    <w:rsid w:val="00676C2C"/>
    <w:rsid w:val="00676C65"/>
    <w:rsid w:val="00676D3E"/>
    <w:rsid w:val="006774A0"/>
    <w:rsid w:val="0067754A"/>
    <w:rsid w:val="00677B26"/>
    <w:rsid w:val="00677F1C"/>
    <w:rsid w:val="00677FA7"/>
    <w:rsid w:val="00677FA9"/>
    <w:rsid w:val="0068028C"/>
    <w:rsid w:val="006805A4"/>
    <w:rsid w:val="00680613"/>
    <w:rsid w:val="00680679"/>
    <w:rsid w:val="006808D7"/>
    <w:rsid w:val="0068096F"/>
    <w:rsid w:val="00680982"/>
    <w:rsid w:val="00680C32"/>
    <w:rsid w:val="00680F78"/>
    <w:rsid w:val="00681142"/>
    <w:rsid w:val="0068155E"/>
    <w:rsid w:val="00681769"/>
    <w:rsid w:val="00681881"/>
    <w:rsid w:val="00681A60"/>
    <w:rsid w:val="00681B1E"/>
    <w:rsid w:val="00681D76"/>
    <w:rsid w:val="00681EC2"/>
    <w:rsid w:val="00681F61"/>
    <w:rsid w:val="00681F9C"/>
    <w:rsid w:val="00681FDC"/>
    <w:rsid w:val="0068216B"/>
    <w:rsid w:val="006822E7"/>
    <w:rsid w:val="00682456"/>
    <w:rsid w:val="00682725"/>
    <w:rsid w:val="0068296E"/>
    <w:rsid w:val="00682F32"/>
    <w:rsid w:val="0068344B"/>
    <w:rsid w:val="00683542"/>
    <w:rsid w:val="00683877"/>
    <w:rsid w:val="00683AB5"/>
    <w:rsid w:val="00683BDB"/>
    <w:rsid w:val="00683CDE"/>
    <w:rsid w:val="00683EBF"/>
    <w:rsid w:val="00683FBF"/>
    <w:rsid w:val="006841D2"/>
    <w:rsid w:val="006845AC"/>
    <w:rsid w:val="00684806"/>
    <w:rsid w:val="00684813"/>
    <w:rsid w:val="006849E2"/>
    <w:rsid w:val="00684A96"/>
    <w:rsid w:val="00684AB8"/>
    <w:rsid w:val="00684B3E"/>
    <w:rsid w:val="006851C2"/>
    <w:rsid w:val="00685366"/>
    <w:rsid w:val="00685385"/>
    <w:rsid w:val="00685480"/>
    <w:rsid w:val="006858E6"/>
    <w:rsid w:val="00685BB7"/>
    <w:rsid w:val="0068619F"/>
    <w:rsid w:val="006865C8"/>
    <w:rsid w:val="00686B48"/>
    <w:rsid w:val="00686D46"/>
    <w:rsid w:val="00686E7B"/>
    <w:rsid w:val="00687038"/>
    <w:rsid w:val="0068714E"/>
    <w:rsid w:val="00687181"/>
    <w:rsid w:val="006872F5"/>
    <w:rsid w:val="0068742D"/>
    <w:rsid w:val="0068748F"/>
    <w:rsid w:val="00687A55"/>
    <w:rsid w:val="00687CD1"/>
    <w:rsid w:val="00687E9D"/>
    <w:rsid w:val="0069011E"/>
    <w:rsid w:val="006901D2"/>
    <w:rsid w:val="00690291"/>
    <w:rsid w:val="00690415"/>
    <w:rsid w:val="006904FD"/>
    <w:rsid w:val="006908D6"/>
    <w:rsid w:val="0069092F"/>
    <w:rsid w:val="00690A84"/>
    <w:rsid w:val="00690AC0"/>
    <w:rsid w:val="00690E44"/>
    <w:rsid w:val="006911FE"/>
    <w:rsid w:val="00691270"/>
    <w:rsid w:val="0069134E"/>
    <w:rsid w:val="00691391"/>
    <w:rsid w:val="00691466"/>
    <w:rsid w:val="0069161A"/>
    <w:rsid w:val="006917B3"/>
    <w:rsid w:val="0069194E"/>
    <w:rsid w:val="00691BE7"/>
    <w:rsid w:val="00691F41"/>
    <w:rsid w:val="006924D9"/>
    <w:rsid w:val="006925DA"/>
    <w:rsid w:val="006926BE"/>
    <w:rsid w:val="0069279B"/>
    <w:rsid w:val="006929F7"/>
    <w:rsid w:val="00692A8F"/>
    <w:rsid w:val="00692B3A"/>
    <w:rsid w:val="00692CF4"/>
    <w:rsid w:val="00692ECD"/>
    <w:rsid w:val="006930CC"/>
    <w:rsid w:val="00693155"/>
    <w:rsid w:val="0069374A"/>
    <w:rsid w:val="00693920"/>
    <w:rsid w:val="00693976"/>
    <w:rsid w:val="006939FF"/>
    <w:rsid w:val="006941B5"/>
    <w:rsid w:val="00694653"/>
    <w:rsid w:val="006946DC"/>
    <w:rsid w:val="00694AB8"/>
    <w:rsid w:val="00694C67"/>
    <w:rsid w:val="00694EFB"/>
    <w:rsid w:val="0069511A"/>
    <w:rsid w:val="006952F0"/>
    <w:rsid w:val="00695449"/>
    <w:rsid w:val="006956BA"/>
    <w:rsid w:val="006956E1"/>
    <w:rsid w:val="00695C26"/>
    <w:rsid w:val="00695C29"/>
    <w:rsid w:val="00695DFB"/>
    <w:rsid w:val="00695EF7"/>
    <w:rsid w:val="0069625B"/>
    <w:rsid w:val="0069632E"/>
    <w:rsid w:val="006964DC"/>
    <w:rsid w:val="006966AC"/>
    <w:rsid w:val="006967A2"/>
    <w:rsid w:val="0069699D"/>
    <w:rsid w:val="00696B5E"/>
    <w:rsid w:val="00696B8E"/>
    <w:rsid w:val="00696C98"/>
    <w:rsid w:val="00696E41"/>
    <w:rsid w:val="00696EB0"/>
    <w:rsid w:val="00696FF7"/>
    <w:rsid w:val="006970CD"/>
    <w:rsid w:val="006971F3"/>
    <w:rsid w:val="00697AF4"/>
    <w:rsid w:val="00697B5E"/>
    <w:rsid w:val="00697F57"/>
    <w:rsid w:val="006A004C"/>
    <w:rsid w:val="006A0C45"/>
    <w:rsid w:val="006A0D6E"/>
    <w:rsid w:val="006A13FF"/>
    <w:rsid w:val="006A140D"/>
    <w:rsid w:val="006A1AA4"/>
    <w:rsid w:val="006A1C1B"/>
    <w:rsid w:val="006A1EA9"/>
    <w:rsid w:val="006A2126"/>
    <w:rsid w:val="006A22A6"/>
    <w:rsid w:val="006A278C"/>
    <w:rsid w:val="006A28A4"/>
    <w:rsid w:val="006A2AF3"/>
    <w:rsid w:val="006A2DB2"/>
    <w:rsid w:val="006A2F3C"/>
    <w:rsid w:val="006A2FB8"/>
    <w:rsid w:val="006A38C0"/>
    <w:rsid w:val="006A3D7A"/>
    <w:rsid w:val="006A4217"/>
    <w:rsid w:val="006A445A"/>
    <w:rsid w:val="006A44EF"/>
    <w:rsid w:val="006A4718"/>
    <w:rsid w:val="006A4910"/>
    <w:rsid w:val="006A4AC5"/>
    <w:rsid w:val="006A4C20"/>
    <w:rsid w:val="006A4EBE"/>
    <w:rsid w:val="006A4F81"/>
    <w:rsid w:val="006A5586"/>
    <w:rsid w:val="006A56D0"/>
    <w:rsid w:val="006A5AE0"/>
    <w:rsid w:val="006A5B17"/>
    <w:rsid w:val="006A5F0D"/>
    <w:rsid w:val="006A6158"/>
    <w:rsid w:val="006A673F"/>
    <w:rsid w:val="006A68F2"/>
    <w:rsid w:val="006A6B56"/>
    <w:rsid w:val="006A6B93"/>
    <w:rsid w:val="006A6C8F"/>
    <w:rsid w:val="006A6E3B"/>
    <w:rsid w:val="006A7270"/>
    <w:rsid w:val="006A7445"/>
    <w:rsid w:val="006A7527"/>
    <w:rsid w:val="006A771B"/>
    <w:rsid w:val="006A7BB9"/>
    <w:rsid w:val="006A7EB8"/>
    <w:rsid w:val="006B0026"/>
    <w:rsid w:val="006B05B5"/>
    <w:rsid w:val="006B0748"/>
    <w:rsid w:val="006B08DC"/>
    <w:rsid w:val="006B0940"/>
    <w:rsid w:val="006B0D7C"/>
    <w:rsid w:val="006B0EF7"/>
    <w:rsid w:val="006B0FFF"/>
    <w:rsid w:val="006B1595"/>
    <w:rsid w:val="006B175D"/>
    <w:rsid w:val="006B17CF"/>
    <w:rsid w:val="006B19E1"/>
    <w:rsid w:val="006B1AD8"/>
    <w:rsid w:val="006B1CE5"/>
    <w:rsid w:val="006B1F01"/>
    <w:rsid w:val="006B2102"/>
    <w:rsid w:val="006B21C0"/>
    <w:rsid w:val="006B2625"/>
    <w:rsid w:val="006B2C38"/>
    <w:rsid w:val="006B2C51"/>
    <w:rsid w:val="006B30AC"/>
    <w:rsid w:val="006B3470"/>
    <w:rsid w:val="006B36A4"/>
    <w:rsid w:val="006B3984"/>
    <w:rsid w:val="006B3AB5"/>
    <w:rsid w:val="006B3BC4"/>
    <w:rsid w:val="006B3DBC"/>
    <w:rsid w:val="006B4023"/>
    <w:rsid w:val="006B40FC"/>
    <w:rsid w:val="006B41E5"/>
    <w:rsid w:val="006B454F"/>
    <w:rsid w:val="006B45E6"/>
    <w:rsid w:val="006B472D"/>
    <w:rsid w:val="006B492B"/>
    <w:rsid w:val="006B4C69"/>
    <w:rsid w:val="006B4F8B"/>
    <w:rsid w:val="006B4FA4"/>
    <w:rsid w:val="006B53C9"/>
    <w:rsid w:val="006B54FD"/>
    <w:rsid w:val="006B5B38"/>
    <w:rsid w:val="006B5CAF"/>
    <w:rsid w:val="006B5DFA"/>
    <w:rsid w:val="006B5E03"/>
    <w:rsid w:val="006B5FA1"/>
    <w:rsid w:val="006B6215"/>
    <w:rsid w:val="006B6231"/>
    <w:rsid w:val="006B6361"/>
    <w:rsid w:val="006B6AF0"/>
    <w:rsid w:val="006B6C57"/>
    <w:rsid w:val="006B6E53"/>
    <w:rsid w:val="006B6EE9"/>
    <w:rsid w:val="006B7218"/>
    <w:rsid w:val="006B7553"/>
    <w:rsid w:val="006B76D9"/>
    <w:rsid w:val="006B7835"/>
    <w:rsid w:val="006B786D"/>
    <w:rsid w:val="006C0175"/>
    <w:rsid w:val="006C0191"/>
    <w:rsid w:val="006C0381"/>
    <w:rsid w:val="006C0782"/>
    <w:rsid w:val="006C0A77"/>
    <w:rsid w:val="006C0B1F"/>
    <w:rsid w:val="006C0D04"/>
    <w:rsid w:val="006C0DAC"/>
    <w:rsid w:val="006C0DC4"/>
    <w:rsid w:val="006C190B"/>
    <w:rsid w:val="006C1D87"/>
    <w:rsid w:val="006C20A0"/>
    <w:rsid w:val="006C2180"/>
    <w:rsid w:val="006C287F"/>
    <w:rsid w:val="006C300E"/>
    <w:rsid w:val="006C335B"/>
    <w:rsid w:val="006C34F5"/>
    <w:rsid w:val="006C3A52"/>
    <w:rsid w:val="006C3CAF"/>
    <w:rsid w:val="006C3D0A"/>
    <w:rsid w:val="006C3D75"/>
    <w:rsid w:val="006C3EB2"/>
    <w:rsid w:val="006C3F15"/>
    <w:rsid w:val="006C43B9"/>
    <w:rsid w:val="006C45C9"/>
    <w:rsid w:val="006C4708"/>
    <w:rsid w:val="006C48B0"/>
    <w:rsid w:val="006C48CC"/>
    <w:rsid w:val="006C4BD4"/>
    <w:rsid w:val="006C4FE7"/>
    <w:rsid w:val="006C5012"/>
    <w:rsid w:val="006C5242"/>
    <w:rsid w:val="006C528D"/>
    <w:rsid w:val="006C56A4"/>
    <w:rsid w:val="006C5873"/>
    <w:rsid w:val="006C5977"/>
    <w:rsid w:val="006C5CCD"/>
    <w:rsid w:val="006C5D1A"/>
    <w:rsid w:val="006C6248"/>
    <w:rsid w:val="006C62B3"/>
    <w:rsid w:val="006C62CC"/>
    <w:rsid w:val="006C64AF"/>
    <w:rsid w:val="006C6804"/>
    <w:rsid w:val="006C68E1"/>
    <w:rsid w:val="006C6B2C"/>
    <w:rsid w:val="006C6BF3"/>
    <w:rsid w:val="006C6D1F"/>
    <w:rsid w:val="006C7382"/>
    <w:rsid w:val="006C7409"/>
    <w:rsid w:val="006C765C"/>
    <w:rsid w:val="006C77B5"/>
    <w:rsid w:val="006C79B2"/>
    <w:rsid w:val="006C7A57"/>
    <w:rsid w:val="006C7C4F"/>
    <w:rsid w:val="006C7F83"/>
    <w:rsid w:val="006D04C7"/>
    <w:rsid w:val="006D05D7"/>
    <w:rsid w:val="006D07D6"/>
    <w:rsid w:val="006D0BD2"/>
    <w:rsid w:val="006D0E5D"/>
    <w:rsid w:val="006D1530"/>
    <w:rsid w:val="006D1541"/>
    <w:rsid w:val="006D15ED"/>
    <w:rsid w:val="006D1676"/>
    <w:rsid w:val="006D1684"/>
    <w:rsid w:val="006D1D89"/>
    <w:rsid w:val="006D1E0C"/>
    <w:rsid w:val="006D1E3E"/>
    <w:rsid w:val="006D1E64"/>
    <w:rsid w:val="006D1ED4"/>
    <w:rsid w:val="006D24CE"/>
    <w:rsid w:val="006D2CFD"/>
    <w:rsid w:val="006D30ED"/>
    <w:rsid w:val="006D313D"/>
    <w:rsid w:val="006D317D"/>
    <w:rsid w:val="006D3387"/>
    <w:rsid w:val="006D360C"/>
    <w:rsid w:val="006D3CEF"/>
    <w:rsid w:val="006D414F"/>
    <w:rsid w:val="006D44AF"/>
    <w:rsid w:val="006D4A74"/>
    <w:rsid w:val="006D513F"/>
    <w:rsid w:val="006D526C"/>
    <w:rsid w:val="006D54BD"/>
    <w:rsid w:val="006D59A3"/>
    <w:rsid w:val="006D59BC"/>
    <w:rsid w:val="006D59CD"/>
    <w:rsid w:val="006D5AC9"/>
    <w:rsid w:val="006D5F9B"/>
    <w:rsid w:val="006D660D"/>
    <w:rsid w:val="006D66ED"/>
    <w:rsid w:val="006D683B"/>
    <w:rsid w:val="006D6A23"/>
    <w:rsid w:val="006D6A25"/>
    <w:rsid w:val="006D6A78"/>
    <w:rsid w:val="006D7652"/>
    <w:rsid w:val="006D782B"/>
    <w:rsid w:val="006D7A3A"/>
    <w:rsid w:val="006D7AAE"/>
    <w:rsid w:val="006D7C46"/>
    <w:rsid w:val="006D7DBB"/>
    <w:rsid w:val="006D7FE1"/>
    <w:rsid w:val="006E035B"/>
    <w:rsid w:val="006E03F0"/>
    <w:rsid w:val="006E062D"/>
    <w:rsid w:val="006E07AA"/>
    <w:rsid w:val="006E0F36"/>
    <w:rsid w:val="006E0F3E"/>
    <w:rsid w:val="006E0FAB"/>
    <w:rsid w:val="006E112A"/>
    <w:rsid w:val="006E1343"/>
    <w:rsid w:val="006E1785"/>
    <w:rsid w:val="006E17C2"/>
    <w:rsid w:val="006E1D8D"/>
    <w:rsid w:val="006E1D96"/>
    <w:rsid w:val="006E1DB9"/>
    <w:rsid w:val="006E2285"/>
    <w:rsid w:val="006E249B"/>
    <w:rsid w:val="006E2612"/>
    <w:rsid w:val="006E26F3"/>
    <w:rsid w:val="006E29EF"/>
    <w:rsid w:val="006E2A72"/>
    <w:rsid w:val="006E2D0D"/>
    <w:rsid w:val="006E3021"/>
    <w:rsid w:val="006E3100"/>
    <w:rsid w:val="006E3494"/>
    <w:rsid w:val="006E35D6"/>
    <w:rsid w:val="006E3677"/>
    <w:rsid w:val="006E373D"/>
    <w:rsid w:val="006E3B56"/>
    <w:rsid w:val="006E3D4A"/>
    <w:rsid w:val="006E3DE7"/>
    <w:rsid w:val="006E486D"/>
    <w:rsid w:val="006E496E"/>
    <w:rsid w:val="006E4E60"/>
    <w:rsid w:val="006E509E"/>
    <w:rsid w:val="006E550C"/>
    <w:rsid w:val="006E5521"/>
    <w:rsid w:val="006E5527"/>
    <w:rsid w:val="006E57A3"/>
    <w:rsid w:val="006E5AFE"/>
    <w:rsid w:val="006E5C84"/>
    <w:rsid w:val="006E5DBA"/>
    <w:rsid w:val="006E5E60"/>
    <w:rsid w:val="006E5F2B"/>
    <w:rsid w:val="006E6084"/>
    <w:rsid w:val="006E613F"/>
    <w:rsid w:val="006E618B"/>
    <w:rsid w:val="006E699A"/>
    <w:rsid w:val="006E6A7A"/>
    <w:rsid w:val="006E6BC9"/>
    <w:rsid w:val="006E6E5E"/>
    <w:rsid w:val="006E6F1F"/>
    <w:rsid w:val="006E7219"/>
    <w:rsid w:val="006E786B"/>
    <w:rsid w:val="006E78D6"/>
    <w:rsid w:val="006E7909"/>
    <w:rsid w:val="006E7C59"/>
    <w:rsid w:val="006E7D43"/>
    <w:rsid w:val="006E7E6D"/>
    <w:rsid w:val="006E7E97"/>
    <w:rsid w:val="006F017C"/>
    <w:rsid w:val="006F0271"/>
    <w:rsid w:val="006F04F7"/>
    <w:rsid w:val="006F051D"/>
    <w:rsid w:val="006F0744"/>
    <w:rsid w:val="006F0A2C"/>
    <w:rsid w:val="006F0FEC"/>
    <w:rsid w:val="006F1127"/>
    <w:rsid w:val="006F1698"/>
    <w:rsid w:val="006F1770"/>
    <w:rsid w:val="006F1820"/>
    <w:rsid w:val="006F195A"/>
    <w:rsid w:val="006F1E07"/>
    <w:rsid w:val="006F1EF7"/>
    <w:rsid w:val="006F1F6C"/>
    <w:rsid w:val="006F239E"/>
    <w:rsid w:val="006F23B1"/>
    <w:rsid w:val="006F2BC6"/>
    <w:rsid w:val="006F2CA3"/>
    <w:rsid w:val="006F2DA4"/>
    <w:rsid w:val="006F2DA7"/>
    <w:rsid w:val="006F2DDF"/>
    <w:rsid w:val="006F3168"/>
    <w:rsid w:val="006F31F2"/>
    <w:rsid w:val="006F3293"/>
    <w:rsid w:val="006F34CA"/>
    <w:rsid w:val="006F36D9"/>
    <w:rsid w:val="006F39D1"/>
    <w:rsid w:val="006F3C98"/>
    <w:rsid w:val="006F3CC0"/>
    <w:rsid w:val="006F3CF2"/>
    <w:rsid w:val="006F3E0E"/>
    <w:rsid w:val="006F3F2B"/>
    <w:rsid w:val="006F3F55"/>
    <w:rsid w:val="006F4271"/>
    <w:rsid w:val="006F461F"/>
    <w:rsid w:val="006F4705"/>
    <w:rsid w:val="006F4868"/>
    <w:rsid w:val="006F4BB3"/>
    <w:rsid w:val="006F4EA0"/>
    <w:rsid w:val="006F5047"/>
    <w:rsid w:val="006F5471"/>
    <w:rsid w:val="006F5782"/>
    <w:rsid w:val="006F5A02"/>
    <w:rsid w:val="006F5A4C"/>
    <w:rsid w:val="006F5DCB"/>
    <w:rsid w:val="006F6118"/>
    <w:rsid w:val="006F6323"/>
    <w:rsid w:val="006F644C"/>
    <w:rsid w:val="006F6479"/>
    <w:rsid w:val="006F64E4"/>
    <w:rsid w:val="006F64EA"/>
    <w:rsid w:val="006F6670"/>
    <w:rsid w:val="006F66A8"/>
    <w:rsid w:val="006F6815"/>
    <w:rsid w:val="006F68FC"/>
    <w:rsid w:val="006F69BD"/>
    <w:rsid w:val="006F6BC9"/>
    <w:rsid w:val="006F6BE1"/>
    <w:rsid w:val="006F6FEF"/>
    <w:rsid w:val="006F7103"/>
    <w:rsid w:val="006F730E"/>
    <w:rsid w:val="006F7600"/>
    <w:rsid w:val="006F7731"/>
    <w:rsid w:val="006F7B49"/>
    <w:rsid w:val="006F7EAC"/>
    <w:rsid w:val="007002B1"/>
    <w:rsid w:val="0070031A"/>
    <w:rsid w:val="007007A0"/>
    <w:rsid w:val="00700BB2"/>
    <w:rsid w:val="00700C6B"/>
    <w:rsid w:val="00700C76"/>
    <w:rsid w:val="00700E7A"/>
    <w:rsid w:val="007012F4"/>
    <w:rsid w:val="0070153A"/>
    <w:rsid w:val="0070186D"/>
    <w:rsid w:val="00701FB5"/>
    <w:rsid w:val="00702162"/>
    <w:rsid w:val="00702237"/>
    <w:rsid w:val="00702292"/>
    <w:rsid w:val="00702530"/>
    <w:rsid w:val="007026FF"/>
    <w:rsid w:val="00702F29"/>
    <w:rsid w:val="0070314D"/>
    <w:rsid w:val="007033C5"/>
    <w:rsid w:val="00703750"/>
    <w:rsid w:val="007037EF"/>
    <w:rsid w:val="00703834"/>
    <w:rsid w:val="0070384D"/>
    <w:rsid w:val="00703940"/>
    <w:rsid w:val="00703AA3"/>
    <w:rsid w:val="00703ED7"/>
    <w:rsid w:val="00703FFB"/>
    <w:rsid w:val="00704047"/>
    <w:rsid w:val="00704052"/>
    <w:rsid w:val="007046BD"/>
    <w:rsid w:val="00704D43"/>
    <w:rsid w:val="00704DA7"/>
    <w:rsid w:val="00704E25"/>
    <w:rsid w:val="00704EB7"/>
    <w:rsid w:val="00704FDC"/>
    <w:rsid w:val="00704FF5"/>
    <w:rsid w:val="00705347"/>
    <w:rsid w:val="00705448"/>
    <w:rsid w:val="00705566"/>
    <w:rsid w:val="0070570F"/>
    <w:rsid w:val="00705742"/>
    <w:rsid w:val="00705829"/>
    <w:rsid w:val="00705C12"/>
    <w:rsid w:val="007069BB"/>
    <w:rsid w:val="007069CC"/>
    <w:rsid w:val="00706EE9"/>
    <w:rsid w:val="00706FF6"/>
    <w:rsid w:val="007070A9"/>
    <w:rsid w:val="0070715F"/>
    <w:rsid w:val="0070733C"/>
    <w:rsid w:val="00707500"/>
    <w:rsid w:val="0070763C"/>
    <w:rsid w:val="007079D1"/>
    <w:rsid w:val="00707B34"/>
    <w:rsid w:val="00707DCE"/>
    <w:rsid w:val="00707EB0"/>
    <w:rsid w:val="00710022"/>
    <w:rsid w:val="007100A8"/>
    <w:rsid w:val="00710174"/>
    <w:rsid w:val="00710205"/>
    <w:rsid w:val="007104FE"/>
    <w:rsid w:val="007108EB"/>
    <w:rsid w:val="00710F01"/>
    <w:rsid w:val="00710F2C"/>
    <w:rsid w:val="00710FFC"/>
    <w:rsid w:val="007112A6"/>
    <w:rsid w:val="0071131E"/>
    <w:rsid w:val="00711355"/>
    <w:rsid w:val="00711446"/>
    <w:rsid w:val="007114DC"/>
    <w:rsid w:val="0071167E"/>
    <w:rsid w:val="00711AF3"/>
    <w:rsid w:val="00711B0C"/>
    <w:rsid w:val="00711B6E"/>
    <w:rsid w:val="00711CEB"/>
    <w:rsid w:val="00711F81"/>
    <w:rsid w:val="007120A0"/>
    <w:rsid w:val="007121A2"/>
    <w:rsid w:val="00712461"/>
    <w:rsid w:val="007124D8"/>
    <w:rsid w:val="0071277F"/>
    <w:rsid w:val="00712B54"/>
    <w:rsid w:val="00712D0F"/>
    <w:rsid w:val="00712E8A"/>
    <w:rsid w:val="0071333C"/>
    <w:rsid w:val="0071384C"/>
    <w:rsid w:val="00713981"/>
    <w:rsid w:val="00713AA9"/>
    <w:rsid w:val="00714870"/>
    <w:rsid w:val="007152BB"/>
    <w:rsid w:val="007153EC"/>
    <w:rsid w:val="0071599C"/>
    <w:rsid w:val="00715C91"/>
    <w:rsid w:val="0071614D"/>
    <w:rsid w:val="007162FC"/>
    <w:rsid w:val="0071647F"/>
    <w:rsid w:val="00716968"/>
    <w:rsid w:val="00716BAB"/>
    <w:rsid w:val="00716EB4"/>
    <w:rsid w:val="007171B8"/>
    <w:rsid w:val="00717653"/>
    <w:rsid w:val="007176D6"/>
    <w:rsid w:val="007177A4"/>
    <w:rsid w:val="0071794A"/>
    <w:rsid w:val="00717A3E"/>
    <w:rsid w:val="00717FE5"/>
    <w:rsid w:val="00720327"/>
    <w:rsid w:val="0072052A"/>
    <w:rsid w:val="00720580"/>
    <w:rsid w:val="007205B8"/>
    <w:rsid w:val="00721291"/>
    <w:rsid w:val="0072145C"/>
    <w:rsid w:val="0072152A"/>
    <w:rsid w:val="0072159E"/>
    <w:rsid w:val="007218F9"/>
    <w:rsid w:val="00721944"/>
    <w:rsid w:val="00721A1B"/>
    <w:rsid w:val="00721A2A"/>
    <w:rsid w:val="00721A4B"/>
    <w:rsid w:val="00722016"/>
    <w:rsid w:val="007222C1"/>
    <w:rsid w:val="007223A1"/>
    <w:rsid w:val="007224CF"/>
    <w:rsid w:val="007227E7"/>
    <w:rsid w:val="007229EB"/>
    <w:rsid w:val="00722F6F"/>
    <w:rsid w:val="00722F96"/>
    <w:rsid w:val="007230A2"/>
    <w:rsid w:val="00723164"/>
    <w:rsid w:val="00723308"/>
    <w:rsid w:val="00723BAB"/>
    <w:rsid w:val="00723CBB"/>
    <w:rsid w:val="00724611"/>
    <w:rsid w:val="00724E90"/>
    <w:rsid w:val="00724EEA"/>
    <w:rsid w:val="00724F36"/>
    <w:rsid w:val="007250AE"/>
    <w:rsid w:val="007251FD"/>
    <w:rsid w:val="007255CE"/>
    <w:rsid w:val="0072584E"/>
    <w:rsid w:val="00725922"/>
    <w:rsid w:val="00725A3A"/>
    <w:rsid w:val="00725C42"/>
    <w:rsid w:val="00725F6B"/>
    <w:rsid w:val="00725FD9"/>
    <w:rsid w:val="00726133"/>
    <w:rsid w:val="0072613A"/>
    <w:rsid w:val="00726248"/>
    <w:rsid w:val="00726257"/>
    <w:rsid w:val="007271DB"/>
    <w:rsid w:val="00727311"/>
    <w:rsid w:val="00727358"/>
    <w:rsid w:val="007275A7"/>
    <w:rsid w:val="00727B2D"/>
    <w:rsid w:val="00727D54"/>
    <w:rsid w:val="00727F6C"/>
    <w:rsid w:val="0073017E"/>
    <w:rsid w:val="007301DD"/>
    <w:rsid w:val="0073033F"/>
    <w:rsid w:val="00730644"/>
    <w:rsid w:val="00730765"/>
    <w:rsid w:val="0073083A"/>
    <w:rsid w:val="00730B3F"/>
    <w:rsid w:val="00730D14"/>
    <w:rsid w:val="00730D96"/>
    <w:rsid w:val="00730DC2"/>
    <w:rsid w:val="00730F01"/>
    <w:rsid w:val="00731026"/>
    <w:rsid w:val="00731080"/>
    <w:rsid w:val="0073114F"/>
    <w:rsid w:val="007318CE"/>
    <w:rsid w:val="007319EA"/>
    <w:rsid w:val="00731D3E"/>
    <w:rsid w:val="00731EF2"/>
    <w:rsid w:val="00731EF4"/>
    <w:rsid w:val="0073202B"/>
    <w:rsid w:val="00732256"/>
    <w:rsid w:val="00732356"/>
    <w:rsid w:val="0073240D"/>
    <w:rsid w:val="00732716"/>
    <w:rsid w:val="00732900"/>
    <w:rsid w:val="00732B25"/>
    <w:rsid w:val="00732DD5"/>
    <w:rsid w:val="00733342"/>
    <w:rsid w:val="00733343"/>
    <w:rsid w:val="007335E2"/>
    <w:rsid w:val="00733869"/>
    <w:rsid w:val="00733A47"/>
    <w:rsid w:val="00733C6D"/>
    <w:rsid w:val="00733C76"/>
    <w:rsid w:val="00733CF4"/>
    <w:rsid w:val="007342D0"/>
    <w:rsid w:val="007343C9"/>
    <w:rsid w:val="007344C5"/>
    <w:rsid w:val="00734651"/>
    <w:rsid w:val="007347EC"/>
    <w:rsid w:val="00734959"/>
    <w:rsid w:val="00734B3D"/>
    <w:rsid w:val="00734FD5"/>
    <w:rsid w:val="007350BB"/>
    <w:rsid w:val="00735137"/>
    <w:rsid w:val="0073520D"/>
    <w:rsid w:val="007356E1"/>
    <w:rsid w:val="007356F7"/>
    <w:rsid w:val="00735776"/>
    <w:rsid w:val="0073578B"/>
    <w:rsid w:val="00735812"/>
    <w:rsid w:val="00735893"/>
    <w:rsid w:val="007359B8"/>
    <w:rsid w:val="00735CF5"/>
    <w:rsid w:val="00735E0A"/>
    <w:rsid w:val="00736171"/>
    <w:rsid w:val="00736475"/>
    <w:rsid w:val="00736566"/>
    <w:rsid w:val="007365CB"/>
    <w:rsid w:val="00736926"/>
    <w:rsid w:val="007369FC"/>
    <w:rsid w:val="00736A12"/>
    <w:rsid w:val="00736D79"/>
    <w:rsid w:val="00736EC6"/>
    <w:rsid w:val="00736F26"/>
    <w:rsid w:val="00736FFF"/>
    <w:rsid w:val="007370B8"/>
    <w:rsid w:val="007370D6"/>
    <w:rsid w:val="0073720E"/>
    <w:rsid w:val="0073724D"/>
    <w:rsid w:val="00737423"/>
    <w:rsid w:val="007375A6"/>
    <w:rsid w:val="0073780C"/>
    <w:rsid w:val="007379D4"/>
    <w:rsid w:val="007400BC"/>
    <w:rsid w:val="00740166"/>
    <w:rsid w:val="0074056A"/>
    <w:rsid w:val="00740BCB"/>
    <w:rsid w:val="00740E96"/>
    <w:rsid w:val="00740F1A"/>
    <w:rsid w:val="00741641"/>
    <w:rsid w:val="00741755"/>
    <w:rsid w:val="007417DE"/>
    <w:rsid w:val="00741AEF"/>
    <w:rsid w:val="00741CD9"/>
    <w:rsid w:val="0074218F"/>
    <w:rsid w:val="0074297F"/>
    <w:rsid w:val="00742F99"/>
    <w:rsid w:val="0074314A"/>
    <w:rsid w:val="00743852"/>
    <w:rsid w:val="00743B3C"/>
    <w:rsid w:val="00743E74"/>
    <w:rsid w:val="00743FFB"/>
    <w:rsid w:val="00744342"/>
    <w:rsid w:val="0074437A"/>
    <w:rsid w:val="007443E8"/>
    <w:rsid w:val="007449F0"/>
    <w:rsid w:val="00744DA2"/>
    <w:rsid w:val="00744DB1"/>
    <w:rsid w:val="00744F2D"/>
    <w:rsid w:val="00744FF4"/>
    <w:rsid w:val="00745459"/>
    <w:rsid w:val="007457AF"/>
    <w:rsid w:val="00745A4A"/>
    <w:rsid w:val="00745C38"/>
    <w:rsid w:val="00745D5C"/>
    <w:rsid w:val="00745DE4"/>
    <w:rsid w:val="00745FC3"/>
    <w:rsid w:val="007465FC"/>
    <w:rsid w:val="007466C6"/>
    <w:rsid w:val="00746709"/>
    <w:rsid w:val="007474E0"/>
    <w:rsid w:val="0074762D"/>
    <w:rsid w:val="007477A8"/>
    <w:rsid w:val="00747AA3"/>
    <w:rsid w:val="00747AF4"/>
    <w:rsid w:val="00747C15"/>
    <w:rsid w:val="00750262"/>
    <w:rsid w:val="00750801"/>
    <w:rsid w:val="00750D76"/>
    <w:rsid w:val="00750DFE"/>
    <w:rsid w:val="00750E37"/>
    <w:rsid w:val="0075144D"/>
    <w:rsid w:val="0075187A"/>
    <w:rsid w:val="007519A9"/>
    <w:rsid w:val="007519EB"/>
    <w:rsid w:val="00751C08"/>
    <w:rsid w:val="00751D76"/>
    <w:rsid w:val="00751E77"/>
    <w:rsid w:val="00751EEC"/>
    <w:rsid w:val="00751F96"/>
    <w:rsid w:val="00752004"/>
    <w:rsid w:val="0075232E"/>
    <w:rsid w:val="00752573"/>
    <w:rsid w:val="00752590"/>
    <w:rsid w:val="007525E2"/>
    <w:rsid w:val="00752C3C"/>
    <w:rsid w:val="00752CE7"/>
    <w:rsid w:val="00752DDF"/>
    <w:rsid w:val="00752F1E"/>
    <w:rsid w:val="00752F86"/>
    <w:rsid w:val="00753026"/>
    <w:rsid w:val="0075318A"/>
    <w:rsid w:val="00753636"/>
    <w:rsid w:val="007537EC"/>
    <w:rsid w:val="00753E5A"/>
    <w:rsid w:val="00753F3E"/>
    <w:rsid w:val="0075417C"/>
    <w:rsid w:val="0075455A"/>
    <w:rsid w:val="007546A5"/>
    <w:rsid w:val="0075499D"/>
    <w:rsid w:val="00754FBB"/>
    <w:rsid w:val="00755005"/>
    <w:rsid w:val="0075537D"/>
    <w:rsid w:val="007554D2"/>
    <w:rsid w:val="007559DC"/>
    <w:rsid w:val="00755C0C"/>
    <w:rsid w:val="0075607E"/>
    <w:rsid w:val="0075618A"/>
    <w:rsid w:val="007562EF"/>
    <w:rsid w:val="00756802"/>
    <w:rsid w:val="00756937"/>
    <w:rsid w:val="007569B5"/>
    <w:rsid w:val="0075721D"/>
    <w:rsid w:val="0075729D"/>
    <w:rsid w:val="007573C0"/>
    <w:rsid w:val="00757B0A"/>
    <w:rsid w:val="00757ECE"/>
    <w:rsid w:val="00757F78"/>
    <w:rsid w:val="0076051E"/>
    <w:rsid w:val="0076060D"/>
    <w:rsid w:val="00760783"/>
    <w:rsid w:val="00761093"/>
    <w:rsid w:val="0076115C"/>
    <w:rsid w:val="007611A5"/>
    <w:rsid w:val="00761333"/>
    <w:rsid w:val="0076176F"/>
    <w:rsid w:val="007617CF"/>
    <w:rsid w:val="00761E46"/>
    <w:rsid w:val="00761FBA"/>
    <w:rsid w:val="007623EC"/>
    <w:rsid w:val="00762552"/>
    <w:rsid w:val="007628B8"/>
    <w:rsid w:val="0076295B"/>
    <w:rsid w:val="00762B40"/>
    <w:rsid w:val="00762C8E"/>
    <w:rsid w:val="00762D89"/>
    <w:rsid w:val="00762E24"/>
    <w:rsid w:val="0076330C"/>
    <w:rsid w:val="0076385E"/>
    <w:rsid w:val="00763C43"/>
    <w:rsid w:val="00763C99"/>
    <w:rsid w:val="00763D7C"/>
    <w:rsid w:val="007641DC"/>
    <w:rsid w:val="007644F3"/>
    <w:rsid w:val="0076471A"/>
    <w:rsid w:val="007649FE"/>
    <w:rsid w:val="00764A38"/>
    <w:rsid w:val="00764BC5"/>
    <w:rsid w:val="00765490"/>
    <w:rsid w:val="007655BF"/>
    <w:rsid w:val="007659CF"/>
    <w:rsid w:val="00765B6A"/>
    <w:rsid w:val="007665CD"/>
    <w:rsid w:val="00766624"/>
    <w:rsid w:val="007667CC"/>
    <w:rsid w:val="00766909"/>
    <w:rsid w:val="00766A17"/>
    <w:rsid w:val="0076715D"/>
    <w:rsid w:val="007674B1"/>
    <w:rsid w:val="007675D5"/>
    <w:rsid w:val="00767BED"/>
    <w:rsid w:val="00767CF3"/>
    <w:rsid w:val="00767E11"/>
    <w:rsid w:val="00767E26"/>
    <w:rsid w:val="00770052"/>
    <w:rsid w:val="00770470"/>
    <w:rsid w:val="00770C82"/>
    <w:rsid w:val="0077106E"/>
    <w:rsid w:val="0077109B"/>
    <w:rsid w:val="00771227"/>
    <w:rsid w:val="007713EB"/>
    <w:rsid w:val="00771609"/>
    <w:rsid w:val="00771A96"/>
    <w:rsid w:val="00771D44"/>
    <w:rsid w:val="00771F88"/>
    <w:rsid w:val="007722AD"/>
    <w:rsid w:val="0077247F"/>
    <w:rsid w:val="0077298D"/>
    <w:rsid w:val="00772B36"/>
    <w:rsid w:val="00772B8D"/>
    <w:rsid w:val="00772BED"/>
    <w:rsid w:val="00772CDC"/>
    <w:rsid w:val="00772F41"/>
    <w:rsid w:val="0077362F"/>
    <w:rsid w:val="00773956"/>
    <w:rsid w:val="00773DD2"/>
    <w:rsid w:val="007741CF"/>
    <w:rsid w:val="00774225"/>
    <w:rsid w:val="00774612"/>
    <w:rsid w:val="0077461A"/>
    <w:rsid w:val="007749B0"/>
    <w:rsid w:val="007749D1"/>
    <w:rsid w:val="00774DA4"/>
    <w:rsid w:val="00774E19"/>
    <w:rsid w:val="00774E93"/>
    <w:rsid w:val="00775333"/>
    <w:rsid w:val="0077547C"/>
    <w:rsid w:val="0077552B"/>
    <w:rsid w:val="00775590"/>
    <w:rsid w:val="007755A2"/>
    <w:rsid w:val="007756D8"/>
    <w:rsid w:val="007757C3"/>
    <w:rsid w:val="00775871"/>
    <w:rsid w:val="00775F08"/>
    <w:rsid w:val="00776111"/>
    <w:rsid w:val="007767A4"/>
    <w:rsid w:val="0077682F"/>
    <w:rsid w:val="00776969"/>
    <w:rsid w:val="00776E0C"/>
    <w:rsid w:val="00777034"/>
    <w:rsid w:val="0077780C"/>
    <w:rsid w:val="00777930"/>
    <w:rsid w:val="00777940"/>
    <w:rsid w:val="00777D2F"/>
    <w:rsid w:val="00777E11"/>
    <w:rsid w:val="00777FA5"/>
    <w:rsid w:val="00780226"/>
    <w:rsid w:val="007806A4"/>
    <w:rsid w:val="00780B46"/>
    <w:rsid w:val="00780D17"/>
    <w:rsid w:val="00781169"/>
    <w:rsid w:val="00781279"/>
    <w:rsid w:val="0078147A"/>
    <w:rsid w:val="00781746"/>
    <w:rsid w:val="00781803"/>
    <w:rsid w:val="007819ED"/>
    <w:rsid w:val="00781AB4"/>
    <w:rsid w:val="00781C70"/>
    <w:rsid w:val="00781D77"/>
    <w:rsid w:val="00782117"/>
    <w:rsid w:val="00782192"/>
    <w:rsid w:val="00782512"/>
    <w:rsid w:val="00782522"/>
    <w:rsid w:val="00782AA8"/>
    <w:rsid w:val="00782BB9"/>
    <w:rsid w:val="00782D3D"/>
    <w:rsid w:val="00782F38"/>
    <w:rsid w:val="00782F42"/>
    <w:rsid w:val="00782F5A"/>
    <w:rsid w:val="00783038"/>
    <w:rsid w:val="007830DC"/>
    <w:rsid w:val="00783269"/>
    <w:rsid w:val="007832A9"/>
    <w:rsid w:val="007833F4"/>
    <w:rsid w:val="00783517"/>
    <w:rsid w:val="007835DD"/>
    <w:rsid w:val="007835E0"/>
    <w:rsid w:val="00783E47"/>
    <w:rsid w:val="00783EAD"/>
    <w:rsid w:val="00783F40"/>
    <w:rsid w:val="00783F8C"/>
    <w:rsid w:val="00784019"/>
    <w:rsid w:val="007840F1"/>
    <w:rsid w:val="00784288"/>
    <w:rsid w:val="007842E2"/>
    <w:rsid w:val="00784D1D"/>
    <w:rsid w:val="00784D81"/>
    <w:rsid w:val="00784F8B"/>
    <w:rsid w:val="00785014"/>
    <w:rsid w:val="00785114"/>
    <w:rsid w:val="0078569D"/>
    <w:rsid w:val="00785A18"/>
    <w:rsid w:val="00785C9C"/>
    <w:rsid w:val="00785DED"/>
    <w:rsid w:val="00786462"/>
    <w:rsid w:val="007864B0"/>
    <w:rsid w:val="0078657F"/>
    <w:rsid w:val="007869DB"/>
    <w:rsid w:val="00786A99"/>
    <w:rsid w:val="00786AF5"/>
    <w:rsid w:val="0078719A"/>
    <w:rsid w:val="007873B2"/>
    <w:rsid w:val="00787751"/>
    <w:rsid w:val="00787864"/>
    <w:rsid w:val="0078793F"/>
    <w:rsid w:val="00787A58"/>
    <w:rsid w:val="00787B33"/>
    <w:rsid w:val="00787B8F"/>
    <w:rsid w:val="00787C43"/>
    <w:rsid w:val="00787DD3"/>
    <w:rsid w:val="00790171"/>
    <w:rsid w:val="00790206"/>
    <w:rsid w:val="00790386"/>
    <w:rsid w:val="007905F4"/>
    <w:rsid w:val="00790622"/>
    <w:rsid w:val="007907CC"/>
    <w:rsid w:val="0079087C"/>
    <w:rsid w:val="00790A57"/>
    <w:rsid w:val="00790A60"/>
    <w:rsid w:val="00790FE3"/>
    <w:rsid w:val="007910BF"/>
    <w:rsid w:val="00791399"/>
    <w:rsid w:val="00791466"/>
    <w:rsid w:val="00791692"/>
    <w:rsid w:val="007919CB"/>
    <w:rsid w:val="00791C79"/>
    <w:rsid w:val="00792320"/>
    <w:rsid w:val="007923B7"/>
    <w:rsid w:val="00792616"/>
    <w:rsid w:val="007926BB"/>
    <w:rsid w:val="007928BB"/>
    <w:rsid w:val="00792960"/>
    <w:rsid w:val="00792A51"/>
    <w:rsid w:val="00792D07"/>
    <w:rsid w:val="00792D7F"/>
    <w:rsid w:val="00792FBB"/>
    <w:rsid w:val="0079307B"/>
    <w:rsid w:val="00793387"/>
    <w:rsid w:val="00793441"/>
    <w:rsid w:val="0079344C"/>
    <w:rsid w:val="00793614"/>
    <w:rsid w:val="00793940"/>
    <w:rsid w:val="00793C84"/>
    <w:rsid w:val="00793FCF"/>
    <w:rsid w:val="00794596"/>
    <w:rsid w:val="0079475A"/>
    <w:rsid w:val="007947CC"/>
    <w:rsid w:val="0079484E"/>
    <w:rsid w:val="0079488D"/>
    <w:rsid w:val="0079493E"/>
    <w:rsid w:val="00794AB6"/>
    <w:rsid w:val="00794C0D"/>
    <w:rsid w:val="00794CF2"/>
    <w:rsid w:val="00794D14"/>
    <w:rsid w:val="00794EA6"/>
    <w:rsid w:val="00795031"/>
    <w:rsid w:val="00795423"/>
    <w:rsid w:val="007954D5"/>
    <w:rsid w:val="00795520"/>
    <w:rsid w:val="00795A93"/>
    <w:rsid w:val="00795D5E"/>
    <w:rsid w:val="00795DD0"/>
    <w:rsid w:val="00795FB7"/>
    <w:rsid w:val="00795FE9"/>
    <w:rsid w:val="007960D9"/>
    <w:rsid w:val="00796342"/>
    <w:rsid w:val="007963F6"/>
    <w:rsid w:val="00796435"/>
    <w:rsid w:val="0079649A"/>
    <w:rsid w:val="007967D0"/>
    <w:rsid w:val="00796873"/>
    <w:rsid w:val="007968AE"/>
    <w:rsid w:val="0079690A"/>
    <w:rsid w:val="00796B3A"/>
    <w:rsid w:val="00796CDC"/>
    <w:rsid w:val="00796D5E"/>
    <w:rsid w:val="00796DDC"/>
    <w:rsid w:val="00797185"/>
    <w:rsid w:val="0079732B"/>
    <w:rsid w:val="007973EB"/>
    <w:rsid w:val="00797416"/>
    <w:rsid w:val="00797BB5"/>
    <w:rsid w:val="00797BC4"/>
    <w:rsid w:val="00797C96"/>
    <w:rsid w:val="00797F40"/>
    <w:rsid w:val="00797FBC"/>
    <w:rsid w:val="007A0283"/>
    <w:rsid w:val="007A04CC"/>
    <w:rsid w:val="007A0631"/>
    <w:rsid w:val="007A064E"/>
    <w:rsid w:val="007A09CF"/>
    <w:rsid w:val="007A0A6B"/>
    <w:rsid w:val="007A0EA9"/>
    <w:rsid w:val="007A12A5"/>
    <w:rsid w:val="007A13FF"/>
    <w:rsid w:val="007A1512"/>
    <w:rsid w:val="007A1698"/>
    <w:rsid w:val="007A21FC"/>
    <w:rsid w:val="007A232C"/>
    <w:rsid w:val="007A27E7"/>
    <w:rsid w:val="007A2DB1"/>
    <w:rsid w:val="007A3279"/>
    <w:rsid w:val="007A3338"/>
    <w:rsid w:val="007A3566"/>
    <w:rsid w:val="007A3824"/>
    <w:rsid w:val="007A3B53"/>
    <w:rsid w:val="007A3B57"/>
    <w:rsid w:val="007A3BBD"/>
    <w:rsid w:val="007A3C30"/>
    <w:rsid w:val="007A3D26"/>
    <w:rsid w:val="007A3D30"/>
    <w:rsid w:val="007A4590"/>
    <w:rsid w:val="007A45B8"/>
    <w:rsid w:val="007A47A2"/>
    <w:rsid w:val="007A47E9"/>
    <w:rsid w:val="007A491C"/>
    <w:rsid w:val="007A4998"/>
    <w:rsid w:val="007A49DA"/>
    <w:rsid w:val="007A4A3C"/>
    <w:rsid w:val="007A4FAF"/>
    <w:rsid w:val="007A53AB"/>
    <w:rsid w:val="007A5437"/>
    <w:rsid w:val="007A54B3"/>
    <w:rsid w:val="007A5E41"/>
    <w:rsid w:val="007A5E5A"/>
    <w:rsid w:val="007A6036"/>
    <w:rsid w:val="007A606D"/>
    <w:rsid w:val="007A60EF"/>
    <w:rsid w:val="007A616D"/>
    <w:rsid w:val="007A6367"/>
    <w:rsid w:val="007A645C"/>
    <w:rsid w:val="007A68C9"/>
    <w:rsid w:val="007A69D3"/>
    <w:rsid w:val="007A6DD6"/>
    <w:rsid w:val="007A7122"/>
    <w:rsid w:val="007A722C"/>
    <w:rsid w:val="007A72CD"/>
    <w:rsid w:val="007A7480"/>
    <w:rsid w:val="007A7CA7"/>
    <w:rsid w:val="007B0230"/>
    <w:rsid w:val="007B08CE"/>
    <w:rsid w:val="007B09F3"/>
    <w:rsid w:val="007B1174"/>
    <w:rsid w:val="007B11DB"/>
    <w:rsid w:val="007B13B2"/>
    <w:rsid w:val="007B1B03"/>
    <w:rsid w:val="007B1B0B"/>
    <w:rsid w:val="007B1CCC"/>
    <w:rsid w:val="007B1D2E"/>
    <w:rsid w:val="007B23BD"/>
    <w:rsid w:val="007B2A8C"/>
    <w:rsid w:val="007B2B3F"/>
    <w:rsid w:val="007B2B6C"/>
    <w:rsid w:val="007B2BFB"/>
    <w:rsid w:val="007B2CC0"/>
    <w:rsid w:val="007B2CD0"/>
    <w:rsid w:val="007B30CC"/>
    <w:rsid w:val="007B3592"/>
    <w:rsid w:val="007B362F"/>
    <w:rsid w:val="007B390E"/>
    <w:rsid w:val="007B3AA5"/>
    <w:rsid w:val="007B3D9B"/>
    <w:rsid w:val="007B42A4"/>
    <w:rsid w:val="007B436D"/>
    <w:rsid w:val="007B4428"/>
    <w:rsid w:val="007B44E0"/>
    <w:rsid w:val="007B45BF"/>
    <w:rsid w:val="007B486E"/>
    <w:rsid w:val="007B4A31"/>
    <w:rsid w:val="007B4C4C"/>
    <w:rsid w:val="007B4E39"/>
    <w:rsid w:val="007B50AE"/>
    <w:rsid w:val="007B520B"/>
    <w:rsid w:val="007B5262"/>
    <w:rsid w:val="007B544F"/>
    <w:rsid w:val="007B55E1"/>
    <w:rsid w:val="007B5634"/>
    <w:rsid w:val="007B5716"/>
    <w:rsid w:val="007B59C8"/>
    <w:rsid w:val="007B5E59"/>
    <w:rsid w:val="007B5F54"/>
    <w:rsid w:val="007B66DD"/>
    <w:rsid w:val="007B69F3"/>
    <w:rsid w:val="007B6CBA"/>
    <w:rsid w:val="007B6E83"/>
    <w:rsid w:val="007B6F72"/>
    <w:rsid w:val="007B7157"/>
    <w:rsid w:val="007B7239"/>
    <w:rsid w:val="007B7583"/>
    <w:rsid w:val="007B76AB"/>
    <w:rsid w:val="007B7734"/>
    <w:rsid w:val="007B779C"/>
    <w:rsid w:val="007B7846"/>
    <w:rsid w:val="007B7A10"/>
    <w:rsid w:val="007B7B19"/>
    <w:rsid w:val="007B7DE6"/>
    <w:rsid w:val="007C02C7"/>
    <w:rsid w:val="007C05C7"/>
    <w:rsid w:val="007C0A66"/>
    <w:rsid w:val="007C0CA1"/>
    <w:rsid w:val="007C0D4C"/>
    <w:rsid w:val="007C146B"/>
    <w:rsid w:val="007C177D"/>
    <w:rsid w:val="007C184A"/>
    <w:rsid w:val="007C1AE9"/>
    <w:rsid w:val="007C1BF1"/>
    <w:rsid w:val="007C1DD1"/>
    <w:rsid w:val="007C2009"/>
    <w:rsid w:val="007C21EE"/>
    <w:rsid w:val="007C2296"/>
    <w:rsid w:val="007C229F"/>
    <w:rsid w:val="007C25C2"/>
    <w:rsid w:val="007C265A"/>
    <w:rsid w:val="007C27FD"/>
    <w:rsid w:val="007C2A38"/>
    <w:rsid w:val="007C2CD6"/>
    <w:rsid w:val="007C311E"/>
    <w:rsid w:val="007C3365"/>
    <w:rsid w:val="007C3756"/>
    <w:rsid w:val="007C3786"/>
    <w:rsid w:val="007C39D2"/>
    <w:rsid w:val="007C41CF"/>
    <w:rsid w:val="007C451A"/>
    <w:rsid w:val="007C4740"/>
    <w:rsid w:val="007C4AD1"/>
    <w:rsid w:val="007C4B77"/>
    <w:rsid w:val="007C4D60"/>
    <w:rsid w:val="007C4FA7"/>
    <w:rsid w:val="007C503A"/>
    <w:rsid w:val="007C5056"/>
    <w:rsid w:val="007C5A28"/>
    <w:rsid w:val="007C5A70"/>
    <w:rsid w:val="007C5BE7"/>
    <w:rsid w:val="007C5ECE"/>
    <w:rsid w:val="007C615D"/>
    <w:rsid w:val="007C6430"/>
    <w:rsid w:val="007C6583"/>
    <w:rsid w:val="007C686C"/>
    <w:rsid w:val="007C692D"/>
    <w:rsid w:val="007C69B5"/>
    <w:rsid w:val="007C6BA4"/>
    <w:rsid w:val="007C718B"/>
    <w:rsid w:val="007C77F4"/>
    <w:rsid w:val="007C7847"/>
    <w:rsid w:val="007C7984"/>
    <w:rsid w:val="007C7ADB"/>
    <w:rsid w:val="007C7F18"/>
    <w:rsid w:val="007D0525"/>
    <w:rsid w:val="007D0660"/>
    <w:rsid w:val="007D0C65"/>
    <w:rsid w:val="007D0D0D"/>
    <w:rsid w:val="007D0EAA"/>
    <w:rsid w:val="007D112F"/>
    <w:rsid w:val="007D1167"/>
    <w:rsid w:val="007D1312"/>
    <w:rsid w:val="007D1577"/>
    <w:rsid w:val="007D161A"/>
    <w:rsid w:val="007D1A83"/>
    <w:rsid w:val="007D1BA7"/>
    <w:rsid w:val="007D1D84"/>
    <w:rsid w:val="007D1F06"/>
    <w:rsid w:val="007D1F51"/>
    <w:rsid w:val="007D1F9E"/>
    <w:rsid w:val="007D20BB"/>
    <w:rsid w:val="007D28C2"/>
    <w:rsid w:val="007D2B19"/>
    <w:rsid w:val="007D2B9E"/>
    <w:rsid w:val="007D2D97"/>
    <w:rsid w:val="007D2E48"/>
    <w:rsid w:val="007D31DF"/>
    <w:rsid w:val="007D389A"/>
    <w:rsid w:val="007D3A2E"/>
    <w:rsid w:val="007D3D1A"/>
    <w:rsid w:val="007D427B"/>
    <w:rsid w:val="007D466C"/>
    <w:rsid w:val="007D48F2"/>
    <w:rsid w:val="007D491C"/>
    <w:rsid w:val="007D4A1B"/>
    <w:rsid w:val="007D4C50"/>
    <w:rsid w:val="007D4D2E"/>
    <w:rsid w:val="007D4EDF"/>
    <w:rsid w:val="007D53A8"/>
    <w:rsid w:val="007D58B8"/>
    <w:rsid w:val="007D58FD"/>
    <w:rsid w:val="007D598F"/>
    <w:rsid w:val="007D5D1B"/>
    <w:rsid w:val="007D5EB7"/>
    <w:rsid w:val="007D6021"/>
    <w:rsid w:val="007D61D9"/>
    <w:rsid w:val="007D65DA"/>
    <w:rsid w:val="007D6652"/>
    <w:rsid w:val="007D6803"/>
    <w:rsid w:val="007D6FC6"/>
    <w:rsid w:val="007D755E"/>
    <w:rsid w:val="007D76BB"/>
    <w:rsid w:val="007D7895"/>
    <w:rsid w:val="007D7A9C"/>
    <w:rsid w:val="007D7AD8"/>
    <w:rsid w:val="007D7F07"/>
    <w:rsid w:val="007E0020"/>
    <w:rsid w:val="007E02B6"/>
    <w:rsid w:val="007E0616"/>
    <w:rsid w:val="007E0722"/>
    <w:rsid w:val="007E08E8"/>
    <w:rsid w:val="007E0A08"/>
    <w:rsid w:val="007E0AF5"/>
    <w:rsid w:val="007E0DD7"/>
    <w:rsid w:val="007E10A7"/>
    <w:rsid w:val="007E120A"/>
    <w:rsid w:val="007E1419"/>
    <w:rsid w:val="007E14D1"/>
    <w:rsid w:val="007E1CCE"/>
    <w:rsid w:val="007E1D75"/>
    <w:rsid w:val="007E2040"/>
    <w:rsid w:val="007E3048"/>
    <w:rsid w:val="007E30C9"/>
    <w:rsid w:val="007E343D"/>
    <w:rsid w:val="007E3934"/>
    <w:rsid w:val="007E3B3F"/>
    <w:rsid w:val="007E3B7D"/>
    <w:rsid w:val="007E3CAA"/>
    <w:rsid w:val="007E3F6B"/>
    <w:rsid w:val="007E3F79"/>
    <w:rsid w:val="007E42A8"/>
    <w:rsid w:val="007E445F"/>
    <w:rsid w:val="007E4551"/>
    <w:rsid w:val="007E46DA"/>
    <w:rsid w:val="007E4732"/>
    <w:rsid w:val="007E4BF0"/>
    <w:rsid w:val="007E4E3B"/>
    <w:rsid w:val="007E4F66"/>
    <w:rsid w:val="007E4FB2"/>
    <w:rsid w:val="007E527F"/>
    <w:rsid w:val="007E5522"/>
    <w:rsid w:val="007E5742"/>
    <w:rsid w:val="007E5A29"/>
    <w:rsid w:val="007E5DAB"/>
    <w:rsid w:val="007E61CA"/>
    <w:rsid w:val="007E6219"/>
    <w:rsid w:val="007E628E"/>
    <w:rsid w:val="007E62D4"/>
    <w:rsid w:val="007E64F1"/>
    <w:rsid w:val="007E66FC"/>
    <w:rsid w:val="007E6846"/>
    <w:rsid w:val="007E6852"/>
    <w:rsid w:val="007E6D04"/>
    <w:rsid w:val="007E706F"/>
    <w:rsid w:val="007E7217"/>
    <w:rsid w:val="007E7381"/>
    <w:rsid w:val="007E77D7"/>
    <w:rsid w:val="007E7879"/>
    <w:rsid w:val="007E7B54"/>
    <w:rsid w:val="007E7B7A"/>
    <w:rsid w:val="007E7B8B"/>
    <w:rsid w:val="007E7E6A"/>
    <w:rsid w:val="007E7FD9"/>
    <w:rsid w:val="007F0280"/>
    <w:rsid w:val="007F0381"/>
    <w:rsid w:val="007F0ED8"/>
    <w:rsid w:val="007F1147"/>
    <w:rsid w:val="007F135B"/>
    <w:rsid w:val="007F1445"/>
    <w:rsid w:val="007F1CBA"/>
    <w:rsid w:val="007F1D86"/>
    <w:rsid w:val="007F1DCF"/>
    <w:rsid w:val="007F1E8F"/>
    <w:rsid w:val="007F2088"/>
    <w:rsid w:val="007F240A"/>
    <w:rsid w:val="007F2596"/>
    <w:rsid w:val="007F2746"/>
    <w:rsid w:val="007F29DA"/>
    <w:rsid w:val="007F29E5"/>
    <w:rsid w:val="007F2BAB"/>
    <w:rsid w:val="007F2E28"/>
    <w:rsid w:val="007F330B"/>
    <w:rsid w:val="007F3885"/>
    <w:rsid w:val="007F3AC8"/>
    <w:rsid w:val="007F3C27"/>
    <w:rsid w:val="007F3CFC"/>
    <w:rsid w:val="007F3E46"/>
    <w:rsid w:val="007F3FF3"/>
    <w:rsid w:val="007F412F"/>
    <w:rsid w:val="007F42E4"/>
    <w:rsid w:val="007F4383"/>
    <w:rsid w:val="007F4657"/>
    <w:rsid w:val="007F47A3"/>
    <w:rsid w:val="007F49AA"/>
    <w:rsid w:val="007F4B2A"/>
    <w:rsid w:val="007F4DE4"/>
    <w:rsid w:val="007F4DF7"/>
    <w:rsid w:val="007F4E11"/>
    <w:rsid w:val="007F539B"/>
    <w:rsid w:val="007F574C"/>
    <w:rsid w:val="007F5763"/>
    <w:rsid w:val="007F5839"/>
    <w:rsid w:val="007F5858"/>
    <w:rsid w:val="007F5D58"/>
    <w:rsid w:val="007F5E1E"/>
    <w:rsid w:val="007F6134"/>
    <w:rsid w:val="007F6256"/>
    <w:rsid w:val="007F6438"/>
    <w:rsid w:val="007F6862"/>
    <w:rsid w:val="007F6C2D"/>
    <w:rsid w:val="007F71B5"/>
    <w:rsid w:val="007F755F"/>
    <w:rsid w:val="007F758B"/>
    <w:rsid w:val="007F7A7E"/>
    <w:rsid w:val="007F7A9C"/>
    <w:rsid w:val="007F7CFD"/>
    <w:rsid w:val="008004A5"/>
    <w:rsid w:val="008005B3"/>
    <w:rsid w:val="0080061F"/>
    <w:rsid w:val="0080087B"/>
    <w:rsid w:val="00800B33"/>
    <w:rsid w:val="00800FAF"/>
    <w:rsid w:val="00801434"/>
    <w:rsid w:val="00801601"/>
    <w:rsid w:val="0080169A"/>
    <w:rsid w:val="00801705"/>
    <w:rsid w:val="00801951"/>
    <w:rsid w:val="00801C21"/>
    <w:rsid w:val="00801CBF"/>
    <w:rsid w:val="008022B9"/>
    <w:rsid w:val="00802434"/>
    <w:rsid w:val="008028FD"/>
    <w:rsid w:val="00802975"/>
    <w:rsid w:val="0080298E"/>
    <w:rsid w:val="00802A31"/>
    <w:rsid w:val="00802AE3"/>
    <w:rsid w:val="00802C1F"/>
    <w:rsid w:val="0080305F"/>
    <w:rsid w:val="008036A7"/>
    <w:rsid w:val="00803732"/>
    <w:rsid w:val="008039A0"/>
    <w:rsid w:val="00803A05"/>
    <w:rsid w:val="00803C0E"/>
    <w:rsid w:val="00803DDC"/>
    <w:rsid w:val="00803EE6"/>
    <w:rsid w:val="0080415B"/>
    <w:rsid w:val="0080454F"/>
    <w:rsid w:val="00804882"/>
    <w:rsid w:val="00804CFE"/>
    <w:rsid w:val="00804D50"/>
    <w:rsid w:val="008050C0"/>
    <w:rsid w:val="00805196"/>
    <w:rsid w:val="008057B4"/>
    <w:rsid w:val="008057F8"/>
    <w:rsid w:val="00805826"/>
    <w:rsid w:val="00805958"/>
    <w:rsid w:val="00805A89"/>
    <w:rsid w:val="00805ACC"/>
    <w:rsid w:val="00805BEF"/>
    <w:rsid w:val="00805C86"/>
    <w:rsid w:val="00805EBC"/>
    <w:rsid w:val="00805F39"/>
    <w:rsid w:val="0080617A"/>
    <w:rsid w:val="00806349"/>
    <w:rsid w:val="008063D0"/>
    <w:rsid w:val="008064B6"/>
    <w:rsid w:val="008064D2"/>
    <w:rsid w:val="00806A27"/>
    <w:rsid w:val="00806AF4"/>
    <w:rsid w:val="00806E73"/>
    <w:rsid w:val="00806EBD"/>
    <w:rsid w:val="00807007"/>
    <w:rsid w:val="008070F7"/>
    <w:rsid w:val="00807121"/>
    <w:rsid w:val="00807146"/>
    <w:rsid w:val="008072F2"/>
    <w:rsid w:val="008078AE"/>
    <w:rsid w:val="00807CDE"/>
    <w:rsid w:val="00807FB1"/>
    <w:rsid w:val="00810415"/>
    <w:rsid w:val="0081045D"/>
    <w:rsid w:val="00810468"/>
    <w:rsid w:val="008104BA"/>
    <w:rsid w:val="008105B6"/>
    <w:rsid w:val="00810991"/>
    <w:rsid w:val="008109BC"/>
    <w:rsid w:val="0081105F"/>
    <w:rsid w:val="008111F6"/>
    <w:rsid w:val="008112E1"/>
    <w:rsid w:val="008114D2"/>
    <w:rsid w:val="00811573"/>
    <w:rsid w:val="008117D6"/>
    <w:rsid w:val="00811FF0"/>
    <w:rsid w:val="0081232F"/>
    <w:rsid w:val="008125D5"/>
    <w:rsid w:val="008126B1"/>
    <w:rsid w:val="008127AF"/>
    <w:rsid w:val="00812AB9"/>
    <w:rsid w:val="00812B0E"/>
    <w:rsid w:val="00812D77"/>
    <w:rsid w:val="00812FA8"/>
    <w:rsid w:val="00813208"/>
    <w:rsid w:val="00813232"/>
    <w:rsid w:val="00813500"/>
    <w:rsid w:val="008138F2"/>
    <w:rsid w:val="00813A00"/>
    <w:rsid w:val="00813BAD"/>
    <w:rsid w:val="00813E27"/>
    <w:rsid w:val="00813EFE"/>
    <w:rsid w:val="00813F1B"/>
    <w:rsid w:val="008140E2"/>
    <w:rsid w:val="00814220"/>
    <w:rsid w:val="0081440A"/>
    <w:rsid w:val="00814576"/>
    <w:rsid w:val="00814764"/>
    <w:rsid w:val="00814A83"/>
    <w:rsid w:val="00814A9B"/>
    <w:rsid w:val="00814F66"/>
    <w:rsid w:val="00815019"/>
    <w:rsid w:val="008150EB"/>
    <w:rsid w:val="00815185"/>
    <w:rsid w:val="008151A0"/>
    <w:rsid w:val="0081532E"/>
    <w:rsid w:val="008153A9"/>
    <w:rsid w:val="00815525"/>
    <w:rsid w:val="0081594B"/>
    <w:rsid w:val="00815A08"/>
    <w:rsid w:val="00815D84"/>
    <w:rsid w:val="00815DD4"/>
    <w:rsid w:val="00815F59"/>
    <w:rsid w:val="0081614F"/>
    <w:rsid w:val="008162BB"/>
    <w:rsid w:val="008163ED"/>
    <w:rsid w:val="0081668E"/>
    <w:rsid w:val="0081673C"/>
    <w:rsid w:val="008168A9"/>
    <w:rsid w:val="008168FB"/>
    <w:rsid w:val="00816E46"/>
    <w:rsid w:val="00816F3A"/>
    <w:rsid w:val="00816F42"/>
    <w:rsid w:val="00817018"/>
    <w:rsid w:val="00817143"/>
    <w:rsid w:val="0081735C"/>
    <w:rsid w:val="00817524"/>
    <w:rsid w:val="00817AA9"/>
    <w:rsid w:val="00817BCE"/>
    <w:rsid w:val="00817C6A"/>
    <w:rsid w:val="00817C9E"/>
    <w:rsid w:val="00817CF3"/>
    <w:rsid w:val="00817F3E"/>
    <w:rsid w:val="00820122"/>
    <w:rsid w:val="00820252"/>
    <w:rsid w:val="00820404"/>
    <w:rsid w:val="00820499"/>
    <w:rsid w:val="008205AF"/>
    <w:rsid w:val="00820DF7"/>
    <w:rsid w:val="00820E17"/>
    <w:rsid w:val="00820F67"/>
    <w:rsid w:val="00821503"/>
    <w:rsid w:val="008216B4"/>
    <w:rsid w:val="00821B7E"/>
    <w:rsid w:val="00821CFE"/>
    <w:rsid w:val="00822066"/>
    <w:rsid w:val="0082216F"/>
    <w:rsid w:val="0082243F"/>
    <w:rsid w:val="008225E5"/>
    <w:rsid w:val="00822650"/>
    <w:rsid w:val="00822980"/>
    <w:rsid w:val="00822CFB"/>
    <w:rsid w:val="00822FE1"/>
    <w:rsid w:val="0082302C"/>
    <w:rsid w:val="00823365"/>
    <w:rsid w:val="0082337D"/>
    <w:rsid w:val="00823F1D"/>
    <w:rsid w:val="0082405E"/>
    <w:rsid w:val="00824176"/>
    <w:rsid w:val="008243C4"/>
    <w:rsid w:val="00824680"/>
    <w:rsid w:val="008247A7"/>
    <w:rsid w:val="00824928"/>
    <w:rsid w:val="00824AD5"/>
    <w:rsid w:val="00824E7F"/>
    <w:rsid w:val="00824E8A"/>
    <w:rsid w:val="00824F2E"/>
    <w:rsid w:val="00824FF7"/>
    <w:rsid w:val="00825052"/>
    <w:rsid w:val="008250B7"/>
    <w:rsid w:val="008253F2"/>
    <w:rsid w:val="008257A1"/>
    <w:rsid w:val="0082599B"/>
    <w:rsid w:val="00825C94"/>
    <w:rsid w:val="00826042"/>
    <w:rsid w:val="00826215"/>
    <w:rsid w:val="008263A7"/>
    <w:rsid w:val="00826776"/>
    <w:rsid w:val="008268C2"/>
    <w:rsid w:val="00826AF9"/>
    <w:rsid w:val="00826C56"/>
    <w:rsid w:val="00826F33"/>
    <w:rsid w:val="008272F1"/>
    <w:rsid w:val="00827348"/>
    <w:rsid w:val="008275F4"/>
    <w:rsid w:val="00827760"/>
    <w:rsid w:val="0082781F"/>
    <w:rsid w:val="00827CAB"/>
    <w:rsid w:val="00827CC1"/>
    <w:rsid w:val="00830069"/>
    <w:rsid w:val="008300E7"/>
    <w:rsid w:val="008301B6"/>
    <w:rsid w:val="008303F1"/>
    <w:rsid w:val="00830781"/>
    <w:rsid w:val="00830AAE"/>
    <w:rsid w:val="00830BA9"/>
    <w:rsid w:val="00830F18"/>
    <w:rsid w:val="00831053"/>
    <w:rsid w:val="008314D2"/>
    <w:rsid w:val="00831775"/>
    <w:rsid w:val="0083191E"/>
    <w:rsid w:val="008319D4"/>
    <w:rsid w:val="00831A8D"/>
    <w:rsid w:val="0083225F"/>
    <w:rsid w:val="00832366"/>
    <w:rsid w:val="008324A7"/>
    <w:rsid w:val="0083254D"/>
    <w:rsid w:val="008327DC"/>
    <w:rsid w:val="00832AA0"/>
    <w:rsid w:val="00832C38"/>
    <w:rsid w:val="00832D8F"/>
    <w:rsid w:val="00833474"/>
    <w:rsid w:val="0083349B"/>
    <w:rsid w:val="00833580"/>
    <w:rsid w:val="0083379D"/>
    <w:rsid w:val="00833A9A"/>
    <w:rsid w:val="00833CC6"/>
    <w:rsid w:val="008344E6"/>
    <w:rsid w:val="00834638"/>
    <w:rsid w:val="00834AC8"/>
    <w:rsid w:val="00834B44"/>
    <w:rsid w:val="00834BC9"/>
    <w:rsid w:val="00834D31"/>
    <w:rsid w:val="00835579"/>
    <w:rsid w:val="0083583C"/>
    <w:rsid w:val="008359D0"/>
    <w:rsid w:val="00835AEF"/>
    <w:rsid w:val="00835AF8"/>
    <w:rsid w:val="00835D59"/>
    <w:rsid w:val="00835FD4"/>
    <w:rsid w:val="00836249"/>
    <w:rsid w:val="00836293"/>
    <w:rsid w:val="00836512"/>
    <w:rsid w:val="0083654F"/>
    <w:rsid w:val="0083689C"/>
    <w:rsid w:val="00836AFD"/>
    <w:rsid w:val="00836B0E"/>
    <w:rsid w:val="00836B6E"/>
    <w:rsid w:val="00836BB1"/>
    <w:rsid w:val="00836D32"/>
    <w:rsid w:val="00836F00"/>
    <w:rsid w:val="00836FC8"/>
    <w:rsid w:val="008371AB"/>
    <w:rsid w:val="008374A9"/>
    <w:rsid w:val="00837A6C"/>
    <w:rsid w:val="00837A99"/>
    <w:rsid w:val="00837D80"/>
    <w:rsid w:val="00837DF8"/>
    <w:rsid w:val="008407F9"/>
    <w:rsid w:val="00840B9F"/>
    <w:rsid w:val="00840BC2"/>
    <w:rsid w:val="00840BF7"/>
    <w:rsid w:val="00840C00"/>
    <w:rsid w:val="00840C4D"/>
    <w:rsid w:val="00840D06"/>
    <w:rsid w:val="00840E17"/>
    <w:rsid w:val="00840F6F"/>
    <w:rsid w:val="00841046"/>
    <w:rsid w:val="008410BD"/>
    <w:rsid w:val="00841148"/>
    <w:rsid w:val="008415AC"/>
    <w:rsid w:val="008415E1"/>
    <w:rsid w:val="008416FF"/>
    <w:rsid w:val="00841856"/>
    <w:rsid w:val="008419A0"/>
    <w:rsid w:val="00841B78"/>
    <w:rsid w:val="00841DDB"/>
    <w:rsid w:val="00842210"/>
    <w:rsid w:val="008423D4"/>
    <w:rsid w:val="00842586"/>
    <w:rsid w:val="00842859"/>
    <w:rsid w:val="00842BBD"/>
    <w:rsid w:val="00842BF8"/>
    <w:rsid w:val="00842C98"/>
    <w:rsid w:val="00842CF6"/>
    <w:rsid w:val="00842D93"/>
    <w:rsid w:val="00842E1E"/>
    <w:rsid w:val="00843084"/>
    <w:rsid w:val="00843169"/>
    <w:rsid w:val="0084334C"/>
    <w:rsid w:val="008433FC"/>
    <w:rsid w:val="008435B0"/>
    <w:rsid w:val="00843B36"/>
    <w:rsid w:val="00843E56"/>
    <w:rsid w:val="0084411C"/>
    <w:rsid w:val="008443AC"/>
    <w:rsid w:val="008443EA"/>
    <w:rsid w:val="0084448E"/>
    <w:rsid w:val="008446BE"/>
    <w:rsid w:val="008447D4"/>
    <w:rsid w:val="00844ACD"/>
    <w:rsid w:val="00844B0B"/>
    <w:rsid w:val="00844BC9"/>
    <w:rsid w:val="00844CD1"/>
    <w:rsid w:val="00844FC2"/>
    <w:rsid w:val="00845079"/>
    <w:rsid w:val="00845106"/>
    <w:rsid w:val="008452D5"/>
    <w:rsid w:val="008456DC"/>
    <w:rsid w:val="00845B74"/>
    <w:rsid w:val="0084608C"/>
    <w:rsid w:val="00846192"/>
    <w:rsid w:val="008461B8"/>
    <w:rsid w:val="00846315"/>
    <w:rsid w:val="0084641A"/>
    <w:rsid w:val="008465C5"/>
    <w:rsid w:val="008465CF"/>
    <w:rsid w:val="008467C1"/>
    <w:rsid w:val="00846A46"/>
    <w:rsid w:val="00846C9D"/>
    <w:rsid w:val="0084739D"/>
    <w:rsid w:val="008473AD"/>
    <w:rsid w:val="008474AF"/>
    <w:rsid w:val="0084768A"/>
    <w:rsid w:val="008476FC"/>
    <w:rsid w:val="008478FB"/>
    <w:rsid w:val="0084796C"/>
    <w:rsid w:val="00847C25"/>
    <w:rsid w:val="00847C58"/>
    <w:rsid w:val="00847C6E"/>
    <w:rsid w:val="00847C9C"/>
    <w:rsid w:val="008501F8"/>
    <w:rsid w:val="00850612"/>
    <w:rsid w:val="00850651"/>
    <w:rsid w:val="008507A7"/>
    <w:rsid w:val="00850806"/>
    <w:rsid w:val="00850B5A"/>
    <w:rsid w:val="00850EED"/>
    <w:rsid w:val="00851271"/>
    <w:rsid w:val="008512D5"/>
    <w:rsid w:val="008513A8"/>
    <w:rsid w:val="0085147D"/>
    <w:rsid w:val="008516D0"/>
    <w:rsid w:val="00851CDE"/>
    <w:rsid w:val="00851EB1"/>
    <w:rsid w:val="008521E6"/>
    <w:rsid w:val="0085237C"/>
    <w:rsid w:val="00852558"/>
    <w:rsid w:val="008525A7"/>
    <w:rsid w:val="0085275D"/>
    <w:rsid w:val="00852A52"/>
    <w:rsid w:val="00852ADA"/>
    <w:rsid w:val="00852B61"/>
    <w:rsid w:val="00852D6D"/>
    <w:rsid w:val="008531F0"/>
    <w:rsid w:val="0085351B"/>
    <w:rsid w:val="008538A5"/>
    <w:rsid w:val="00853970"/>
    <w:rsid w:val="008539F9"/>
    <w:rsid w:val="00853A45"/>
    <w:rsid w:val="00853C54"/>
    <w:rsid w:val="00854130"/>
    <w:rsid w:val="00854524"/>
    <w:rsid w:val="00854669"/>
    <w:rsid w:val="00854698"/>
    <w:rsid w:val="008546E4"/>
    <w:rsid w:val="00854B46"/>
    <w:rsid w:val="00854D02"/>
    <w:rsid w:val="00854F14"/>
    <w:rsid w:val="008552A6"/>
    <w:rsid w:val="0085536D"/>
    <w:rsid w:val="008553C8"/>
    <w:rsid w:val="008555D2"/>
    <w:rsid w:val="008559E1"/>
    <w:rsid w:val="00855E88"/>
    <w:rsid w:val="00855F19"/>
    <w:rsid w:val="008560B9"/>
    <w:rsid w:val="0085615D"/>
    <w:rsid w:val="00856369"/>
    <w:rsid w:val="00856411"/>
    <w:rsid w:val="00856474"/>
    <w:rsid w:val="00856620"/>
    <w:rsid w:val="008568D5"/>
    <w:rsid w:val="00856A1B"/>
    <w:rsid w:val="00856CD5"/>
    <w:rsid w:val="00856F70"/>
    <w:rsid w:val="008570CF"/>
    <w:rsid w:val="00857100"/>
    <w:rsid w:val="008572A2"/>
    <w:rsid w:val="0085788E"/>
    <w:rsid w:val="008579E9"/>
    <w:rsid w:val="00857A44"/>
    <w:rsid w:val="00857C63"/>
    <w:rsid w:val="00857DCE"/>
    <w:rsid w:val="00860002"/>
    <w:rsid w:val="00860025"/>
    <w:rsid w:val="008600C6"/>
    <w:rsid w:val="008608A9"/>
    <w:rsid w:val="008608C2"/>
    <w:rsid w:val="008608FA"/>
    <w:rsid w:val="00860AF3"/>
    <w:rsid w:val="00860B24"/>
    <w:rsid w:val="00860BA9"/>
    <w:rsid w:val="00860BB6"/>
    <w:rsid w:val="00860E95"/>
    <w:rsid w:val="00861190"/>
    <w:rsid w:val="00861524"/>
    <w:rsid w:val="00861845"/>
    <w:rsid w:val="00861864"/>
    <w:rsid w:val="00861D3E"/>
    <w:rsid w:val="008621A4"/>
    <w:rsid w:val="008621C3"/>
    <w:rsid w:val="008622B7"/>
    <w:rsid w:val="008629F3"/>
    <w:rsid w:val="00862C91"/>
    <w:rsid w:val="00862D10"/>
    <w:rsid w:val="00863121"/>
    <w:rsid w:val="0086313D"/>
    <w:rsid w:val="008635A4"/>
    <w:rsid w:val="008636A0"/>
    <w:rsid w:val="00863A42"/>
    <w:rsid w:val="00863ECF"/>
    <w:rsid w:val="00863FAE"/>
    <w:rsid w:val="008641DC"/>
    <w:rsid w:val="008641EA"/>
    <w:rsid w:val="00864587"/>
    <w:rsid w:val="00864663"/>
    <w:rsid w:val="0086492D"/>
    <w:rsid w:val="00865486"/>
    <w:rsid w:val="0086557C"/>
    <w:rsid w:val="00865D35"/>
    <w:rsid w:val="008664D5"/>
    <w:rsid w:val="008666C9"/>
    <w:rsid w:val="008666E4"/>
    <w:rsid w:val="008669BE"/>
    <w:rsid w:val="00866ED7"/>
    <w:rsid w:val="00866FC9"/>
    <w:rsid w:val="00867437"/>
    <w:rsid w:val="0086772F"/>
    <w:rsid w:val="00867934"/>
    <w:rsid w:val="00867A03"/>
    <w:rsid w:val="00867B13"/>
    <w:rsid w:val="00867E73"/>
    <w:rsid w:val="008702E4"/>
    <w:rsid w:val="00870943"/>
    <w:rsid w:val="00870AAB"/>
    <w:rsid w:val="00870E80"/>
    <w:rsid w:val="008712AC"/>
    <w:rsid w:val="00871469"/>
    <w:rsid w:val="00871799"/>
    <w:rsid w:val="00871890"/>
    <w:rsid w:val="00871948"/>
    <w:rsid w:val="00871BEC"/>
    <w:rsid w:val="00871CA7"/>
    <w:rsid w:val="00871E32"/>
    <w:rsid w:val="0087290C"/>
    <w:rsid w:val="00872EF5"/>
    <w:rsid w:val="00873058"/>
    <w:rsid w:val="00873370"/>
    <w:rsid w:val="008734E9"/>
    <w:rsid w:val="008738D9"/>
    <w:rsid w:val="008738F1"/>
    <w:rsid w:val="00873959"/>
    <w:rsid w:val="00873E70"/>
    <w:rsid w:val="00873FC4"/>
    <w:rsid w:val="008740D0"/>
    <w:rsid w:val="008740F9"/>
    <w:rsid w:val="0087417B"/>
    <w:rsid w:val="008741AC"/>
    <w:rsid w:val="00874399"/>
    <w:rsid w:val="008745BD"/>
    <w:rsid w:val="008746DB"/>
    <w:rsid w:val="00874852"/>
    <w:rsid w:val="00874DA9"/>
    <w:rsid w:val="00874DDC"/>
    <w:rsid w:val="00874EA5"/>
    <w:rsid w:val="00875163"/>
    <w:rsid w:val="00875256"/>
    <w:rsid w:val="008758FA"/>
    <w:rsid w:val="00875928"/>
    <w:rsid w:val="008759EF"/>
    <w:rsid w:val="00875DFC"/>
    <w:rsid w:val="00875F16"/>
    <w:rsid w:val="00875FE8"/>
    <w:rsid w:val="0087618B"/>
    <w:rsid w:val="00876275"/>
    <w:rsid w:val="00876509"/>
    <w:rsid w:val="00876818"/>
    <w:rsid w:val="00876AE9"/>
    <w:rsid w:val="00876AFC"/>
    <w:rsid w:val="00876DEE"/>
    <w:rsid w:val="008772FE"/>
    <w:rsid w:val="008777F6"/>
    <w:rsid w:val="00877BAD"/>
    <w:rsid w:val="00877D73"/>
    <w:rsid w:val="00877D81"/>
    <w:rsid w:val="00877E79"/>
    <w:rsid w:val="00877FA3"/>
    <w:rsid w:val="008801F9"/>
    <w:rsid w:val="00880AB2"/>
    <w:rsid w:val="00880B6D"/>
    <w:rsid w:val="0088107F"/>
    <w:rsid w:val="00881337"/>
    <w:rsid w:val="0088150D"/>
    <w:rsid w:val="00881A47"/>
    <w:rsid w:val="00881B41"/>
    <w:rsid w:val="00881BB2"/>
    <w:rsid w:val="00881CED"/>
    <w:rsid w:val="0088200E"/>
    <w:rsid w:val="00882367"/>
    <w:rsid w:val="0088294E"/>
    <w:rsid w:val="00882B30"/>
    <w:rsid w:val="00882B99"/>
    <w:rsid w:val="00882E1B"/>
    <w:rsid w:val="00882F49"/>
    <w:rsid w:val="00883112"/>
    <w:rsid w:val="0088326C"/>
    <w:rsid w:val="008838D9"/>
    <w:rsid w:val="00883E01"/>
    <w:rsid w:val="00884428"/>
    <w:rsid w:val="008849B4"/>
    <w:rsid w:val="00884B96"/>
    <w:rsid w:val="00884C1A"/>
    <w:rsid w:val="00884EAB"/>
    <w:rsid w:val="008850F5"/>
    <w:rsid w:val="00885104"/>
    <w:rsid w:val="008854AC"/>
    <w:rsid w:val="00885561"/>
    <w:rsid w:val="00885647"/>
    <w:rsid w:val="00885CB8"/>
    <w:rsid w:val="008860C8"/>
    <w:rsid w:val="00886121"/>
    <w:rsid w:val="00886355"/>
    <w:rsid w:val="008863AC"/>
    <w:rsid w:val="008866A9"/>
    <w:rsid w:val="0088674B"/>
    <w:rsid w:val="00886859"/>
    <w:rsid w:val="008868C9"/>
    <w:rsid w:val="00886D16"/>
    <w:rsid w:val="00886FB2"/>
    <w:rsid w:val="008872E9"/>
    <w:rsid w:val="00887489"/>
    <w:rsid w:val="00887A5A"/>
    <w:rsid w:val="00887B9A"/>
    <w:rsid w:val="00887C30"/>
    <w:rsid w:val="00887CFF"/>
    <w:rsid w:val="00887E45"/>
    <w:rsid w:val="00887EFF"/>
    <w:rsid w:val="00887F03"/>
    <w:rsid w:val="00890214"/>
    <w:rsid w:val="008902D4"/>
    <w:rsid w:val="00890814"/>
    <w:rsid w:val="008908F4"/>
    <w:rsid w:val="00890C0F"/>
    <w:rsid w:val="00890DCD"/>
    <w:rsid w:val="00890F3D"/>
    <w:rsid w:val="0089110A"/>
    <w:rsid w:val="00891200"/>
    <w:rsid w:val="00891252"/>
    <w:rsid w:val="008913BB"/>
    <w:rsid w:val="0089174B"/>
    <w:rsid w:val="00891998"/>
    <w:rsid w:val="00891DAA"/>
    <w:rsid w:val="00892042"/>
    <w:rsid w:val="0089227A"/>
    <w:rsid w:val="00892550"/>
    <w:rsid w:val="008926E2"/>
    <w:rsid w:val="0089283E"/>
    <w:rsid w:val="0089297B"/>
    <w:rsid w:val="00892E33"/>
    <w:rsid w:val="00892E52"/>
    <w:rsid w:val="00892FD2"/>
    <w:rsid w:val="00893080"/>
    <w:rsid w:val="00893126"/>
    <w:rsid w:val="00893183"/>
    <w:rsid w:val="008932F5"/>
    <w:rsid w:val="008934C3"/>
    <w:rsid w:val="00893981"/>
    <w:rsid w:val="008939C6"/>
    <w:rsid w:val="00893AA6"/>
    <w:rsid w:val="00893B66"/>
    <w:rsid w:val="00893CD4"/>
    <w:rsid w:val="00893DB2"/>
    <w:rsid w:val="00893DF9"/>
    <w:rsid w:val="00893F76"/>
    <w:rsid w:val="00894037"/>
    <w:rsid w:val="008940D3"/>
    <w:rsid w:val="00894105"/>
    <w:rsid w:val="00894363"/>
    <w:rsid w:val="00894371"/>
    <w:rsid w:val="008947AE"/>
    <w:rsid w:val="0089485D"/>
    <w:rsid w:val="00894BE5"/>
    <w:rsid w:val="00894E6A"/>
    <w:rsid w:val="0089514F"/>
    <w:rsid w:val="008955D5"/>
    <w:rsid w:val="00895697"/>
    <w:rsid w:val="008957AA"/>
    <w:rsid w:val="008957F9"/>
    <w:rsid w:val="00895923"/>
    <w:rsid w:val="00895D39"/>
    <w:rsid w:val="00896056"/>
    <w:rsid w:val="00896539"/>
    <w:rsid w:val="00896A15"/>
    <w:rsid w:val="00896D7D"/>
    <w:rsid w:val="008971BB"/>
    <w:rsid w:val="00897463"/>
    <w:rsid w:val="0089775D"/>
    <w:rsid w:val="008977EA"/>
    <w:rsid w:val="00897AF9"/>
    <w:rsid w:val="008A00CC"/>
    <w:rsid w:val="008A0300"/>
    <w:rsid w:val="008A095C"/>
    <w:rsid w:val="008A0A8A"/>
    <w:rsid w:val="008A0C94"/>
    <w:rsid w:val="008A0CDD"/>
    <w:rsid w:val="008A0DFF"/>
    <w:rsid w:val="008A0F28"/>
    <w:rsid w:val="008A11DA"/>
    <w:rsid w:val="008A12CA"/>
    <w:rsid w:val="008A177E"/>
    <w:rsid w:val="008A193C"/>
    <w:rsid w:val="008A1B57"/>
    <w:rsid w:val="008A1C84"/>
    <w:rsid w:val="008A1CF7"/>
    <w:rsid w:val="008A1D7E"/>
    <w:rsid w:val="008A1E82"/>
    <w:rsid w:val="008A278D"/>
    <w:rsid w:val="008A295B"/>
    <w:rsid w:val="008A2A72"/>
    <w:rsid w:val="008A2AD6"/>
    <w:rsid w:val="008A2C24"/>
    <w:rsid w:val="008A2F1A"/>
    <w:rsid w:val="008A304C"/>
    <w:rsid w:val="008A32E3"/>
    <w:rsid w:val="008A3377"/>
    <w:rsid w:val="008A3480"/>
    <w:rsid w:val="008A34E3"/>
    <w:rsid w:val="008A36B6"/>
    <w:rsid w:val="008A390A"/>
    <w:rsid w:val="008A3C8E"/>
    <w:rsid w:val="008A3FDD"/>
    <w:rsid w:val="008A40DF"/>
    <w:rsid w:val="008A41AB"/>
    <w:rsid w:val="008A42A4"/>
    <w:rsid w:val="008A4504"/>
    <w:rsid w:val="008A48E3"/>
    <w:rsid w:val="008A4A0D"/>
    <w:rsid w:val="008A4EED"/>
    <w:rsid w:val="008A538E"/>
    <w:rsid w:val="008A55C9"/>
    <w:rsid w:val="008A567B"/>
    <w:rsid w:val="008A5B97"/>
    <w:rsid w:val="008A5E60"/>
    <w:rsid w:val="008A6084"/>
    <w:rsid w:val="008A60F4"/>
    <w:rsid w:val="008A61E4"/>
    <w:rsid w:val="008A6604"/>
    <w:rsid w:val="008A66B8"/>
    <w:rsid w:val="008A6D1D"/>
    <w:rsid w:val="008A706B"/>
    <w:rsid w:val="008A759D"/>
    <w:rsid w:val="008A7907"/>
    <w:rsid w:val="008A7A83"/>
    <w:rsid w:val="008A7FF4"/>
    <w:rsid w:val="008B0248"/>
    <w:rsid w:val="008B04FF"/>
    <w:rsid w:val="008B054F"/>
    <w:rsid w:val="008B0623"/>
    <w:rsid w:val="008B0775"/>
    <w:rsid w:val="008B08AA"/>
    <w:rsid w:val="008B0BA8"/>
    <w:rsid w:val="008B0BD9"/>
    <w:rsid w:val="008B0CA9"/>
    <w:rsid w:val="008B0D52"/>
    <w:rsid w:val="008B0E38"/>
    <w:rsid w:val="008B1215"/>
    <w:rsid w:val="008B1462"/>
    <w:rsid w:val="008B160D"/>
    <w:rsid w:val="008B1ADC"/>
    <w:rsid w:val="008B1BFC"/>
    <w:rsid w:val="008B1C73"/>
    <w:rsid w:val="008B1EC2"/>
    <w:rsid w:val="008B1FD0"/>
    <w:rsid w:val="008B2720"/>
    <w:rsid w:val="008B2780"/>
    <w:rsid w:val="008B2A3B"/>
    <w:rsid w:val="008B2C74"/>
    <w:rsid w:val="008B2D0D"/>
    <w:rsid w:val="008B2DE9"/>
    <w:rsid w:val="008B2FD0"/>
    <w:rsid w:val="008B2FE5"/>
    <w:rsid w:val="008B3033"/>
    <w:rsid w:val="008B3362"/>
    <w:rsid w:val="008B33B7"/>
    <w:rsid w:val="008B364D"/>
    <w:rsid w:val="008B38B6"/>
    <w:rsid w:val="008B3EE4"/>
    <w:rsid w:val="008B413F"/>
    <w:rsid w:val="008B4210"/>
    <w:rsid w:val="008B45FA"/>
    <w:rsid w:val="008B4899"/>
    <w:rsid w:val="008B48B1"/>
    <w:rsid w:val="008B4E41"/>
    <w:rsid w:val="008B4F91"/>
    <w:rsid w:val="008B5482"/>
    <w:rsid w:val="008B556E"/>
    <w:rsid w:val="008B5846"/>
    <w:rsid w:val="008B5A4B"/>
    <w:rsid w:val="008B5D07"/>
    <w:rsid w:val="008B6045"/>
    <w:rsid w:val="008B604C"/>
    <w:rsid w:val="008B63B2"/>
    <w:rsid w:val="008B63C2"/>
    <w:rsid w:val="008B659D"/>
    <w:rsid w:val="008B65E9"/>
    <w:rsid w:val="008B6CD7"/>
    <w:rsid w:val="008B7009"/>
    <w:rsid w:val="008B7046"/>
    <w:rsid w:val="008B706A"/>
    <w:rsid w:val="008B72EE"/>
    <w:rsid w:val="008B7941"/>
    <w:rsid w:val="008B7946"/>
    <w:rsid w:val="008B7B63"/>
    <w:rsid w:val="008B7E98"/>
    <w:rsid w:val="008B7EB6"/>
    <w:rsid w:val="008C0023"/>
    <w:rsid w:val="008C02CD"/>
    <w:rsid w:val="008C0638"/>
    <w:rsid w:val="008C065E"/>
    <w:rsid w:val="008C06E6"/>
    <w:rsid w:val="008C106F"/>
    <w:rsid w:val="008C1081"/>
    <w:rsid w:val="008C1123"/>
    <w:rsid w:val="008C1125"/>
    <w:rsid w:val="008C119E"/>
    <w:rsid w:val="008C119F"/>
    <w:rsid w:val="008C11F4"/>
    <w:rsid w:val="008C12EB"/>
    <w:rsid w:val="008C15B7"/>
    <w:rsid w:val="008C16D8"/>
    <w:rsid w:val="008C173A"/>
    <w:rsid w:val="008C1892"/>
    <w:rsid w:val="008C21C0"/>
    <w:rsid w:val="008C23CA"/>
    <w:rsid w:val="008C23E2"/>
    <w:rsid w:val="008C26A2"/>
    <w:rsid w:val="008C26B1"/>
    <w:rsid w:val="008C2B4E"/>
    <w:rsid w:val="008C2BCA"/>
    <w:rsid w:val="008C2BEC"/>
    <w:rsid w:val="008C2CC9"/>
    <w:rsid w:val="008C2D7E"/>
    <w:rsid w:val="008C3122"/>
    <w:rsid w:val="008C322B"/>
    <w:rsid w:val="008C33D6"/>
    <w:rsid w:val="008C3543"/>
    <w:rsid w:val="008C3837"/>
    <w:rsid w:val="008C3A9D"/>
    <w:rsid w:val="008C3CBE"/>
    <w:rsid w:val="008C3CFC"/>
    <w:rsid w:val="008C3D06"/>
    <w:rsid w:val="008C3D7B"/>
    <w:rsid w:val="008C3DB5"/>
    <w:rsid w:val="008C3EFF"/>
    <w:rsid w:val="008C3FED"/>
    <w:rsid w:val="008C44F8"/>
    <w:rsid w:val="008C4511"/>
    <w:rsid w:val="008C4593"/>
    <w:rsid w:val="008C46E8"/>
    <w:rsid w:val="008C4DEF"/>
    <w:rsid w:val="008C52B3"/>
    <w:rsid w:val="008C54A0"/>
    <w:rsid w:val="008C572B"/>
    <w:rsid w:val="008C5870"/>
    <w:rsid w:val="008C5C7D"/>
    <w:rsid w:val="008C5DD3"/>
    <w:rsid w:val="008C6003"/>
    <w:rsid w:val="008C616E"/>
    <w:rsid w:val="008C6523"/>
    <w:rsid w:val="008C66D6"/>
    <w:rsid w:val="008C6D0E"/>
    <w:rsid w:val="008C6E4A"/>
    <w:rsid w:val="008C71FB"/>
    <w:rsid w:val="008C72FF"/>
    <w:rsid w:val="008C74FF"/>
    <w:rsid w:val="008C76F4"/>
    <w:rsid w:val="008C7929"/>
    <w:rsid w:val="008D059D"/>
    <w:rsid w:val="008D0619"/>
    <w:rsid w:val="008D09D2"/>
    <w:rsid w:val="008D0CDE"/>
    <w:rsid w:val="008D10DB"/>
    <w:rsid w:val="008D1139"/>
    <w:rsid w:val="008D15C3"/>
    <w:rsid w:val="008D1A84"/>
    <w:rsid w:val="008D1DAE"/>
    <w:rsid w:val="008D1DFC"/>
    <w:rsid w:val="008D1E34"/>
    <w:rsid w:val="008D1E87"/>
    <w:rsid w:val="008D1EF0"/>
    <w:rsid w:val="008D2698"/>
    <w:rsid w:val="008D27FF"/>
    <w:rsid w:val="008D2BD1"/>
    <w:rsid w:val="008D2C10"/>
    <w:rsid w:val="008D36C4"/>
    <w:rsid w:val="008D39C5"/>
    <w:rsid w:val="008D3B55"/>
    <w:rsid w:val="008D3CFA"/>
    <w:rsid w:val="008D3EE2"/>
    <w:rsid w:val="008D3F5C"/>
    <w:rsid w:val="008D4224"/>
    <w:rsid w:val="008D4236"/>
    <w:rsid w:val="008D45DD"/>
    <w:rsid w:val="008D4B01"/>
    <w:rsid w:val="008D5058"/>
    <w:rsid w:val="008D5180"/>
    <w:rsid w:val="008D55D4"/>
    <w:rsid w:val="008D56F5"/>
    <w:rsid w:val="008D5773"/>
    <w:rsid w:val="008D57D2"/>
    <w:rsid w:val="008D5813"/>
    <w:rsid w:val="008D595E"/>
    <w:rsid w:val="008D5A84"/>
    <w:rsid w:val="008D5DBA"/>
    <w:rsid w:val="008D5E0A"/>
    <w:rsid w:val="008D5ED9"/>
    <w:rsid w:val="008D60AF"/>
    <w:rsid w:val="008D619F"/>
    <w:rsid w:val="008D61EF"/>
    <w:rsid w:val="008D639D"/>
    <w:rsid w:val="008D64CF"/>
    <w:rsid w:val="008D6633"/>
    <w:rsid w:val="008D66FA"/>
    <w:rsid w:val="008D6B30"/>
    <w:rsid w:val="008D6E91"/>
    <w:rsid w:val="008D796C"/>
    <w:rsid w:val="008D79A8"/>
    <w:rsid w:val="008D7AE7"/>
    <w:rsid w:val="008E0198"/>
    <w:rsid w:val="008E0357"/>
    <w:rsid w:val="008E0387"/>
    <w:rsid w:val="008E0409"/>
    <w:rsid w:val="008E04AA"/>
    <w:rsid w:val="008E0D26"/>
    <w:rsid w:val="008E1012"/>
    <w:rsid w:val="008E1052"/>
    <w:rsid w:val="008E119B"/>
    <w:rsid w:val="008E1222"/>
    <w:rsid w:val="008E12C0"/>
    <w:rsid w:val="008E1691"/>
    <w:rsid w:val="008E1A5D"/>
    <w:rsid w:val="008E1AC4"/>
    <w:rsid w:val="008E1BC0"/>
    <w:rsid w:val="008E1D89"/>
    <w:rsid w:val="008E1E84"/>
    <w:rsid w:val="008E2268"/>
    <w:rsid w:val="008E22FF"/>
    <w:rsid w:val="008E247B"/>
    <w:rsid w:val="008E2596"/>
    <w:rsid w:val="008E264A"/>
    <w:rsid w:val="008E2D39"/>
    <w:rsid w:val="008E2EA5"/>
    <w:rsid w:val="008E2FC2"/>
    <w:rsid w:val="008E31B9"/>
    <w:rsid w:val="008E35D5"/>
    <w:rsid w:val="008E3A1E"/>
    <w:rsid w:val="008E3B83"/>
    <w:rsid w:val="008E3CCC"/>
    <w:rsid w:val="008E3E2C"/>
    <w:rsid w:val="008E3E3E"/>
    <w:rsid w:val="008E415C"/>
    <w:rsid w:val="008E43EC"/>
    <w:rsid w:val="008E4489"/>
    <w:rsid w:val="008E4619"/>
    <w:rsid w:val="008E4714"/>
    <w:rsid w:val="008E490B"/>
    <w:rsid w:val="008E4F59"/>
    <w:rsid w:val="008E5250"/>
    <w:rsid w:val="008E5A61"/>
    <w:rsid w:val="008E5ACD"/>
    <w:rsid w:val="008E5BDB"/>
    <w:rsid w:val="008E5D6A"/>
    <w:rsid w:val="008E5EF7"/>
    <w:rsid w:val="008E5FEE"/>
    <w:rsid w:val="008E60A6"/>
    <w:rsid w:val="008E6512"/>
    <w:rsid w:val="008E651D"/>
    <w:rsid w:val="008E6772"/>
    <w:rsid w:val="008E6B3F"/>
    <w:rsid w:val="008E6B49"/>
    <w:rsid w:val="008E6C32"/>
    <w:rsid w:val="008E70AE"/>
    <w:rsid w:val="008E7249"/>
    <w:rsid w:val="008E7448"/>
    <w:rsid w:val="008E75D6"/>
    <w:rsid w:val="008E77A5"/>
    <w:rsid w:val="008E7840"/>
    <w:rsid w:val="008E7BD0"/>
    <w:rsid w:val="008E7C3E"/>
    <w:rsid w:val="008E7C59"/>
    <w:rsid w:val="008F0057"/>
    <w:rsid w:val="008F03AD"/>
    <w:rsid w:val="008F0720"/>
    <w:rsid w:val="008F0BDC"/>
    <w:rsid w:val="008F0C47"/>
    <w:rsid w:val="008F0DA9"/>
    <w:rsid w:val="008F0F38"/>
    <w:rsid w:val="008F12D2"/>
    <w:rsid w:val="008F1342"/>
    <w:rsid w:val="008F1474"/>
    <w:rsid w:val="008F1572"/>
    <w:rsid w:val="008F16EB"/>
    <w:rsid w:val="008F1706"/>
    <w:rsid w:val="008F1764"/>
    <w:rsid w:val="008F1973"/>
    <w:rsid w:val="008F1B46"/>
    <w:rsid w:val="008F2059"/>
    <w:rsid w:val="008F234A"/>
    <w:rsid w:val="008F239A"/>
    <w:rsid w:val="008F242D"/>
    <w:rsid w:val="008F2713"/>
    <w:rsid w:val="008F28BF"/>
    <w:rsid w:val="008F2B96"/>
    <w:rsid w:val="008F2BCD"/>
    <w:rsid w:val="008F3258"/>
    <w:rsid w:val="008F3259"/>
    <w:rsid w:val="008F33CB"/>
    <w:rsid w:val="008F3647"/>
    <w:rsid w:val="008F375F"/>
    <w:rsid w:val="008F3787"/>
    <w:rsid w:val="008F3895"/>
    <w:rsid w:val="008F39C6"/>
    <w:rsid w:val="008F3CFB"/>
    <w:rsid w:val="008F3FBD"/>
    <w:rsid w:val="008F40EE"/>
    <w:rsid w:val="008F4114"/>
    <w:rsid w:val="008F458E"/>
    <w:rsid w:val="008F4BCB"/>
    <w:rsid w:val="008F4C12"/>
    <w:rsid w:val="008F4D32"/>
    <w:rsid w:val="008F4D4D"/>
    <w:rsid w:val="008F52D5"/>
    <w:rsid w:val="008F5303"/>
    <w:rsid w:val="008F54EF"/>
    <w:rsid w:val="008F5B08"/>
    <w:rsid w:val="008F5F64"/>
    <w:rsid w:val="008F5F87"/>
    <w:rsid w:val="008F5F94"/>
    <w:rsid w:val="008F646D"/>
    <w:rsid w:val="008F65C2"/>
    <w:rsid w:val="008F67A8"/>
    <w:rsid w:val="008F67D5"/>
    <w:rsid w:val="008F6830"/>
    <w:rsid w:val="008F6A1B"/>
    <w:rsid w:val="008F6B96"/>
    <w:rsid w:val="008F6D51"/>
    <w:rsid w:val="008F6DB9"/>
    <w:rsid w:val="008F6E25"/>
    <w:rsid w:val="008F6F5D"/>
    <w:rsid w:val="008F70E2"/>
    <w:rsid w:val="008F7156"/>
    <w:rsid w:val="008F7337"/>
    <w:rsid w:val="008F7910"/>
    <w:rsid w:val="008F7C84"/>
    <w:rsid w:val="008F7CCC"/>
    <w:rsid w:val="008F7D40"/>
    <w:rsid w:val="00900267"/>
    <w:rsid w:val="009003DA"/>
    <w:rsid w:val="00900433"/>
    <w:rsid w:val="009004D1"/>
    <w:rsid w:val="0090051E"/>
    <w:rsid w:val="00900A12"/>
    <w:rsid w:val="00900A34"/>
    <w:rsid w:val="00900B66"/>
    <w:rsid w:val="00900C67"/>
    <w:rsid w:val="00900D85"/>
    <w:rsid w:val="00900E2F"/>
    <w:rsid w:val="00900F3D"/>
    <w:rsid w:val="00900FBB"/>
    <w:rsid w:val="00901274"/>
    <w:rsid w:val="0090159C"/>
    <w:rsid w:val="0090172F"/>
    <w:rsid w:val="00901731"/>
    <w:rsid w:val="0090195C"/>
    <w:rsid w:val="00901A7D"/>
    <w:rsid w:val="00901B3C"/>
    <w:rsid w:val="00901BA3"/>
    <w:rsid w:val="00901F10"/>
    <w:rsid w:val="009023BF"/>
    <w:rsid w:val="00902A51"/>
    <w:rsid w:val="00902B7F"/>
    <w:rsid w:val="00902C2F"/>
    <w:rsid w:val="00902CC1"/>
    <w:rsid w:val="00903303"/>
    <w:rsid w:val="0090373B"/>
    <w:rsid w:val="00903A83"/>
    <w:rsid w:val="00903C7D"/>
    <w:rsid w:val="00904024"/>
    <w:rsid w:val="00904677"/>
    <w:rsid w:val="0090478D"/>
    <w:rsid w:val="00904C73"/>
    <w:rsid w:val="0090505D"/>
    <w:rsid w:val="0090509F"/>
    <w:rsid w:val="00905478"/>
    <w:rsid w:val="00905C8E"/>
    <w:rsid w:val="00906132"/>
    <w:rsid w:val="00906154"/>
    <w:rsid w:val="0090634A"/>
    <w:rsid w:val="009069FA"/>
    <w:rsid w:val="00907073"/>
    <w:rsid w:val="00907276"/>
    <w:rsid w:val="0090748D"/>
    <w:rsid w:val="009074A4"/>
    <w:rsid w:val="00907555"/>
    <w:rsid w:val="00907994"/>
    <w:rsid w:val="00907A8B"/>
    <w:rsid w:val="00907AEF"/>
    <w:rsid w:val="00907CD2"/>
    <w:rsid w:val="00907FA7"/>
    <w:rsid w:val="00910047"/>
    <w:rsid w:val="009103E5"/>
    <w:rsid w:val="00910775"/>
    <w:rsid w:val="00910796"/>
    <w:rsid w:val="00910CB8"/>
    <w:rsid w:val="00910F42"/>
    <w:rsid w:val="009111A0"/>
    <w:rsid w:val="0091179C"/>
    <w:rsid w:val="00911976"/>
    <w:rsid w:val="00911C37"/>
    <w:rsid w:val="00911C44"/>
    <w:rsid w:val="00911E6C"/>
    <w:rsid w:val="00911F46"/>
    <w:rsid w:val="00912782"/>
    <w:rsid w:val="0091281C"/>
    <w:rsid w:val="0091282B"/>
    <w:rsid w:val="00912929"/>
    <w:rsid w:val="00912CFC"/>
    <w:rsid w:val="00913047"/>
    <w:rsid w:val="009136DA"/>
    <w:rsid w:val="00913B98"/>
    <w:rsid w:val="00913DC9"/>
    <w:rsid w:val="00914229"/>
    <w:rsid w:val="009142C2"/>
    <w:rsid w:val="009142EA"/>
    <w:rsid w:val="009143CA"/>
    <w:rsid w:val="009146FB"/>
    <w:rsid w:val="0091474E"/>
    <w:rsid w:val="00914DAB"/>
    <w:rsid w:val="00914EA0"/>
    <w:rsid w:val="00914EAE"/>
    <w:rsid w:val="00914F7A"/>
    <w:rsid w:val="0091523F"/>
    <w:rsid w:val="00915290"/>
    <w:rsid w:val="0091547A"/>
    <w:rsid w:val="009162B7"/>
    <w:rsid w:val="009162CC"/>
    <w:rsid w:val="00916336"/>
    <w:rsid w:val="0091653B"/>
    <w:rsid w:val="00916765"/>
    <w:rsid w:val="009169FC"/>
    <w:rsid w:val="009170A8"/>
    <w:rsid w:val="0091717F"/>
    <w:rsid w:val="00917405"/>
    <w:rsid w:val="00917622"/>
    <w:rsid w:val="0091767B"/>
    <w:rsid w:val="00917824"/>
    <w:rsid w:val="009178B0"/>
    <w:rsid w:val="00917928"/>
    <w:rsid w:val="00917937"/>
    <w:rsid w:val="00917AE9"/>
    <w:rsid w:val="00917B11"/>
    <w:rsid w:val="00917D6B"/>
    <w:rsid w:val="00920108"/>
    <w:rsid w:val="0092018F"/>
    <w:rsid w:val="009201E3"/>
    <w:rsid w:val="009202A8"/>
    <w:rsid w:val="009208F5"/>
    <w:rsid w:val="00920BA8"/>
    <w:rsid w:val="00920C58"/>
    <w:rsid w:val="00920C9F"/>
    <w:rsid w:val="00920EA3"/>
    <w:rsid w:val="0092109A"/>
    <w:rsid w:val="00921155"/>
    <w:rsid w:val="009214F5"/>
    <w:rsid w:val="009215ED"/>
    <w:rsid w:val="00921B27"/>
    <w:rsid w:val="00921DAC"/>
    <w:rsid w:val="00921FE5"/>
    <w:rsid w:val="00922019"/>
    <w:rsid w:val="00922735"/>
    <w:rsid w:val="0092286E"/>
    <w:rsid w:val="00922917"/>
    <w:rsid w:val="00922AC8"/>
    <w:rsid w:val="00922C6B"/>
    <w:rsid w:val="00923591"/>
    <w:rsid w:val="00923593"/>
    <w:rsid w:val="009235AF"/>
    <w:rsid w:val="00923F3E"/>
    <w:rsid w:val="009241D1"/>
    <w:rsid w:val="009242D5"/>
    <w:rsid w:val="00924611"/>
    <w:rsid w:val="00924CB4"/>
    <w:rsid w:val="00924E15"/>
    <w:rsid w:val="00924E6E"/>
    <w:rsid w:val="00924FE6"/>
    <w:rsid w:val="009252A0"/>
    <w:rsid w:val="0092576E"/>
    <w:rsid w:val="00925C52"/>
    <w:rsid w:val="00925E60"/>
    <w:rsid w:val="009261C9"/>
    <w:rsid w:val="009262C8"/>
    <w:rsid w:val="009265B8"/>
    <w:rsid w:val="00926895"/>
    <w:rsid w:val="0092699C"/>
    <w:rsid w:val="00926AA7"/>
    <w:rsid w:val="00926B34"/>
    <w:rsid w:val="00926B8C"/>
    <w:rsid w:val="00926DB4"/>
    <w:rsid w:val="00926F12"/>
    <w:rsid w:val="009278D1"/>
    <w:rsid w:val="009278E7"/>
    <w:rsid w:val="00927BEA"/>
    <w:rsid w:val="00927D51"/>
    <w:rsid w:val="00930072"/>
    <w:rsid w:val="009301A2"/>
    <w:rsid w:val="0093020B"/>
    <w:rsid w:val="00930262"/>
    <w:rsid w:val="00930357"/>
    <w:rsid w:val="009303F7"/>
    <w:rsid w:val="009304BF"/>
    <w:rsid w:val="00930659"/>
    <w:rsid w:val="00930853"/>
    <w:rsid w:val="00930BC2"/>
    <w:rsid w:val="00930F9D"/>
    <w:rsid w:val="00931403"/>
    <w:rsid w:val="0093148E"/>
    <w:rsid w:val="009316D1"/>
    <w:rsid w:val="009317DD"/>
    <w:rsid w:val="00931D6B"/>
    <w:rsid w:val="00931D81"/>
    <w:rsid w:val="00931E32"/>
    <w:rsid w:val="00931EBF"/>
    <w:rsid w:val="009321CC"/>
    <w:rsid w:val="00932272"/>
    <w:rsid w:val="0093235B"/>
    <w:rsid w:val="0093236E"/>
    <w:rsid w:val="0093250C"/>
    <w:rsid w:val="009326B1"/>
    <w:rsid w:val="00932804"/>
    <w:rsid w:val="00932862"/>
    <w:rsid w:val="00932994"/>
    <w:rsid w:val="00932D6C"/>
    <w:rsid w:val="00933035"/>
    <w:rsid w:val="0093303F"/>
    <w:rsid w:val="0093321C"/>
    <w:rsid w:val="00933244"/>
    <w:rsid w:val="0093325B"/>
    <w:rsid w:val="009332B1"/>
    <w:rsid w:val="009334AE"/>
    <w:rsid w:val="00933794"/>
    <w:rsid w:val="00934ED9"/>
    <w:rsid w:val="009350DE"/>
    <w:rsid w:val="00935308"/>
    <w:rsid w:val="00935371"/>
    <w:rsid w:val="009353A6"/>
    <w:rsid w:val="0093554C"/>
    <w:rsid w:val="00935BC3"/>
    <w:rsid w:val="00935D24"/>
    <w:rsid w:val="00935D60"/>
    <w:rsid w:val="00936187"/>
    <w:rsid w:val="009361F8"/>
    <w:rsid w:val="009368FB"/>
    <w:rsid w:val="00936C58"/>
    <w:rsid w:val="00936F4F"/>
    <w:rsid w:val="00937339"/>
    <w:rsid w:val="00937375"/>
    <w:rsid w:val="009377E4"/>
    <w:rsid w:val="0093796E"/>
    <w:rsid w:val="00937C0C"/>
    <w:rsid w:val="00937CA4"/>
    <w:rsid w:val="00937D8B"/>
    <w:rsid w:val="00940724"/>
    <w:rsid w:val="00940853"/>
    <w:rsid w:val="00940948"/>
    <w:rsid w:val="00940A32"/>
    <w:rsid w:val="00940BA3"/>
    <w:rsid w:val="00940BBD"/>
    <w:rsid w:val="0094136F"/>
    <w:rsid w:val="0094159E"/>
    <w:rsid w:val="009417D6"/>
    <w:rsid w:val="009419AF"/>
    <w:rsid w:val="00941C2B"/>
    <w:rsid w:val="00941F6F"/>
    <w:rsid w:val="00941F82"/>
    <w:rsid w:val="009423C4"/>
    <w:rsid w:val="0094275F"/>
    <w:rsid w:val="0094277F"/>
    <w:rsid w:val="009428D2"/>
    <w:rsid w:val="00942CD5"/>
    <w:rsid w:val="00942D0D"/>
    <w:rsid w:val="00943080"/>
    <w:rsid w:val="00943182"/>
    <w:rsid w:val="0094341F"/>
    <w:rsid w:val="00943438"/>
    <w:rsid w:val="00943713"/>
    <w:rsid w:val="00943A06"/>
    <w:rsid w:val="00943B05"/>
    <w:rsid w:val="00943B51"/>
    <w:rsid w:val="00943E1F"/>
    <w:rsid w:val="00943E7A"/>
    <w:rsid w:val="00943FCF"/>
    <w:rsid w:val="00944478"/>
    <w:rsid w:val="009445E1"/>
    <w:rsid w:val="00944724"/>
    <w:rsid w:val="00944725"/>
    <w:rsid w:val="00944736"/>
    <w:rsid w:val="009447BB"/>
    <w:rsid w:val="00944ACA"/>
    <w:rsid w:val="00944C48"/>
    <w:rsid w:val="00944CA9"/>
    <w:rsid w:val="00945B34"/>
    <w:rsid w:val="00945BBF"/>
    <w:rsid w:val="00946335"/>
    <w:rsid w:val="009463D2"/>
    <w:rsid w:val="009464C5"/>
    <w:rsid w:val="009466AA"/>
    <w:rsid w:val="0094697A"/>
    <w:rsid w:val="00946F42"/>
    <w:rsid w:val="0094700A"/>
    <w:rsid w:val="00947327"/>
    <w:rsid w:val="00947423"/>
    <w:rsid w:val="009475FF"/>
    <w:rsid w:val="0094775D"/>
    <w:rsid w:val="00947A19"/>
    <w:rsid w:val="00947B23"/>
    <w:rsid w:val="00947C1F"/>
    <w:rsid w:val="00947C59"/>
    <w:rsid w:val="0095075B"/>
    <w:rsid w:val="00950DAB"/>
    <w:rsid w:val="009510FC"/>
    <w:rsid w:val="00951220"/>
    <w:rsid w:val="0095127C"/>
    <w:rsid w:val="009512AE"/>
    <w:rsid w:val="009513C4"/>
    <w:rsid w:val="009515B2"/>
    <w:rsid w:val="00951631"/>
    <w:rsid w:val="00951949"/>
    <w:rsid w:val="009519A4"/>
    <w:rsid w:val="00951CD5"/>
    <w:rsid w:val="00951E7F"/>
    <w:rsid w:val="00951FC4"/>
    <w:rsid w:val="0095211A"/>
    <w:rsid w:val="00952211"/>
    <w:rsid w:val="009522C7"/>
    <w:rsid w:val="00952328"/>
    <w:rsid w:val="0095264A"/>
    <w:rsid w:val="0095267A"/>
    <w:rsid w:val="009528C2"/>
    <w:rsid w:val="009529BB"/>
    <w:rsid w:val="00952D29"/>
    <w:rsid w:val="00952D9E"/>
    <w:rsid w:val="00952F45"/>
    <w:rsid w:val="00952FB3"/>
    <w:rsid w:val="00953335"/>
    <w:rsid w:val="00953848"/>
    <w:rsid w:val="00953C71"/>
    <w:rsid w:val="009542D6"/>
    <w:rsid w:val="0095441A"/>
    <w:rsid w:val="009545AC"/>
    <w:rsid w:val="00954964"/>
    <w:rsid w:val="00954CF3"/>
    <w:rsid w:val="00954EE9"/>
    <w:rsid w:val="00955328"/>
    <w:rsid w:val="0095532C"/>
    <w:rsid w:val="00955462"/>
    <w:rsid w:val="009554EC"/>
    <w:rsid w:val="009556D5"/>
    <w:rsid w:val="009556EF"/>
    <w:rsid w:val="00955893"/>
    <w:rsid w:val="00955A1B"/>
    <w:rsid w:val="00955BA4"/>
    <w:rsid w:val="00955D47"/>
    <w:rsid w:val="00955E3E"/>
    <w:rsid w:val="00955E55"/>
    <w:rsid w:val="00955F72"/>
    <w:rsid w:val="009560BE"/>
    <w:rsid w:val="00956123"/>
    <w:rsid w:val="009561C2"/>
    <w:rsid w:val="0095646A"/>
    <w:rsid w:val="009566DD"/>
    <w:rsid w:val="00956892"/>
    <w:rsid w:val="00957004"/>
    <w:rsid w:val="009575BC"/>
    <w:rsid w:val="009578E5"/>
    <w:rsid w:val="00957D96"/>
    <w:rsid w:val="00957FBC"/>
    <w:rsid w:val="009605CA"/>
    <w:rsid w:val="009607CB"/>
    <w:rsid w:val="009608E7"/>
    <w:rsid w:val="00960A26"/>
    <w:rsid w:val="009613BB"/>
    <w:rsid w:val="009617BB"/>
    <w:rsid w:val="009618C6"/>
    <w:rsid w:val="0096208E"/>
    <w:rsid w:val="009621A9"/>
    <w:rsid w:val="00962200"/>
    <w:rsid w:val="0096244A"/>
    <w:rsid w:val="00962D7E"/>
    <w:rsid w:val="00962D9A"/>
    <w:rsid w:val="00963239"/>
    <w:rsid w:val="0096330E"/>
    <w:rsid w:val="00963354"/>
    <w:rsid w:val="009636D8"/>
    <w:rsid w:val="00963855"/>
    <w:rsid w:val="0096390A"/>
    <w:rsid w:val="00963D01"/>
    <w:rsid w:val="00963D9C"/>
    <w:rsid w:val="009642AD"/>
    <w:rsid w:val="00964B83"/>
    <w:rsid w:val="009651DF"/>
    <w:rsid w:val="009655FB"/>
    <w:rsid w:val="0096562A"/>
    <w:rsid w:val="00965B46"/>
    <w:rsid w:val="00965D2D"/>
    <w:rsid w:val="00965D80"/>
    <w:rsid w:val="00965F5A"/>
    <w:rsid w:val="00966002"/>
    <w:rsid w:val="009661B9"/>
    <w:rsid w:val="00966456"/>
    <w:rsid w:val="00966592"/>
    <w:rsid w:val="009665B7"/>
    <w:rsid w:val="009666A0"/>
    <w:rsid w:val="00966A2E"/>
    <w:rsid w:val="00966A68"/>
    <w:rsid w:val="00966EAE"/>
    <w:rsid w:val="00966F54"/>
    <w:rsid w:val="00966FD4"/>
    <w:rsid w:val="00967161"/>
    <w:rsid w:val="009672AA"/>
    <w:rsid w:val="0096732E"/>
    <w:rsid w:val="009673A7"/>
    <w:rsid w:val="00967468"/>
    <w:rsid w:val="00967531"/>
    <w:rsid w:val="009678AB"/>
    <w:rsid w:val="00967C62"/>
    <w:rsid w:val="00967C8D"/>
    <w:rsid w:val="00967E28"/>
    <w:rsid w:val="00970298"/>
    <w:rsid w:val="00970351"/>
    <w:rsid w:val="00970417"/>
    <w:rsid w:val="00970462"/>
    <w:rsid w:val="00970741"/>
    <w:rsid w:val="00970D16"/>
    <w:rsid w:val="00970E6F"/>
    <w:rsid w:val="00970E94"/>
    <w:rsid w:val="00971516"/>
    <w:rsid w:val="009715A2"/>
    <w:rsid w:val="009715F4"/>
    <w:rsid w:val="0097164A"/>
    <w:rsid w:val="00971B17"/>
    <w:rsid w:val="009721AA"/>
    <w:rsid w:val="00972448"/>
    <w:rsid w:val="00972E17"/>
    <w:rsid w:val="00973242"/>
    <w:rsid w:val="00973449"/>
    <w:rsid w:val="00973536"/>
    <w:rsid w:val="009735CF"/>
    <w:rsid w:val="009736D5"/>
    <w:rsid w:val="00973BB5"/>
    <w:rsid w:val="00973D55"/>
    <w:rsid w:val="00973E6A"/>
    <w:rsid w:val="009741D6"/>
    <w:rsid w:val="0097535B"/>
    <w:rsid w:val="00975366"/>
    <w:rsid w:val="0097555A"/>
    <w:rsid w:val="0097567D"/>
    <w:rsid w:val="009756D8"/>
    <w:rsid w:val="0097586D"/>
    <w:rsid w:val="009758ED"/>
    <w:rsid w:val="00975B29"/>
    <w:rsid w:val="00975B91"/>
    <w:rsid w:val="00975CE9"/>
    <w:rsid w:val="00975E61"/>
    <w:rsid w:val="009760B0"/>
    <w:rsid w:val="009760B2"/>
    <w:rsid w:val="009760ED"/>
    <w:rsid w:val="009764B5"/>
    <w:rsid w:val="00976E31"/>
    <w:rsid w:val="00976E3F"/>
    <w:rsid w:val="00976F6B"/>
    <w:rsid w:val="0097700D"/>
    <w:rsid w:val="009770EC"/>
    <w:rsid w:val="00977299"/>
    <w:rsid w:val="0097739C"/>
    <w:rsid w:val="0097753B"/>
    <w:rsid w:val="0097762A"/>
    <w:rsid w:val="00977692"/>
    <w:rsid w:val="009776D5"/>
    <w:rsid w:val="009777F4"/>
    <w:rsid w:val="009779D9"/>
    <w:rsid w:val="00977C63"/>
    <w:rsid w:val="00977EC4"/>
    <w:rsid w:val="00980087"/>
    <w:rsid w:val="009800F7"/>
    <w:rsid w:val="00980356"/>
    <w:rsid w:val="0098049D"/>
    <w:rsid w:val="009809AC"/>
    <w:rsid w:val="00980C0B"/>
    <w:rsid w:val="00980C87"/>
    <w:rsid w:val="009813C7"/>
    <w:rsid w:val="00981AE5"/>
    <w:rsid w:val="0098202E"/>
    <w:rsid w:val="009826F9"/>
    <w:rsid w:val="009827E4"/>
    <w:rsid w:val="00982BC9"/>
    <w:rsid w:val="00982D54"/>
    <w:rsid w:val="00982E48"/>
    <w:rsid w:val="009831AA"/>
    <w:rsid w:val="0098322C"/>
    <w:rsid w:val="00983938"/>
    <w:rsid w:val="00983AD5"/>
    <w:rsid w:val="0098400A"/>
    <w:rsid w:val="009842D7"/>
    <w:rsid w:val="00984338"/>
    <w:rsid w:val="00984870"/>
    <w:rsid w:val="009849F9"/>
    <w:rsid w:val="00984A92"/>
    <w:rsid w:val="00984C12"/>
    <w:rsid w:val="00984DD1"/>
    <w:rsid w:val="009850F6"/>
    <w:rsid w:val="0098524F"/>
    <w:rsid w:val="0098538F"/>
    <w:rsid w:val="00985630"/>
    <w:rsid w:val="009859A5"/>
    <w:rsid w:val="00985D79"/>
    <w:rsid w:val="00986047"/>
    <w:rsid w:val="00986083"/>
    <w:rsid w:val="0098658A"/>
    <w:rsid w:val="009865D0"/>
    <w:rsid w:val="00986934"/>
    <w:rsid w:val="00986D30"/>
    <w:rsid w:val="00986D51"/>
    <w:rsid w:val="0098705C"/>
    <w:rsid w:val="0098731E"/>
    <w:rsid w:val="00987367"/>
    <w:rsid w:val="00987483"/>
    <w:rsid w:val="009876B5"/>
    <w:rsid w:val="00987759"/>
    <w:rsid w:val="00987ABE"/>
    <w:rsid w:val="00990082"/>
    <w:rsid w:val="00990438"/>
    <w:rsid w:val="0099051F"/>
    <w:rsid w:val="009906C7"/>
    <w:rsid w:val="009914F7"/>
    <w:rsid w:val="00991538"/>
    <w:rsid w:val="00991676"/>
    <w:rsid w:val="00991AE9"/>
    <w:rsid w:val="00991BD5"/>
    <w:rsid w:val="00991BEA"/>
    <w:rsid w:val="00991DE4"/>
    <w:rsid w:val="00991E42"/>
    <w:rsid w:val="009920A5"/>
    <w:rsid w:val="009920E1"/>
    <w:rsid w:val="009921C2"/>
    <w:rsid w:val="00992753"/>
    <w:rsid w:val="00992A10"/>
    <w:rsid w:val="00992ACB"/>
    <w:rsid w:val="00992E5C"/>
    <w:rsid w:val="0099368A"/>
    <w:rsid w:val="009938BB"/>
    <w:rsid w:val="009938BF"/>
    <w:rsid w:val="00993B77"/>
    <w:rsid w:val="00993D20"/>
    <w:rsid w:val="00993D4E"/>
    <w:rsid w:val="00993D95"/>
    <w:rsid w:val="00993E96"/>
    <w:rsid w:val="00993EA9"/>
    <w:rsid w:val="00993F5E"/>
    <w:rsid w:val="00994450"/>
    <w:rsid w:val="00994647"/>
    <w:rsid w:val="00994759"/>
    <w:rsid w:val="00994A09"/>
    <w:rsid w:val="00994E83"/>
    <w:rsid w:val="00994F16"/>
    <w:rsid w:val="0099520F"/>
    <w:rsid w:val="009958A2"/>
    <w:rsid w:val="00995B8B"/>
    <w:rsid w:val="00995C4B"/>
    <w:rsid w:val="00995E00"/>
    <w:rsid w:val="00995EBD"/>
    <w:rsid w:val="00995F5A"/>
    <w:rsid w:val="00996254"/>
    <w:rsid w:val="009963C6"/>
    <w:rsid w:val="009963CD"/>
    <w:rsid w:val="009963E2"/>
    <w:rsid w:val="00996495"/>
    <w:rsid w:val="009966D5"/>
    <w:rsid w:val="009967C8"/>
    <w:rsid w:val="00996A63"/>
    <w:rsid w:val="00996BC1"/>
    <w:rsid w:val="00996D6E"/>
    <w:rsid w:val="00996E4A"/>
    <w:rsid w:val="009977A9"/>
    <w:rsid w:val="00997808"/>
    <w:rsid w:val="0099780F"/>
    <w:rsid w:val="00997870"/>
    <w:rsid w:val="009979A3"/>
    <w:rsid w:val="00997B0B"/>
    <w:rsid w:val="00997FF0"/>
    <w:rsid w:val="00997FFE"/>
    <w:rsid w:val="009A00E9"/>
    <w:rsid w:val="009A0250"/>
    <w:rsid w:val="009A0395"/>
    <w:rsid w:val="009A0470"/>
    <w:rsid w:val="009A0AFA"/>
    <w:rsid w:val="009A0C22"/>
    <w:rsid w:val="009A0D04"/>
    <w:rsid w:val="009A0D17"/>
    <w:rsid w:val="009A0F54"/>
    <w:rsid w:val="009A143B"/>
    <w:rsid w:val="009A1ABF"/>
    <w:rsid w:val="009A2456"/>
    <w:rsid w:val="009A2896"/>
    <w:rsid w:val="009A294A"/>
    <w:rsid w:val="009A2C46"/>
    <w:rsid w:val="009A2C86"/>
    <w:rsid w:val="009A2F8F"/>
    <w:rsid w:val="009A2FD2"/>
    <w:rsid w:val="009A30F8"/>
    <w:rsid w:val="009A32F5"/>
    <w:rsid w:val="009A354D"/>
    <w:rsid w:val="009A376B"/>
    <w:rsid w:val="009A3822"/>
    <w:rsid w:val="009A3915"/>
    <w:rsid w:val="009A3F63"/>
    <w:rsid w:val="009A42A8"/>
    <w:rsid w:val="009A430E"/>
    <w:rsid w:val="009A4486"/>
    <w:rsid w:val="009A45BF"/>
    <w:rsid w:val="009A45F1"/>
    <w:rsid w:val="009A47A6"/>
    <w:rsid w:val="009A49A0"/>
    <w:rsid w:val="009A4B65"/>
    <w:rsid w:val="009A4D19"/>
    <w:rsid w:val="009A517D"/>
    <w:rsid w:val="009A5235"/>
    <w:rsid w:val="009A541D"/>
    <w:rsid w:val="009A5687"/>
    <w:rsid w:val="009A5862"/>
    <w:rsid w:val="009A5A6E"/>
    <w:rsid w:val="009A5B48"/>
    <w:rsid w:val="009A5C18"/>
    <w:rsid w:val="009A5DBD"/>
    <w:rsid w:val="009A5FDF"/>
    <w:rsid w:val="009A608B"/>
    <w:rsid w:val="009A62B2"/>
    <w:rsid w:val="009A6850"/>
    <w:rsid w:val="009A69ED"/>
    <w:rsid w:val="009A6A76"/>
    <w:rsid w:val="009A6AFE"/>
    <w:rsid w:val="009A6C1E"/>
    <w:rsid w:val="009A6C84"/>
    <w:rsid w:val="009A6D47"/>
    <w:rsid w:val="009A7131"/>
    <w:rsid w:val="009A7316"/>
    <w:rsid w:val="009A7570"/>
    <w:rsid w:val="009A77E4"/>
    <w:rsid w:val="009A795A"/>
    <w:rsid w:val="009A7A4A"/>
    <w:rsid w:val="009A7DB5"/>
    <w:rsid w:val="009B014C"/>
    <w:rsid w:val="009B043E"/>
    <w:rsid w:val="009B08C4"/>
    <w:rsid w:val="009B08E4"/>
    <w:rsid w:val="009B0A8B"/>
    <w:rsid w:val="009B0B41"/>
    <w:rsid w:val="009B0C7C"/>
    <w:rsid w:val="009B0F09"/>
    <w:rsid w:val="009B0F51"/>
    <w:rsid w:val="009B0FB3"/>
    <w:rsid w:val="009B11D0"/>
    <w:rsid w:val="009B14F0"/>
    <w:rsid w:val="009B157F"/>
    <w:rsid w:val="009B15C5"/>
    <w:rsid w:val="009B16A0"/>
    <w:rsid w:val="009B174B"/>
    <w:rsid w:val="009B1917"/>
    <w:rsid w:val="009B1987"/>
    <w:rsid w:val="009B19BA"/>
    <w:rsid w:val="009B1A6A"/>
    <w:rsid w:val="009B1ED9"/>
    <w:rsid w:val="009B212E"/>
    <w:rsid w:val="009B22B0"/>
    <w:rsid w:val="009B2378"/>
    <w:rsid w:val="009B2443"/>
    <w:rsid w:val="009B266D"/>
    <w:rsid w:val="009B29BC"/>
    <w:rsid w:val="009B29F2"/>
    <w:rsid w:val="009B2FD3"/>
    <w:rsid w:val="009B3737"/>
    <w:rsid w:val="009B37F1"/>
    <w:rsid w:val="009B385C"/>
    <w:rsid w:val="009B3A84"/>
    <w:rsid w:val="009B3C8C"/>
    <w:rsid w:val="009B40E6"/>
    <w:rsid w:val="009B435F"/>
    <w:rsid w:val="009B4551"/>
    <w:rsid w:val="009B45A9"/>
    <w:rsid w:val="009B4660"/>
    <w:rsid w:val="009B53B2"/>
    <w:rsid w:val="009B5632"/>
    <w:rsid w:val="009B575A"/>
    <w:rsid w:val="009B5A97"/>
    <w:rsid w:val="009B5B90"/>
    <w:rsid w:val="009B5CBF"/>
    <w:rsid w:val="009B63BE"/>
    <w:rsid w:val="009B659C"/>
    <w:rsid w:val="009B66E9"/>
    <w:rsid w:val="009B699C"/>
    <w:rsid w:val="009B6D20"/>
    <w:rsid w:val="009B6DC7"/>
    <w:rsid w:val="009B6E2F"/>
    <w:rsid w:val="009B70C9"/>
    <w:rsid w:val="009B7192"/>
    <w:rsid w:val="009B71C9"/>
    <w:rsid w:val="009B7411"/>
    <w:rsid w:val="009B7A2A"/>
    <w:rsid w:val="009C02D2"/>
    <w:rsid w:val="009C081E"/>
    <w:rsid w:val="009C08BF"/>
    <w:rsid w:val="009C0E02"/>
    <w:rsid w:val="009C0ECA"/>
    <w:rsid w:val="009C0F73"/>
    <w:rsid w:val="009C0FA3"/>
    <w:rsid w:val="009C10CA"/>
    <w:rsid w:val="009C114D"/>
    <w:rsid w:val="009C13DC"/>
    <w:rsid w:val="009C15B4"/>
    <w:rsid w:val="009C162E"/>
    <w:rsid w:val="009C184A"/>
    <w:rsid w:val="009C18D5"/>
    <w:rsid w:val="009C1A5A"/>
    <w:rsid w:val="009C1A9A"/>
    <w:rsid w:val="009C1B3B"/>
    <w:rsid w:val="009C1CE5"/>
    <w:rsid w:val="009C1EC5"/>
    <w:rsid w:val="009C21C4"/>
    <w:rsid w:val="009C2233"/>
    <w:rsid w:val="009C2CA5"/>
    <w:rsid w:val="009C2E48"/>
    <w:rsid w:val="009C2F25"/>
    <w:rsid w:val="009C3718"/>
    <w:rsid w:val="009C387A"/>
    <w:rsid w:val="009C395C"/>
    <w:rsid w:val="009C3AD0"/>
    <w:rsid w:val="009C3B55"/>
    <w:rsid w:val="009C3B88"/>
    <w:rsid w:val="009C3BD1"/>
    <w:rsid w:val="009C3C0A"/>
    <w:rsid w:val="009C3E09"/>
    <w:rsid w:val="009C40D5"/>
    <w:rsid w:val="009C4152"/>
    <w:rsid w:val="009C4394"/>
    <w:rsid w:val="009C4437"/>
    <w:rsid w:val="009C4552"/>
    <w:rsid w:val="009C46E7"/>
    <w:rsid w:val="009C482D"/>
    <w:rsid w:val="009C4A5E"/>
    <w:rsid w:val="009C4C1C"/>
    <w:rsid w:val="009C4D2A"/>
    <w:rsid w:val="009C4EB5"/>
    <w:rsid w:val="009C5009"/>
    <w:rsid w:val="009C5178"/>
    <w:rsid w:val="009C51CB"/>
    <w:rsid w:val="009C5820"/>
    <w:rsid w:val="009C5AE6"/>
    <w:rsid w:val="009C5B5D"/>
    <w:rsid w:val="009C5F3F"/>
    <w:rsid w:val="009C601C"/>
    <w:rsid w:val="009C6257"/>
    <w:rsid w:val="009C64F4"/>
    <w:rsid w:val="009C650F"/>
    <w:rsid w:val="009C6676"/>
    <w:rsid w:val="009C67A3"/>
    <w:rsid w:val="009C69CB"/>
    <w:rsid w:val="009C6A23"/>
    <w:rsid w:val="009C6A7F"/>
    <w:rsid w:val="009C6DA6"/>
    <w:rsid w:val="009C6F8B"/>
    <w:rsid w:val="009C7167"/>
    <w:rsid w:val="009C71BE"/>
    <w:rsid w:val="009C758B"/>
    <w:rsid w:val="009C75F6"/>
    <w:rsid w:val="009C7DC2"/>
    <w:rsid w:val="009D020D"/>
    <w:rsid w:val="009D0487"/>
    <w:rsid w:val="009D0A89"/>
    <w:rsid w:val="009D0B94"/>
    <w:rsid w:val="009D0C60"/>
    <w:rsid w:val="009D0CDA"/>
    <w:rsid w:val="009D10B2"/>
    <w:rsid w:val="009D10BA"/>
    <w:rsid w:val="009D11FE"/>
    <w:rsid w:val="009D1299"/>
    <w:rsid w:val="009D185C"/>
    <w:rsid w:val="009D19E6"/>
    <w:rsid w:val="009D1ADC"/>
    <w:rsid w:val="009D1F0D"/>
    <w:rsid w:val="009D246A"/>
    <w:rsid w:val="009D2751"/>
    <w:rsid w:val="009D2C57"/>
    <w:rsid w:val="009D30CF"/>
    <w:rsid w:val="009D3192"/>
    <w:rsid w:val="009D3814"/>
    <w:rsid w:val="009D3A8F"/>
    <w:rsid w:val="009D3AB7"/>
    <w:rsid w:val="009D3E45"/>
    <w:rsid w:val="009D3F70"/>
    <w:rsid w:val="009D42D1"/>
    <w:rsid w:val="009D44FB"/>
    <w:rsid w:val="009D4564"/>
    <w:rsid w:val="009D458F"/>
    <w:rsid w:val="009D4788"/>
    <w:rsid w:val="009D483B"/>
    <w:rsid w:val="009D4F17"/>
    <w:rsid w:val="009D5098"/>
    <w:rsid w:val="009D5244"/>
    <w:rsid w:val="009D5246"/>
    <w:rsid w:val="009D53A5"/>
    <w:rsid w:val="009D5775"/>
    <w:rsid w:val="009D583F"/>
    <w:rsid w:val="009D5A15"/>
    <w:rsid w:val="009D5B18"/>
    <w:rsid w:val="009D5C75"/>
    <w:rsid w:val="009D6094"/>
    <w:rsid w:val="009D60CD"/>
    <w:rsid w:val="009D674A"/>
    <w:rsid w:val="009D67AD"/>
    <w:rsid w:val="009D6AC1"/>
    <w:rsid w:val="009D6D04"/>
    <w:rsid w:val="009D6D34"/>
    <w:rsid w:val="009D6DD7"/>
    <w:rsid w:val="009D6F6E"/>
    <w:rsid w:val="009D73A8"/>
    <w:rsid w:val="009D73DB"/>
    <w:rsid w:val="009D740C"/>
    <w:rsid w:val="009D74A2"/>
    <w:rsid w:val="009D766D"/>
    <w:rsid w:val="009D76BE"/>
    <w:rsid w:val="009D7870"/>
    <w:rsid w:val="009D7EB3"/>
    <w:rsid w:val="009E0305"/>
    <w:rsid w:val="009E08EF"/>
    <w:rsid w:val="009E0A93"/>
    <w:rsid w:val="009E0F39"/>
    <w:rsid w:val="009E10D4"/>
    <w:rsid w:val="009E1385"/>
    <w:rsid w:val="009E1D0A"/>
    <w:rsid w:val="009E1E26"/>
    <w:rsid w:val="009E1FBA"/>
    <w:rsid w:val="009E238D"/>
    <w:rsid w:val="009E2780"/>
    <w:rsid w:val="009E27C8"/>
    <w:rsid w:val="009E28DE"/>
    <w:rsid w:val="009E28F0"/>
    <w:rsid w:val="009E2A84"/>
    <w:rsid w:val="009E2AF5"/>
    <w:rsid w:val="009E2D8B"/>
    <w:rsid w:val="009E2D8D"/>
    <w:rsid w:val="009E321C"/>
    <w:rsid w:val="009E3734"/>
    <w:rsid w:val="009E375E"/>
    <w:rsid w:val="009E3859"/>
    <w:rsid w:val="009E3954"/>
    <w:rsid w:val="009E3C91"/>
    <w:rsid w:val="009E3D5D"/>
    <w:rsid w:val="009E40D8"/>
    <w:rsid w:val="009E41B1"/>
    <w:rsid w:val="009E429F"/>
    <w:rsid w:val="009E42F4"/>
    <w:rsid w:val="009E4896"/>
    <w:rsid w:val="009E49F1"/>
    <w:rsid w:val="009E4EC0"/>
    <w:rsid w:val="009E5153"/>
    <w:rsid w:val="009E527C"/>
    <w:rsid w:val="009E5612"/>
    <w:rsid w:val="009E57B6"/>
    <w:rsid w:val="009E58A8"/>
    <w:rsid w:val="009E5A36"/>
    <w:rsid w:val="009E5A41"/>
    <w:rsid w:val="009E5D19"/>
    <w:rsid w:val="009E5FA4"/>
    <w:rsid w:val="009E60C2"/>
    <w:rsid w:val="009E60D7"/>
    <w:rsid w:val="009E6233"/>
    <w:rsid w:val="009E66F7"/>
    <w:rsid w:val="009E6B80"/>
    <w:rsid w:val="009E7703"/>
    <w:rsid w:val="009E773D"/>
    <w:rsid w:val="009E7876"/>
    <w:rsid w:val="009E7A14"/>
    <w:rsid w:val="009E7B87"/>
    <w:rsid w:val="009E7CB6"/>
    <w:rsid w:val="009E7E41"/>
    <w:rsid w:val="009E7F4E"/>
    <w:rsid w:val="009E7FE9"/>
    <w:rsid w:val="009F04F2"/>
    <w:rsid w:val="009F080B"/>
    <w:rsid w:val="009F0A48"/>
    <w:rsid w:val="009F0B14"/>
    <w:rsid w:val="009F0CF8"/>
    <w:rsid w:val="009F0DCE"/>
    <w:rsid w:val="009F1088"/>
    <w:rsid w:val="009F10DD"/>
    <w:rsid w:val="009F1423"/>
    <w:rsid w:val="009F1B8D"/>
    <w:rsid w:val="009F2572"/>
    <w:rsid w:val="009F29E8"/>
    <w:rsid w:val="009F2D04"/>
    <w:rsid w:val="009F2D32"/>
    <w:rsid w:val="009F2E1E"/>
    <w:rsid w:val="009F2EED"/>
    <w:rsid w:val="009F351F"/>
    <w:rsid w:val="009F3EB8"/>
    <w:rsid w:val="009F3F89"/>
    <w:rsid w:val="009F44C1"/>
    <w:rsid w:val="009F480E"/>
    <w:rsid w:val="009F49F5"/>
    <w:rsid w:val="009F4AED"/>
    <w:rsid w:val="009F4C3A"/>
    <w:rsid w:val="009F4CCB"/>
    <w:rsid w:val="009F5506"/>
    <w:rsid w:val="009F555A"/>
    <w:rsid w:val="009F5819"/>
    <w:rsid w:val="009F5916"/>
    <w:rsid w:val="009F5B73"/>
    <w:rsid w:val="009F5DBC"/>
    <w:rsid w:val="009F60DE"/>
    <w:rsid w:val="009F60E6"/>
    <w:rsid w:val="009F6270"/>
    <w:rsid w:val="009F63CC"/>
    <w:rsid w:val="009F658E"/>
    <w:rsid w:val="009F65D6"/>
    <w:rsid w:val="009F6C3F"/>
    <w:rsid w:val="009F6FE8"/>
    <w:rsid w:val="009F7008"/>
    <w:rsid w:val="009F7448"/>
    <w:rsid w:val="009F748F"/>
    <w:rsid w:val="009F758C"/>
    <w:rsid w:val="009F76AA"/>
    <w:rsid w:val="009F7DC1"/>
    <w:rsid w:val="00A0016C"/>
    <w:rsid w:val="00A001BA"/>
    <w:rsid w:val="00A0055A"/>
    <w:rsid w:val="00A005AF"/>
    <w:rsid w:val="00A00881"/>
    <w:rsid w:val="00A00994"/>
    <w:rsid w:val="00A00A9B"/>
    <w:rsid w:val="00A00D60"/>
    <w:rsid w:val="00A01183"/>
    <w:rsid w:val="00A01194"/>
    <w:rsid w:val="00A0124D"/>
    <w:rsid w:val="00A01570"/>
    <w:rsid w:val="00A01618"/>
    <w:rsid w:val="00A01817"/>
    <w:rsid w:val="00A01E2C"/>
    <w:rsid w:val="00A01F8A"/>
    <w:rsid w:val="00A022A2"/>
    <w:rsid w:val="00A022F5"/>
    <w:rsid w:val="00A02393"/>
    <w:rsid w:val="00A025C6"/>
    <w:rsid w:val="00A02ABA"/>
    <w:rsid w:val="00A02D15"/>
    <w:rsid w:val="00A03029"/>
    <w:rsid w:val="00A03B71"/>
    <w:rsid w:val="00A03C69"/>
    <w:rsid w:val="00A03D5B"/>
    <w:rsid w:val="00A043E0"/>
    <w:rsid w:val="00A043EC"/>
    <w:rsid w:val="00A0454C"/>
    <w:rsid w:val="00A045D3"/>
    <w:rsid w:val="00A046EE"/>
    <w:rsid w:val="00A047AC"/>
    <w:rsid w:val="00A0495A"/>
    <w:rsid w:val="00A04A6C"/>
    <w:rsid w:val="00A04AD0"/>
    <w:rsid w:val="00A04C2A"/>
    <w:rsid w:val="00A04C87"/>
    <w:rsid w:val="00A04E52"/>
    <w:rsid w:val="00A050A1"/>
    <w:rsid w:val="00A053DF"/>
    <w:rsid w:val="00A056A0"/>
    <w:rsid w:val="00A056F1"/>
    <w:rsid w:val="00A05B87"/>
    <w:rsid w:val="00A05E4F"/>
    <w:rsid w:val="00A060A7"/>
    <w:rsid w:val="00A06129"/>
    <w:rsid w:val="00A062B1"/>
    <w:rsid w:val="00A062F9"/>
    <w:rsid w:val="00A06802"/>
    <w:rsid w:val="00A0689F"/>
    <w:rsid w:val="00A06D90"/>
    <w:rsid w:val="00A06E78"/>
    <w:rsid w:val="00A0703A"/>
    <w:rsid w:val="00A07569"/>
    <w:rsid w:val="00A079ED"/>
    <w:rsid w:val="00A07CD9"/>
    <w:rsid w:val="00A07DB2"/>
    <w:rsid w:val="00A10044"/>
    <w:rsid w:val="00A1015B"/>
    <w:rsid w:val="00A102CD"/>
    <w:rsid w:val="00A107F5"/>
    <w:rsid w:val="00A109A8"/>
    <w:rsid w:val="00A10A09"/>
    <w:rsid w:val="00A10A15"/>
    <w:rsid w:val="00A10CDB"/>
    <w:rsid w:val="00A10CFE"/>
    <w:rsid w:val="00A11081"/>
    <w:rsid w:val="00A110D8"/>
    <w:rsid w:val="00A11403"/>
    <w:rsid w:val="00A11504"/>
    <w:rsid w:val="00A11675"/>
    <w:rsid w:val="00A11691"/>
    <w:rsid w:val="00A12003"/>
    <w:rsid w:val="00A120AD"/>
    <w:rsid w:val="00A125A7"/>
    <w:rsid w:val="00A12925"/>
    <w:rsid w:val="00A12929"/>
    <w:rsid w:val="00A12A08"/>
    <w:rsid w:val="00A12C26"/>
    <w:rsid w:val="00A1309F"/>
    <w:rsid w:val="00A13342"/>
    <w:rsid w:val="00A133C7"/>
    <w:rsid w:val="00A1347F"/>
    <w:rsid w:val="00A13685"/>
    <w:rsid w:val="00A1386A"/>
    <w:rsid w:val="00A139D4"/>
    <w:rsid w:val="00A13B0A"/>
    <w:rsid w:val="00A13B6D"/>
    <w:rsid w:val="00A13E9E"/>
    <w:rsid w:val="00A13F2A"/>
    <w:rsid w:val="00A14205"/>
    <w:rsid w:val="00A145CE"/>
    <w:rsid w:val="00A14773"/>
    <w:rsid w:val="00A1481D"/>
    <w:rsid w:val="00A149E2"/>
    <w:rsid w:val="00A149F8"/>
    <w:rsid w:val="00A14A4F"/>
    <w:rsid w:val="00A14B3A"/>
    <w:rsid w:val="00A14CC6"/>
    <w:rsid w:val="00A14DFE"/>
    <w:rsid w:val="00A14F26"/>
    <w:rsid w:val="00A150E6"/>
    <w:rsid w:val="00A15130"/>
    <w:rsid w:val="00A15817"/>
    <w:rsid w:val="00A15DF8"/>
    <w:rsid w:val="00A15E86"/>
    <w:rsid w:val="00A1610E"/>
    <w:rsid w:val="00A16243"/>
    <w:rsid w:val="00A16619"/>
    <w:rsid w:val="00A16736"/>
    <w:rsid w:val="00A16749"/>
    <w:rsid w:val="00A168BE"/>
    <w:rsid w:val="00A16A56"/>
    <w:rsid w:val="00A16D01"/>
    <w:rsid w:val="00A17036"/>
    <w:rsid w:val="00A173D3"/>
    <w:rsid w:val="00A1763A"/>
    <w:rsid w:val="00A17A36"/>
    <w:rsid w:val="00A17CC2"/>
    <w:rsid w:val="00A17D45"/>
    <w:rsid w:val="00A200AF"/>
    <w:rsid w:val="00A204EB"/>
    <w:rsid w:val="00A20ACB"/>
    <w:rsid w:val="00A20E56"/>
    <w:rsid w:val="00A21061"/>
    <w:rsid w:val="00A21118"/>
    <w:rsid w:val="00A2112D"/>
    <w:rsid w:val="00A21337"/>
    <w:rsid w:val="00A21452"/>
    <w:rsid w:val="00A215EF"/>
    <w:rsid w:val="00A217C5"/>
    <w:rsid w:val="00A2187B"/>
    <w:rsid w:val="00A21894"/>
    <w:rsid w:val="00A21C6C"/>
    <w:rsid w:val="00A21DC5"/>
    <w:rsid w:val="00A21E48"/>
    <w:rsid w:val="00A2205C"/>
    <w:rsid w:val="00A22084"/>
    <w:rsid w:val="00A22176"/>
    <w:rsid w:val="00A221FA"/>
    <w:rsid w:val="00A22300"/>
    <w:rsid w:val="00A229C1"/>
    <w:rsid w:val="00A22B7C"/>
    <w:rsid w:val="00A22C67"/>
    <w:rsid w:val="00A22F8B"/>
    <w:rsid w:val="00A232C2"/>
    <w:rsid w:val="00A233FC"/>
    <w:rsid w:val="00A2358E"/>
    <w:rsid w:val="00A235D7"/>
    <w:rsid w:val="00A23E05"/>
    <w:rsid w:val="00A23EBA"/>
    <w:rsid w:val="00A23FDA"/>
    <w:rsid w:val="00A23FE6"/>
    <w:rsid w:val="00A2404E"/>
    <w:rsid w:val="00A24295"/>
    <w:rsid w:val="00A2433E"/>
    <w:rsid w:val="00A24711"/>
    <w:rsid w:val="00A24983"/>
    <w:rsid w:val="00A24F67"/>
    <w:rsid w:val="00A252EA"/>
    <w:rsid w:val="00A25676"/>
    <w:rsid w:val="00A25A0F"/>
    <w:rsid w:val="00A25BB9"/>
    <w:rsid w:val="00A25CA9"/>
    <w:rsid w:val="00A25F8E"/>
    <w:rsid w:val="00A26511"/>
    <w:rsid w:val="00A26A0F"/>
    <w:rsid w:val="00A26A72"/>
    <w:rsid w:val="00A26B0D"/>
    <w:rsid w:val="00A26D4F"/>
    <w:rsid w:val="00A27071"/>
    <w:rsid w:val="00A27321"/>
    <w:rsid w:val="00A27710"/>
    <w:rsid w:val="00A278BC"/>
    <w:rsid w:val="00A27974"/>
    <w:rsid w:val="00A2798C"/>
    <w:rsid w:val="00A27B83"/>
    <w:rsid w:val="00A27D60"/>
    <w:rsid w:val="00A27EBA"/>
    <w:rsid w:val="00A3059B"/>
    <w:rsid w:val="00A30AB1"/>
    <w:rsid w:val="00A30DB2"/>
    <w:rsid w:val="00A314D1"/>
    <w:rsid w:val="00A31D66"/>
    <w:rsid w:val="00A322C7"/>
    <w:rsid w:val="00A32415"/>
    <w:rsid w:val="00A32521"/>
    <w:rsid w:val="00A32C54"/>
    <w:rsid w:val="00A33453"/>
    <w:rsid w:val="00A33691"/>
    <w:rsid w:val="00A336F3"/>
    <w:rsid w:val="00A33A6F"/>
    <w:rsid w:val="00A33B04"/>
    <w:rsid w:val="00A33BDB"/>
    <w:rsid w:val="00A33CA3"/>
    <w:rsid w:val="00A33DC1"/>
    <w:rsid w:val="00A342F4"/>
    <w:rsid w:val="00A34345"/>
    <w:rsid w:val="00A34527"/>
    <w:rsid w:val="00A346D9"/>
    <w:rsid w:val="00A34706"/>
    <w:rsid w:val="00A347BB"/>
    <w:rsid w:val="00A34889"/>
    <w:rsid w:val="00A34917"/>
    <w:rsid w:val="00A352CF"/>
    <w:rsid w:val="00A352DF"/>
    <w:rsid w:val="00A3560E"/>
    <w:rsid w:val="00A35C62"/>
    <w:rsid w:val="00A35C9B"/>
    <w:rsid w:val="00A35E6F"/>
    <w:rsid w:val="00A35F77"/>
    <w:rsid w:val="00A3622A"/>
    <w:rsid w:val="00A36389"/>
    <w:rsid w:val="00A363A4"/>
    <w:rsid w:val="00A36621"/>
    <w:rsid w:val="00A366BF"/>
    <w:rsid w:val="00A36A13"/>
    <w:rsid w:val="00A36ADD"/>
    <w:rsid w:val="00A36B3F"/>
    <w:rsid w:val="00A36BAE"/>
    <w:rsid w:val="00A36C58"/>
    <w:rsid w:val="00A36DCC"/>
    <w:rsid w:val="00A36EFD"/>
    <w:rsid w:val="00A36F3C"/>
    <w:rsid w:val="00A36FBB"/>
    <w:rsid w:val="00A3735A"/>
    <w:rsid w:val="00A37528"/>
    <w:rsid w:val="00A37797"/>
    <w:rsid w:val="00A37EAC"/>
    <w:rsid w:val="00A40073"/>
    <w:rsid w:val="00A40128"/>
    <w:rsid w:val="00A403F0"/>
    <w:rsid w:val="00A40BD6"/>
    <w:rsid w:val="00A40CEE"/>
    <w:rsid w:val="00A40D1F"/>
    <w:rsid w:val="00A40DCB"/>
    <w:rsid w:val="00A40F33"/>
    <w:rsid w:val="00A41AF7"/>
    <w:rsid w:val="00A41BAE"/>
    <w:rsid w:val="00A41BC3"/>
    <w:rsid w:val="00A41FD8"/>
    <w:rsid w:val="00A41FD9"/>
    <w:rsid w:val="00A4217E"/>
    <w:rsid w:val="00A421DF"/>
    <w:rsid w:val="00A42409"/>
    <w:rsid w:val="00A424BB"/>
    <w:rsid w:val="00A424D5"/>
    <w:rsid w:val="00A4250F"/>
    <w:rsid w:val="00A42760"/>
    <w:rsid w:val="00A4288C"/>
    <w:rsid w:val="00A429BD"/>
    <w:rsid w:val="00A42C6A"/>
    <w:rsid w:val="00A42D29"/>
    <w:rsid w:val="00A42E04"/>
    <w:rsid w:val="00A42F1B"/>
    <w:rsid w:val="00A43571"/>
    <w:rsid w:val="00A43BFC"/>
    <w:rsid w:val="00A44996"/>
    <w:rsid w:val="00A44B13"/>
    <w:rsid w:val="00A44C8C"/>
    <w:rsid w:val="00A44E00"/>
    <w:rsid w:val="00A44EBE"/>
    <w:rsid w:val="00A45077"/>
    <w:rsid w:val="00A459B5"/>
    <w:rsid w:val="00A45E53"/>
    <w:rsid w:val="00A45F9E"/>
    <w:rsid w:val="00A460E8"/>
    <w:rsid w:val="00A466BF"/>
    <w:rsid w:val="00A467A8"/>
    <w:rsid w:val="00A467F7"/>
    <w:rsid w:val="00A46E89"/>
    <w:rsid w:val="00A46F0A"/>
    <w:rsid w:val="00A47528"/>
    <w:rsid w:val="00A478C8"/>
    <w:rsid w:val="00A47B11"/>
    <w:rsid w:val="00A47CCF"/>
    <w:rsid w:val="00A47E35"/>
    <w:rsid w:val="00A47F86"/>
    <w:rsid w:val="00A5038B"/>
    <w:rsid w:val="00A50575"/>
    <w:rsid w:val="00A507C6"/>
    <w:rsid w:val="00A510C8"/>
    <w:rsid w:val="00A5118F"/>
    <w:rsid w:val="00A51368"/>
    <w:rsid w:val="00A51858"/>
    <w:rsid w:val="00A51901"/>
    <w:rsid w:val="00A51B39"/>
    <w:rsid w:val="00A51D45"/>
    <w:rsid w:val="00A51F7E"/>
    <w:rsid w:val="00A51FA5"/>
    <w:rsid w:val="00A5206D"/>
    <w:rsid w:val="00A52897"/>
    <w:rsid w:val="00A5298E"/>
    <w:rsid w:val="00A52CD3"/>
    <w:rsid w:val="00A52CD6"/>
    <w:rsid w:val="00A52D75"/>
    <w:rsid w:val="00A5330B"/>
    <w:rsid w:val="00A5342B"/>
    <w:rsid w:val="00A53476"/>
    <w:rsid w:val="00A53641"/>
    <w:rsid w:val="00A53AC8"/>
    <w:rsid w:val="00A53AE1"/>
    <w:rsid w:val="00A53B45"/>
    <w:rsid w:val="00A53BEF"/>
    <w:rsid w:val="00A53EDF"/>
    <w:rsid w:val="00A53FAB"/>
    <w:rsid w:val="00A543B1"/>
    <w:rsid w:val="00A5458E"/>
    <w:rsid w:val="00A546BC"/>
    <w:rsid w:val="00A54754"/>
    <w:rsid w:val="00A54930"/>
    <w:rsid w:val="00A5496C"/>
    <w:rsid w:val="00A54B96"/>
    <w:rsid w:val="00A54DF6"/>
    <w:rsid w:val="00A54F9F"/>
    <w:rsid w:val="00A5545D"/>
    <w:rsid w:val="00A554CD"/>
    <w:rsid w:val="00A55896"/>
    <w:rsid w:val="00A55989"/>
    <w:rsid w:val="00A55AE5"/>
    <w:rsid w:val="00A55B29"/>
    <w:rsid w:val="00A55C0A"/>
    <w:rsid w:val="00A55DBF"/>
    <w:rsid w:val="00A55FE9"/>
    <w:rsid w:val="00A56057"/>
    <w:rsid w:val="00A56248"/>
    <w:rsid w:val="00A564BB"/>
    <w:rsid w:val="00A56604"/>
    <w:rsid w:val="00A567F1"/>
    <w:rsid w:val="00A5694A"/>
    <w:rsid w:val="00A57469"/>
    <w:rsid w:val="00A57A20"/>
    <w:rsid w:val="00A57B1C"/>
    <w:rsid w:val="00A60512"/>
    <w:rsid w:val="00A60630"/>
    <w:rsid w:val="00A6075C"/>
    <w:rsid w:val="00A60CB5"/>
    <w:rsid w:val="00A60D65"/>
    <w:rsid w:val="00A60F48"/>
    <w:rsid w:val="00A6101A"/>
    <w:rsid w:val="00A610D0"/>
    <w:rsid w:val="00A610E3"/>
    <w:rsid w:val="00A6121B"/>
    <w:rsid w:val="00A61293"/>
    <w:rsid w:val="00A61FBE"/>
    <w:rsid w:val="00A6249C"/>
    <w:rsid w:val="00A62851"/>
    <w:rsid w:val="00A62CED"/>
    <w:rsid w:val="00A62FB6"/>
    <w:rsid w:val="00A6333E"/>
    <w:rsid w:val="00A633D5"/>
    <w:rsid w:val="00A63C62"/>
    <w:rsid w:val="00A63DA4"/>
    <w:rsid w:val="00A63ED7"/>
    <w:rsid w:val="00A64384"/>
    <w:rsid w:val="00A647FD"/>
    <w:rsid w:val="00A64ADA"/>
    <w:rsid w:val="00A64B6C"/>
    <w:rsid w:val="00A64BF5"/>
    <w:rsid w:val="00A6522F"/>
    <w:rsid w:val="00A65340"/>
    <w:rsid w:val="00A6553D"/>
    <w:rsid w:val="00A65734"/>
    <w:rsid w:val="00A65D9E"/>
    <w:rsid w:val="00A6613D"/>
    <w:rsid w:val="00A6633A"/>
    <w:rsid w:val="00A66415"/>
    <w:rsid w:val="00A6649E"/>
    <w:rsid w:val="00A66520"/>
    <w:rsid w:val="00A667A6"/>
    <w:rsid w:val="00A66BD7"/>
    <w:rsid w:val="00A66FB9"/>
    <w:rsid w:val="00A6733D"/>
    <w:rsid w:val="00A67522"/>
    <w:rsid w:val="00A67618"/>
    <w:rsid w:val="00A67E91"/>
    <w:rsid w:val="00A702B1"/>
    <w:rsid w:val="00A703E6"/>
    <w:rsid w:val="00A7062C"/>
    <w:rsid w:val="00A70682"/>
    <w:rsid w:val="00A70762"/>
    <w:rsid w:val="00A7080F"/>
    <w:rsid w:val="00A70998"/>
    <w:rsid w:val="00A710B8"/>
    <w:rsid w:val="00A711F0"/>
    <w:rsid w:val="00A718B5"/>
    <w:rsid w:val="00A719CE"/>
    <w:rsid w:val="00A71C1D"/>
    <w:rsid w:val="00A71DD8"/>
    <w:rsid w:val="00A71DF8"/>
    <w:rsid w:val="00A71F8C"/>
    <w:rsid w:val="00A720C8"/>
    <w:rsid w:val="00A720D3"/>
    <w:rsid w:val="00A720DF"/>
    <w:rsid w:val="00A72271"/>
    <w:rsid w:val="00A7270A"/>
    <w:rsid w:val="00A729ED"/>
    <w:rsid w:val="00A72B85"/>
    <w:rsid w:val="00A72C4E"/>
    <w:rsid w:val="00A730F9"/>
    <w:rsid w:val="00A7328A"/>
    <w:rsid w:val="00A7370E"/>
    <w:rsid w:val="00A739F7"/>
    <w:rsid w:val="00A73A7A"/>
    <w:rsid w:val="00A73FF2"/>
    <w:rsid w:val="00A74108"/>
    <w:rsid w:val="00A74288"/>
    <w:rsid w:val="00A74495"/>
    <w:rsid w:val="00A74664"/>
    <w:rsid w:val="00A7472D"/>
    <w:rsid w:val="00A7478B"/>
    <w:rsid w:val="00A74970"/>
    <w:rsid w:val="00A74A10"/>
    <w:rsid w:val="00A74C6A"/>
    <w:rsid w:val="00A74CFF"/>
    <w:rsid w:val="00A74D44"/>
    <w:rsid w:val="00A74E9D"/>
    <w:rsid w:val="00A75131"/>
    <w:rsid w:val="00A752BE"/>
    <w:rsid w:val="00A75CD5"/>
    <w:rsid w:val="00A75D94"/>
    <w:rsid w:val="00A75D9E"/>
    <w:rsid w:val="00A75F48"/>
    <w:rsid w:val="00A761E7"/>
    <w:rsid w:val="00A7630E"/>
    <w:rsid w:val="00A76389"/>
    <w:rsid w:val="00A763D5"/>
    <w:rsid w:val="00A76CDA"/>
    <w:rsid w:val="00A76FE8"/>
    <w:rsid w:val="00A77269"/>
    <w:rsid w:val="00A77385"/>
    <w:rsid w:val="00A777CD"/>
    <w:rsid w:val="00A778FC"/>
    <w:rsid w:val="00A7790B"/>
    <w:rsid w:val="00A77928"/>
    <w:rsid w:val="00A77EC9"/>
    <w:rsid w:val="00A77EF0"/>
    <w:rsid w:val="00A80119"/>
    <w:rsid w:val="00A8016D"/>
    <w:rsid w:val="00A803DB"/>
    <w:rsid w:val="00A80B58"/>
    <w:rsid w:val="00A80C61"/>
    <w:rsid w:val="00A80E2C"/>
    <w:rsid w:val="00A80FB0"/>
    <w:rsid w:val="00A80FE1"/>
    <w:rsid w:val="00A81074"/>
    <w:rsid w:val="00A81803"/>
    <w:rsid w:val="00A81C19"/>
    <w:rsid w:val="00A81CBB"/>
    <w:rsid w:val="00A81DD3"/>
    <w:rsid w:val="00A81E17"/>
    <w:rsid w:val="00A81E2E"/>
    <w:rsid w:val="00A81FD5"/>
    <w:rsid w:val="00A82112"/>
    <w:rsid w:val="00A82262"/>
    <w:rsid w:val="00A82385"/>
    <w:rsid w:val="00A8258D"/>
    <w:rsid w:val="00A82B87"/>
    <w:rsid w:val="00A82C35"/>
    <w:rsid w:val="00A82C66"/>
    <w:rsid w:val="00A830CC"/>
    <w:rsid w:val="00A83189"/>
    <w:rsid w:val="00A831DA"/>
    <w:rsid w:val="00A831FF"/>
    <w:rsid w:val="00A83354"/>
    <w:rsid w:val="00A8337C"/>
    <w:rsid w:val="00A83407"/>
    <w:rsid w:val="00A834C0"/>
    <w:rsid w:val="00A834F4"/>
    <w:rsid w:val="00A83777"/>
    <w:rsid w:val="00A83891"/>
    <w:rsid w:val="00A838DC"/>
    <w:rsid w:val="00A83ADB"/>
    <w:rsid w:val="00A83C7C"/>
    <w:rsid w:val="00A83D97"/>
    <w:rsid w:val="00A83DF3"/>
    <w:rsid w:val="00A8405E"/>
    <w:rsid w:val="00A84269"/>
    <w:rsid w:val="00A84483"/>
    <w:rsid w:val="00A84734"/>
    <w:rsid w:val="00A848BC"/>
    <w:rsid w:val="00A84D16"/>
    <w:rsid w:val="00A84DF2"/>
    <w:rsid w:val="00A84E98"/>
    <w:rsid w:val="00A84F06"/>
    <w:rsid w:val="00A84F2C"/>
    <w:rsid w:val="00A84F8B"/>
    <w:rsid w:val="00A852B8"/>
    <w:rsid w:val="00A853A4"/>
    <w:rsid w:val="00A85646"/>
    <w:rsid w:val="00A858C2"/>
    <w:rsid w:val="00A85915"/>
    <w:rsid w:val="00A8595D"/>
    <w:rsid w:val="00A85B03"/>
    <w:rsid w:val="00A85BF8"/>
    <w:rsid w:val="00A85F14"/>
    <w:rsid w:val="00A86270"/>
    <w:rsid w:val="00A862B5"/>
    <w:rsid w:val="00A863CF"/>
    <w:rsid w:val="00A8692F"/>
    <w:rsid w:val="00A86C77"/>
    <w:rsid w:val="00A86D2F"/>
    <w:rsid w:val="00A86D87"/>
    <w:rsid w:val="00A86E10"/>
    <w:rsid w:val="00A875C4"/>
    <w:rsid w:val="00A87643"/>
    <w:rsid w:val="00A87863"/>
    <w:rsid w:val="00A878F2"/>
    <w:rsid w:val="00A87DCC"/>
    <w:rsid w:val="00A87E42"/>
    <w:rsid w:val="00A900A9"/>
    <w:rsid w:val="00A9064B"/>
    <w:rsid w:val="00A906F3"/>
    <w:rsid w:val="00A9080F"/>
    <w:rsid w:val="00A90927"/>
    <w:rsid w:val="00A90C92"/>
    <w:rsid w:val="00A911E9"/>
    <w:rsid w:val="00A91411"/>
    <w:rsid w:val="00A91461"/>
    <w:rsid w:val="00A9154C"/>
    <w:rsid w:val="00A91D1A"/>
    <w:rsid w:val="00A91D67"/>
    <w:rsid w:val="00A92195"/>
    <w:rsid w:val="00A92A4B"/>
    <w:rsid w:val="00A93363"/>
    <w:rsid w:val="00A936E1"/>
    <w:rsid w:val="00A93936"/>
    <w:rsid w:val="00A93DEC"/>
    <w:rsid w:val="00A946ED"/>
    <w:rsid w:val="00A94782"/>
    <w:rsid w:val="00A94FDF"/>
    <w:rsid w:val="00A94FED"/>
    <w:rsid w:val="00A952AB"/>
    <w:rsid w:val="00A95AC6"/>
    <w:rsid w:val="00A95BBC"/>
    <w:rsid w:val="00A95C66"/>
    <w:rsid w:val="00A95D8D"/>
    <w:rsid w:val="00A95F03"/>
    <w:rsid w:val="00A95F9A"/>
    <w:rsid w:val="00A962AA"/>
    <w:rsid w:val="00A9668F"/>
    <w:rsid w:val="00A96A0B"/>
    <w:rsid w:val="00A96C8F"/>
    <w:rsid w:val="00A97303"/>
    <w:rsid w:val="00A9738C"/>
    <w:rsid w:val="00A97466"/>
    <w:rsid w:val="00A974F0"/>
    <w:rsid w:val="00A9783D"/>
    <w:rsid w:val="00A978B1"/>
    <w:rsid w:val="00A97ED1"/>
    <w:rsid w:val="00A97EE6"/>
    <w:rsid w:val="00AA006C"/>
    <w:rsid w:val="00AA0337"/>
    <w:rsid w:val="00AA04EE"/>
    <w:rsid w:val="00AA0890"/>
    <w:rsid w:val="00AA1876"/>
    <w:rsid w:val="00AA1C67"/>
    <w:rsid w:val="00AA1D9E"/>
    <w:rsid w:val="00AA1F15"/>
    <w:rsid w:val="00AA206F"/>
    <w:rsid w:val="00AA21C2"/>
    <w:rsid w:val="00AA25BB"/>
    <w:rsid w:val="00AA26D6"/>
    <w:rsid w:val="00AA2A2F"/>
    <w:rsid w:val="00AA2D35"/>
    <w:rsid w:val="00AA2E7B"/>
    <w:rsid w:val="00AA307F"/>
    <w:rsid w:val="00AA313C"/>
    <w:rsid w:val="00AA357A"/>
    <w:rsid w:val="00AA35D4"/>
    <w:rsid w:val="00AA3B25"/>
    <w:rsid w:val="00AA3C4A"/>
    <w:rsid w:val="00AA3E84"/>
    <w:rsid w:val="00AA40DC"/>
    <w:rsid w:val="00AA4428"/>
    <w:rsid w:val="00AA4548"/>
    <w:rsid w:val="00AA45E6"/>
    <w:rsid w:val="00AA47E9"/>
    <w:rsid w:val="00AA485C"/>
    <w:rsid w:val="00AA49BA"/>
    <w:rsid w:val="00AA4C55"/>
    <w:rsid w:val="00AA4E42"/>
    <w:rsid w:val="00AA5298"/>
    <w:rsid w:val="00AA52B3"/>
    <w:rsid w:val="00AA55CD"/>
    <w:rsid w:val="00AA5641"/>
    <w:rsid w:val="00AA59BB"/>
    <w:rsid w:val="00AA5A37"/>
    <w:rsid w:val="00AA5C3D"/>
    <w:rsid w:val="00AA5D10"/>
    <w:rsid w:val="00AA5DEF"/>
    <w:rsid w:val="00AA5FEA"/>
    <w:rsid w:val="00AA6030"/>
    <w:rsid w:val="00AA637C"/>
    <w:rsid w:val="00AA6435"/>
    <w:rsid w:val="00AA64EB"/>
    <w:rsid w:val="00AA6921"/>
    <w:rsid w:val="00AA6FC2"/>
    <w:rsid w:val="00AA7295"/>
    <w:rsid w:val="00AA73D0"/>
    <w:rsid w:val="00AA789A"/>
    <w:rsid w:val="00AA7905"/>
    <w:rsid w:val="00AA792B"/>
    <w:rsid w:val="00AA7D8A"/>
    <w:rsid w:val="00AB0047"/>
    <w:rsid w:val="00AB062E"/>
    <w:rsid w:val="00AB082B"/>
    <w:rsid w:val="00AB0BB6"/>
    <w:rsid w:val="00AB0F43"/>
    <w:rsid w:val="00AB0FE6"/>
    <w:rsid w:val="00AB11C2"/>
    <w:rsid w:val="00AB1AF7"/>
    <w:rsid w:val="00AB1B9A"/>
    <w:rsid w:val="00AB1FB4"/>
    <w:rsid w:val="00AB2094"/>
    <w:rsid w:val="00AB22C2"/>
    <w:rsid w:val="00AB2378"/>
    <w:rsid w:val="00AB26BF"/>
    <w:rsid w:val="00AB344B"/>
    <w:rsid w:val="00AB394B"/>
    <w:rsid w:val="00AB3BA7"/>
    <w:rsid w:val="00AB3D96"/>
    <w:rsid w:val="00AB3F2C"/>
    <w:rsid w:val="00AB410B"/>
    <w:rsid w:val="00AB4369"/>
    <w:rsid w:val="00AB45CF"/>
    <w:rsid w:val="00AB4679"/>
    <w:rsid w:val="00AB489C"/>
    <w:rsid w:val="00AB50C1"/>
    <w:rsid w:val="00AB51C0"/>
    <w:rsid w:val="00AB527F"/>
    <w:rsid w:val="00AB528F"/>
    <w:rsid w:val="00AB52DB"/>
    <w:rsid w:val="00AB565A"/>
    <w:rsid w:val="00AB5AD5"/>
    <w:rsid w:val="00AB5C52"/>
    <w:rsid w:val="00AB5D8F"/>
    <w:rsid w:val="00AB5FE1"/>
    <w:rsid w:val="00AB60F1"/>
    <w:rsid w:val="00AB6936"/>
    <w:rsid w:val="00AB6B06"/>
    <w:rsid w:val="00AB6F3B"/>
    <w:rsid w:val="00AB6F44"/>
    <w:rsid w:val="00AB70D5"/>
    <w:rsid w:val="00AB75E5"/>
    <w:rsid w:val="00AB7847"/>
    <w:rsid w:val="00AB799F"/>
    <w:rsid w:val="00AB7E24"/>
    <w:rsid w:val="00AC0C3B"/>
    <w:rsid w:val="00AC0C94"/>
    <w:rsid w:val="00AC0D41"/>
    <w:rsid w:val="00AC0F0A"/>
    <w:rsid w:val="00AC0F42"/>
    <w:rsid w:val="00AC149B"/>
    <w:rsid w:val="00AC14F1"/>
    <w:rsid w:val="00AC1536"/>
    <w:rsid w:val="00AC1914"/>
    <w:rsid w:val="00AC1BAC"/>
    <w:rsid w:val="00AC1BF2"/>
    <w:rsid w:val="00AC2423"/>
    <w:rsid w:val="00AC2489"/>
    <w:rsid w:val="00AC24F5"/>
    <w:rsid w:val="00AC271C"/>
    <w:rsid w:val="00AC29DC"/>
    <w:rsid w:val="00AC2B20"/>
    <w:rsid w:val="00AC2C4F"/>
    <w:rsid w:val="00AC2D48"/>
    <w:rsid w:val="00AC2D63"/>
    <w:rsid w:val="00AC2E39"/>
    <w:rsid w:val="00AC3361"/>
    <w:rsid w:val="00AC38FB"/>
    <w:rsid w:val="00AC3ACF"/>
    <w:rsid w:val="00AC3AEA"/>
    <w:rsid w:val="00AC3E25"/>
    <w:rsid w:val="00AC413E"/>
    <w:rsid w:val="00AC42D0"/>
    <w:rsid w:val="00AC43DA"/>
    <w:rsid w:val="00AC44DA"/>
    <w:rsid w:val="00AC46A0"/>
    <w:rsid w:val="00AC48C7"/>
    <w:rsid w:val="00AC4A00"/>
    <w:rsid w:val="00AC4C20"/>
    <w:rsid w:val="00AC4CDD"/>
    <w:rsid w:val="00AC4DD9"/>
    <w:rsid w:val="00AC50FC"/>
    <w:rsid w:val="00AC55BD"/>
    <w:rsid w:val="00AC5983"/>
    <w:rsid w:val="00AC5987"/>
    <w:rsid w:val="00AC5B20"/>
    <w:rsid w:val="00AC5E53"/>
    <w:rsid w:val="00AC5E99"/>
    <w:rsid w:val="00AC5EE6"/>
    <w:rsid w:val="00AC62AA"/>
    <w:rsid w:val="00AC64F8"/>
    <w:rsid w:val="00AC663D"/>
    <w:rsid w:val="00AC6B12"/>
    <w:rsid w:val="00AC6CE4"/>
    <w:rsid w:val="00AC6D98"/>
    <w:rsid w:val="00AC6E76"/>
    <w:rsid w:val="00AC6F8C"/>
    <w:rsid w:val="00AC736F"/>
    <w:rsid w:val="00AC73C0"/>
    <w:rsid w:val="00AC7428"/>
    <w:rsid w:val="00AC758C"/>
    <w:rsid w:val="00AC7870"/>
    <w:rsid w:val="00AC7A8F"/>
    <w:rsid w:val="00AC7ACC"/>
    <w:rsid w:val="00AC7D18"/>
    <w:rsid w:val="00AC7F80"/>
    <w:rsid w:val="00AD00BB"/>
    <w:rsid w:val="00AD01C1"/>
    <w:rsid w:val="00AD023D"/>
    <w:rsid w:val="00AD031E"/>
    <w:rsid w:val="00AD03D8"/>
    <w:rsid w:val="00AD04B2"/>
    <w:rsid w:val="00AD054D"/>
    <w:rsid w:val="00AD0711"/>
    <w:rsid w:val="00AD0A90"/>
    <w:rsid w:val="00AD0EFD"/>
    <w:rsid w:val="00AD0FEB"/>
    <w:rsid w:val="00AD1450"/>
    <w:rsid w:val="00AD1682"/>
    <w:rsid w:val="00AD182F"/>
    <w:rsid w:val="00AD1B32"/>
    <w:rsid w:val="00AD1EF7"/>
    <w:rsid w:val="00AD1F3C"/>
    <w:rsid w:val="00AD24C7"/>
    <w:rsid w:val="00AD269B"/>
    <w:rsid w:val="00AD26D5"/>
    <w:rsid w:val="00AD2871"/>
    <w:rsid w:val="00AD2D4F"/>
    <w:rsid w:val="00AD300D"/>
    <w:rsid w:val="00AD3187"/>
    <w:rsid w:val="00AD3A8E"/>
    <w:rsid w:val="00AD4321"/>
    <w:rsid w:val="00AD4390"/>
    <w:rsid w:val="00AD47D5"/>
    <w:rsid w:val="00AD48E7"/>
    <w:rsid w:val="00AD4A06"/>
    <w:rsid w:val="00AD4F51"/>
    <w:rsid w:val="00AD5296"/>
    <w:rsid w:val="00AD5796"/>
    <w:rsid w:val="00AD625E"/>
    <w:rsid w:val="00AD642A"/>
    <w:rsid w:val="00AD689B"/>
    <w:rsid w:val="00AD6A05"/>
    <w:rsid w:val="00AD704E"/>
    <w:rsid w:val="00AD7223"/>
    <w:rsid w:val="00AD7695"/>
    <w:rsid w:val="00AD78E5"/>
    <w:rsid w:val="00AD79A3"/>
    <w:rsid w:val="00AD7AE6"/>
    <w:rsid w:val="00AD7B93"/>
    <w:rsid w:val="00AD7EFD"/>
    <w:rsid w:val="00AE0255"/>
    <w:rsid w:val="00AE0278"/>
    <w:rsid w:val="00AE02D6"/>
    <w:rsid w:val="00AE02EE"/>
    <w:rsid w:val="00AE042D"/>
    <w:rsid w:val="00AE0487"/>
    <w:rsid w:val="00AE055C"/>
    <w:rsid w:val="00AE05ED"/>
    <w:rsid w:val="00AE06D2"/>
    <w:rsid w:val="00AE09FE"/>
    <w:rsid w:val="00AE0A41"/>
    <w:rsid w:val="00AE0C26"/>
    <w:rsid w:val="00AE0D3A"/>
    <w:rsid w:val="00AE0DAB"/>
    <w:rsid w:val="00AE0F0C"/>
    <w:rsid w:val="00AE104E"/>
    <w:rsid w:val="00AE1528"/>
    <w:rsid w:val="00AE161B"/>
    <w:rsid w:val="00AE1710"/>
    <w:rsid w:val="00AE19B4"/>
    <w:rsid w:val="00AE1B2C"/>
    <w:rsid w:val="00AE1BB8"/>
    <w:rsid w:val="00AE200F"/>
    <w:rsid w:val="00AE25F5"/>
    <w:rsid w:val="00AE2636"/>
    <w:rsid w:val="00AE2700"/>
    <w:rsid w:val="00AE28AD"/>
    <w:rsid w:val="00AE2C4C"/>
    <w:rsid w:val="00AE2D35"/>
    <w:rsid w:val="00AE2D3A"/>
    <w:rsid w:val="00AE3031"/>
    <w:rsid w:val="00AE337C"/>
    <w:rsid w:val="00AE35F3"/>
    <w:rsid w:val="00AE377C"/>
    <w:rsid w:val="00AE4044"/>
    <w:rsid w:val="00AE40E5"/>
    <w:rsid w:val="00AE41DB"/>
    <w:rsid w:val="00AE4344"/>
    <w:rsid w:val="00AE4444"/>
    <w:rsid w:val="00AE4585"/>
    <w:rsid w:val="00AE4918"/>
    <w:rsid w:val="00AE5073"/>
    <w:rsid w:val="00AE50CC"/>
    <w:rsid w:val="00AE5ACF"/>
    <w:rsid w:val="00AE5CA5"/>
    <w:rsid w:val="00AE5FE0"/>
    <w:rsid w:val="00AE60B7"/>
    <w:rsid w:val="00AE61A9"/>
    <w:rsid w:val="00AE6301"/>
    <w:rsid w:val="00AE649B"/>
    <w:rsid w:val="00AE65C5"/>
    <w:rsid w:val="00AE6BE7"/>
    <w:rsid w:val="00AE6C9B"/>
    <w:rsid w:val="00AE7111"/>
    <w:rsid w:val="00AE73AC"/>
    <w:rsid w:val="00AE78F3"/>
    <w:rsid w:val="00AE7BE6"/>
    <w:rsid w:val="00AF0384"/>
    <w:rsid w:val="00AF0C8C"/>
    <w:rsid w:val="00AF1354"/>
    <w:rsid w:val="00AF135D"/>
    <w:rsid w:val="00AF1483"/>
    <w:rsid w:val="00AF15CB"/>
    <w:rsid w:val="00AF180A"/>
    <w:rsid w:val="00AF1A63"/>
    <w:rsid w:val="00AF1D69"/>
    <w:rsid w:val="00AF2206"/>
    <w:rsid w:val="00AF2467"/>
    <w:rsid w:val="00AF25AE"/>
    <w:rsid w:val="00AF260F"/>
    <w:rsid w:val="00AF29F4"/>
    <w:rsid w:val="00AF2AB7"/>
    <w:rsid w:val="00AF2AEF"/>
    <w:rsid w:val="00AF2B1C"/>
    <w:rsid w:val="00AF3857"/>
    <w:rsid w:val="00AF3E28"/>
    <w:rsid w:val="00AF40FF"/>
    <w:rsid w:val="00AF41AD"/>
    <w:rsid w:val="00AF4B6F"/>
    <w:rsid w:val="00AF4CF0"/>
    <w:rsid w:val="00AF4D3F"/>
    <w:rsid w:val="00AF4EC1"/>
    <w:rsid w:val="00AF4FE5"/>
    <w:rsid w:val="00AF521D"/>
    <w:rsid w:val="00AF5732"/>
    <w:rsid w:val="00AF574A"/>
    <w:rsid w:val="00AF5978"/>
    <w:rsid w:val="00AF59AF"/>
    <w:rsid w:val="00AF5A4E"/>
    <w:rsid w:val="00AF6031"/>
    <w:rsid w:val="00AF6655"/>
    <w:rsid w:val="00AF667D"/>
    <w:rsid w:val="00AF6742"/>
    <w:rsid w:val="00AF69CE"/>
    <w:rsid w:val="00AF6C67"/>
    <w:rsid w:val="00AF6C82"/>
    <w:rsid w:val="00AF6EE1"/>
    <w:rsid w:val="00AF6F8B"/>
    <w:rsid w:val="00AF71EE"/>
    <w:rsid w:val="00AF72A0"/>
    <w:rsid w:val="00AF77C9"/>
    <w:rsid w:val="00AF7A32"/>
    <w:rsid w:val="00AF7B04"/>
    <w:rsid w:val="00AF7B27"/>
    <w:rsid w:val="00AF7B64"/>
    <w:rsid w:val="00AF7B9E"/>
    <w:rsid w:val="00AF7C7D"/>
    <w:rsid w:val="00B00320"/>
    <w:rsid w:val="00B004C9"/>
    <w:rsid w:val="00B0078A"/>
    <w:rsid w:val="00B00844"/>
    <w:rsid w:val="00B00A3A"/>
    <w:rsid w:val="00B00A7B"/>
    <w:rsid w:val="00B00D38"/>
    <w:rsid w:val="00B00D9E"/>
    <w:rsid w:val="00B00F44"/>
    <w:rsid w:val="00B010F2"/>
    <w:rsid w:val="00B01313"/>
    <w:rsid w:val="00B01402"/>
    <w:rsid w:val="00B01837"/>
    <w:rsid w:val="00B01BD9"/>
    <w:rsid w:val="00B02352"/>
    <w:rsid w:val="00B02358"/>
    <w:rsid w:val="00B02364"/>
    <w:rsid w:val="00B0291E"/>
    <w:rsid w:val="00B02C40"/>
    <w:rsid w:val="00B02EA8"/>
    <w:rsid w:val="00B0300B"/>
    <w:rsid w:val="00B03352"/>
    <w:rsid w:val="00B039B7"/>
    <w:rsid w:val="00B03A0B"/>
    <w:rsid w:val="00B040ED"/>
    <w:rsid w:val="00B04146"/>
    <w:rsid w:val="00B04147"/>
    <w:rsid w:val="00B0416F"/>
    <w:rsid w:val="00B042DD"/>
    <w:rsid w:val="00B04468"/>
    <w:rsid w:val="00B044C9"/>
    <w:rsid w:val="00B0461B"/>
    <w:rsid w:val="00B04921"/>
    <w:rsid w:val="00B04DE4"/>
    <w:rsid w:val="00B04E2D"/>
    <w:rsid w:val="00B05062"/>
    <w:rsid w:val="00B05159"/>
    <w:rsid w:val="00B0519B"/>
    <w:rsid w:val="00B05457"/>
    <w:rsid w:val="00B05598"/>
    <w:rsid w:val="00B05612"/>
    <w:rsid w:val="00B057F5"/>
    <w:rsid w:val="00B0582C"/>
    <w:rsid w:val="00B05859"/>
    <w:rsid w:val="00B05AA2"/>
    <w:rsid w:val="00B05BDF"/>
    <w:rsid w:val="00B05CDA"/>
    <w:rsid w:val="00B05FBD"/>
    <w:rsid w:val="00B062DF"/>
    <w:rsid w:val="00B065CC"/>
    <w:rsid w:val="00B06761"/>
    <w:rsid w:val="00B0676F"/>
    <w:rsid w:val="00B06950"/>
    <w:rsid w:val="00B06BE9"/>
    <w:rsid w:val="00B06C8F"/>
    <w:rsid w:val="00B07096"/>
    <w:rsid w:val="00B0719B"/>
    <w:rsid w:val="00B071CB"/>
    <w:rsid w:val="00B072AE"/>
    <w:rsid w:val="00B076F0"/>
    <w:rsid w:val="00B0775A"/>
    <w:rsid w:val="00B07A96"/>
    <w:rsid w:val="00B07BC5"/>
    <w:rsid w:val="00B07D1C"/>
    <w:rsid w:val="00B07FA8"/>
    <w:rsid w:val="00B10084"/>
    <w:rsid w:val="00B10195"/>
    <w:rsid w:val="00B10443"/>
    <w:rsid w:val="00B10785"/>
    <w:rsid w:val="00B108A9"/>
    <w:rsid w:val="00B10BD1"/>
    <w:rsid w:val="00B10F17"/>
    <w:rsid w:val="00B10F2E"/>
    <w:rsid w:val="00B1102B"/>
    <w:rsid w:val="00B114F7"/>
    <w:rsid w:val="00B11830"/>
    <w:rsid w:val="00B1229F"/>
    <w:rsid w:val="00B128A0"/>
    <w:rsid w:val="00B12BD8"/>
    <w:rsid w:val="00B12C61"/>
    <w:rsid w:val="00B12EED"/>
    <w:rsid w:val="00B13120"/>
    <w:rsid w:val="00B1328F"/>
    <w:rsid w:val="00B1331D"/>
    <w:rsid w:val="00B13344"/>
    <w:rsid w:val="00B13633"/>
    <w:rsid w:val="00B1389F"/>
    <w:rsid w:val="00B139C8"/>
    <w:rsid w:val="00B13C26"/>
    <w:rsid w:val="00B13D16"/>
    <w:rsid w:val="00B13DAD"/>
    <w:rsid w:val="00B13ECE"/>
    <w:rsid w:val="00B1410F"/>
    <w:rsid w:val="00B142F9"/>
    <w:rsid w:val="00B145C7"/>
    <w:rsid w:val="00B14625"/>
    <w:rsid w:val="00B1488C"/>
    <w:rsid w:val="00B14C72"/>
    <w:rsid w:val="00B14D4A"/>
    <w:rsid w:val="00B14EBB"/>
    <w:rsid w:val="00B15454"/>
    <w:rsid w:val="00B15642"/>
    <w:rsid w:val="00B158C6"/>
    <w:rsid w:val="00B15CDA"/>
    <w:rsid w:val="00B15D5E"/>
    <w:rsid w:val="00B15D79"/>
    <w:rsid w:val="00B15EFD"/>
    <w:rsid w:val="00B16026"/>
    <w:rsid w:val="00B162F1"/>
    <w:rsid w:val="00B164D6"/>
    <w:rsid w:val="00B16745"/>
    <w:rsid w:val="00B1677C"/>
    <w:rsid w:val="00B167BA"/>
    <w:rsid w:val="00B16F04"/>
    <w:rsid w:val="00B1718E"/>
    <w:rsid w:val="00B176D1"/>
    <w:rsid w:val="00B20240"/>
    <w:rsid w:val="00B202AE"/>
    <w:rsid w:val="00B202C3"/>
    <w:rsid w:val="00B205EF"/>
    <w:rsid w:val="00B20821"/>
    <w:rsid w:val="00B20AF8"/>
    <w:rsid w:val="00B20C8C"/>
    <w:rsid w:val="00B211A4"/>
    <w:rsid w:val="00B2199F"/>
    <w:rsid w:val="00B229C4"/>
    <w:rsid w:val="00B22A25"/>
    <w:rsid w:val="00B22A5C"/>
    <w:rsid w:val="00B2304E"/>
    <w:rsid w:val="00B23068"/>
    <w:rsid w:val="00B230CD"/>
    <w:rsid w:val="00B231A7"/>
    <w:rsid w:val="00B23244"/>
    <w:rsid w:val="00B23281"/>
    <w:rsid w:val="00B232BB"/>
    <w:rsid w:val="00B23310"/>
    <w:rsid w:val="00B23572"/>
    <w:rsid w:val="00B238B8"/>
    <w:rsid w:val="00B23A9C"/>
    <w:rsid w:val="00B23B5A"/>
    <w:rsid w:val="00B23CB8"/>
    <w:rsid w:val="00B23D05"/>
    <w:rsid w:val="00B23E47"/>
    <w:rsid w:val="00B23FAB"/>
    <w:rsid w:val="00B24046"/>
    <w:rsid w:val="00B24129"/>
    <w:rsid w:val="00B2419F"/>
    <w:rsid w:val="00B241C6"/>
    <w:rsid w:val="00B24723"/>
    <w:rsid w:val="00B249A9"/>
    <w:rsid w:val="00B24A0C"/>
    <w:rsid w:val="00B24D71"/>
    <w:rsid w:val="00B250CC"/>
    <w:rsid w:val="00B256DB"/>
    <w:rsid w:val="00B25919"/>
    <w:rsid w:val="00B25A76"/>
    <w:rsid w:val="00B25CF7"/>
    <w:rsid w:val="00B25EA8"/>
    <w:rsid w:val="00B25F44"/>
    <w:rsid w:val="00B260B1"/>
    <w:rsid w:val="00B26141"/>
    <w:rsid w:val="00B261C5"/>
    <w:rsid w:val="00B264C4"/>
    <w:rsid w:val="00B26754"/>
    <w:rsid w:val="00B26A09"/>
    <w:rsid w:val="00B26C64"/>
    <w:rsid w:val="00B26F39"/>
    <w:rsid w:val="00B27571"/>
    <w:rsid w:val="00B2772E"/>
    <w:rsid w:val="00B27C61"/>
    <w:rsid w:val="00B303F0"/>
    <w:rsid w:val="00B304B0"/>
    <w:rsid w:val="00B305CE"/>
    <w:rsid w:val="00B306FB"/>
    <w:rsid w:val="00B30BAD"/>
    <w:rsid w:val="00B3126C"/>
    <w:rsid w:val="00B3149D"/>
    <w:rsid w:val="00B3175B"/>
    <w:rsid w:val="00B31F32"/>
    <w:rsid w:val="00B32001"/>
    <w:rsid w:val="00B322FB"/>
    <w:rsid w:val="00B3285B"/>
    <w:rsid w:val="00B32B63"/>
    <w:rsid w:val="00B32C0E"/>
    <w:rsid w:val="00B32C37"/>
    <w:rsid w:val="00B32E7D"/>
    <w:rsid w:val="00B33253"/>
    <w:rsid w:val="00B33298"/>
    <w:rsid w:val="00B336F5"/>
    <w:rsid w:val="00B336F9"/>
    <w:rsid w:val="00B3399A"/>
    <w:rsid w:val="00B33D64"/>
    <w:rsid w:val="00B340CB"/>
    <w:rsid w:val="00B342B7"/>
    <w:rsid w:val="00B3448C"/>
    <w:rsid w:val="00B344AA"/>
    <w:rsid w:val="00B34604"/>
    <w:rsid w:val="00B346F2"/>
    <w:rsid w:val="00B34951"/>
    <w:rsid w:val="00B34969"/>
    <w:rsid w:val="00B34AA1"/>
    <w:rsid w:val="00B34C8B"/>
    <w:rsid w:val="00B35382"/>
    <w:rsid w:val="00B359D7"/>
    <w:rsid w:val="00B359F5"/>
    <w:rsid w:val="00B35A59"/>
    <w:rsid w:val="00B35F19"/>
    <w:rsid w:val="00B35F4B"/>
    <w:rsid w:val="00B36571"/>
    <w:rsid w:val="00B36675"/>
    <w:rsid w:val="00B36B26"/>
    <w:rsid w:val="00B36CFB"/>
    <w:rsid w:val="00B3708A"/>
    <w:rsid w:val="00B37530"/>
    <w:rsid w:val="00B37569"/>
    <w:rsid w:val="00B3772E"/>
    <w:rsid w:val="00B37935"/>
    <w:rsid w:val="00B37936"/>
    <w:rsid w:val="00B40653"/>
    <w:rsid w:val="00B40935"/>
    <w:rsid w:val="00B409D6"/>
    <w:rsid w:val="00B409EF"/>
    <w:rsid w:val="00B40AC4"/>
    <w:rsid w:val="00B40B5C"/>
    <w:rsid w:val="00B40DEE"/>
    <w:rsid w:val="00B40F03"/>
    <w:rsid w:val="00B41126"/>
    <w:rsid w:val="00B4116B"/>
    <w:rsid w:val="00B411DC"/>
    <w:rsid w:val="00B4161F"/>
    <w:rsid w:val="00B4164B"/>
    <w:rsid w:val="00B418A5"/>
    <w:rsid w:val="00B41D78"/>
    <w:rsid w:val="00B42099"/>
    <w:rsid w:val="00B420AB"/>
    <w:rsid w:val="00B423C9"/>
    <w:rsid w:val="00B42469"/>
    <w:rsid w:val="00B4251A"/>
    <w:rsid w:val="00B42B0C"/>
    <w:rsid w:val="00B42C9A"/>
    <w:rsid w:val="00B42E8C"/>
    <w:rsid w:val="00B42F77"/>
    <w:rsid w:val="00B430AB"/>
    <w:rsid w:val="00B43280"/>
    <w:rsid w:val="00B43362"/>
    <w:rsid w:val="00B43969"/>
    <w:rsid w:val="00B43A77"/>
    <w:rsid w:val="00B43EB7"/>
    <w:rsid w:val="00B43EFC"/>
    <w:rsid w:val="00B4408B"/>
    <w:rsid w:val="00B4427E"/>
    <w:rsid w:val="00B44B3A"/>
    <w:rsid w:val="00B44D08"/>
    <w:rsid w:val="00B44E15"/>
    <w:rsid w:val="00B44F71"/>
    <w:rsid w:val="00B45135"/>
    <w:rsid w:val="00B4519C"/>
    <w:rsid w:val="00B45245"/>
    <w:rsid w:val="00B45449"/>
    <w:rsid w:val="00B454D1"/>
    <w:rsid w:val="00B45592"/>
    <w:rsid w:val="00B45761"/>
    <w:rsid w:val="00B45CEA"/>
    <w:rsid w:val="00B45E10"/>
    <w:rsid w:val="00B45E98"/>
    <w:rsid w:val="00B46119"/>
    <w:rsid w:val="00B461C5"/>
    <w:rsid w:val="00B4691E"/>
    <w:rsid w:val="00B4696E"/>
    <w:rsid w:val="00B46C1F"/>
    <w:rsid w:val="00B46F4B"/>
    <w:rsid w:val="00B46F5A"/>
    <w:rsid w:val="00B47768"/>
    <w:rsid w:val="00B4782A"/>
    <w:rsid w:val="00B47868"/>
    <w:rsid w:val="00B50263"/>
    <w:rsid w:val="00B50577"/>
    <w:rsid w:val="00B507AC"/>
    <w:rsid w:val="00B5086D"/>
    <w:rsid w:val="00B50905"/>
    <w:rsid w:val="00B509A2"/>
    <w:rsid w:val="00B50A13"/>
    <w:rsid w:val="00B50E3A"/>
    <w:rsid w:val="00B5102E"/>
    <w:rsid w:val="00B51036"/>
    <w:rsid w:val="00B510FC"/>
    <w:rsid w:val="00B5121A"/>
    <w:rsid w:val="00B5149E"/>
    <w:rsid w:val="00B5199F"/>
    <w:rsid w:val="00B51CCD"/>
    <w:rsid w:val="00B51D2D"/>
    <w:rsid w:val="00B51E30"/>
    <w:rsid w:val="00B522AD"/>
    <w:rsid w:val="00B5259E"/>
    <w:rsid w:val="00B52665"/>
    <w:rsid w:val="00B5272D"/>
    <w:rsid w:val="00B531E8"/>
    <w:rsid w:val="00B53344"/>
    <w:rsid w:val="00B535B6"/>
    <w:rsid w:val="00B53728"/>
    <w:rsid w:val="00B5392A"/>
    <w:rsid w:val="00B53CDA"/>
    <w:rsid w:val="00B53EF8"/>
    <w:rsid w:val="00B5409A"/>
    <w:rsid w:val="00B542B6"/>
    <w:rsid w:val="00B54B16"/>
    <w:rsid w:val="00B55165"/>
    <w:rsid w:val="00B5526A"/>
    <w:rsid w:val="00B554F5"/>
    <w:rsid w:val="00B5553A"/>
    <w:rsid w:val="00B55574"/>
    <w:rsid w:val="00B556BA"/>
    <w:rsid w:val="00B56129"/>
    <w:rsid w:val="00B5663B"/>
    <w:rsid w:val="00B56BD4"/>
    <w:rsid w:val="00B5715E"/>
    <w:rsid w:val="00B575EF"/>
    <w:rsid w:val="00B576CF"/>
    <w:rsid w:val="00B578CB"/>
    <w:rsid w:val="00B60001"/>
    <w:rsid w:val="00B600FD"/>
    <w:rsid w:val="00B6033D"/>
    <w:rsid w:val="00B60867"/>
    <w:rsid w:val="00B61065"/>
    <w:rsid w:val="00B6114F"/>
    <w:rsid w:val="00B611DB"/>
    <w:rsid w:val="00B613D8"/>
    <w:rsid w:val="00B614AA"/>
    <w:rsid w:val="00B614E2"/>
    <w:rsid w:val="00B617BD"/>
    <w:rsid w:val="00B6184C"/>
    <w:rsid w:val="00B61A73"/>
    <w:rsid w:val="00B61E1F"/>
    <w:rsid w:val="00B62B30"/>
    <w:rsid w:val="00B63114"/>
    <w:rsid w:val="00B637CF"/>
    <w:rsid w:val="00B6382B"/>
    <w:rsid w:val="00B6385D"/>
    <w:rsid w:val="00B63AB9"/>
    <w:rsid w:val="00B63ADF"/>
    <w:rsid w:val="00B64065"/>
    <w:rsid w:val="00B64900"/>
    <w:rsid w:val="00B64BA6"/>
    <w:rsid w:val="00B64BB8"/>
    <w:rsid w:val="00B64BC9"/>
    <w:rsid w:val="00B64E45"/>
    <w:rsid w:val="00B6525D"/>
    <w:rsid w:val="00B652A4"/>
    <w:rsid w:val="00B6559A"/>
    <w:rsid w:val="00B6570B"/>
    <w:rsid w:val="00B65870"/>
    <w:rsid w:val="00B65ABA"/>
    <w:rsid w:val="00B65BB6"/>
    <w:rsid w:val="00B65E6B"/>
    <w:rsid w:val="00B65FA5"/>
    <w:rsid w:val="00B66542"/>
    <w:rsid w:val="00B667FB"/>
    <w:rsid w:val="00B6684E"/>
    <w:rsid w:val="00B669D2"/>
    <w:rsid w:val="00B66CC4"/>
    <w:rsid w:val="00B66E5A"/>
    <w:rsid w:val="00B6702C"/>
    <w:rsid w:val="00B6706E"/>
    <w:rsid w:val="00B67073"/>
    <w:rsid w:val="00B67097"/>
    <w:rsid w:val="00B670C0"/>
    <w:rsid w:val="00B6757F"/>
    <w:rsid w:val="00B67786"/>
    <w:rsid w:val="00B6790F"/>
    <w:rsid w:val="00B67FF6"/>
    <w:rsid w:val="00B70214"/>
    <w:rsid w:val="00B70992"/>
    <w:rsid w:val="00B70BAF"/>
    <w:rsid w:val="00B70CC3"/>
    <w:rsid w:val="00B70D7E"/>
    <w:rsid w:val="00B70DBF"/>
    <w:rsid w:val="00B70F3A"/>
    <w:rsid w:val="00B71161"/>
    <w:rsid w:val="00B711A8"/>
    <w:rsid w:val="00B7123D"/>
    <w:rsid w:val="00B7143B"/>
    <w:rsid w:val="00B71473"/>
    <w:rsid w:val="00B715C4"/>
    <w:rsid w:val="00B716EA"/>
    <w:rsid w:val="00B71AB1"/>
    <w:rsid w:val="00B71B3B"/>
    <w:rsid w:val="00B72242"/>
    <w:rsid w:val="00B72258"/>
    <w:rsid w:val="00B727F2"/>
    <w:rsid w:val="00B728D9"/>
    <w:rsid w:val="00B72B85"/>
    <w:rsid w:val="00B7309E"/>
    <w:rsid w:val="00B7326F"/>
    <w:rsid w:val="00B73488"/>
    <w:rsid w:val="00B735B7"/>
    <w:rsid w:val="00B73951"/>
    <w:rsid w:val="00B73E7E"/>
    <w:rsid w:val="00B73EDE"/>
    <w:rsid w:val="00B73EFD"/>
    <w:rsid w:val="00B74048"/>
    <w:rsid w:val="00B7405F"/>
    <w:rsid w:val="00B74392"/>
    <w:rsid w:val="00B745E6"/>
    <w:rsid w:val="00B74B63"/>
    <w:rsid w:val="00B74DFD"/>
    <w:rsid w:val="00B74E01"/>
    <w:rsid w:val="00B74FFF"/>
    <w:rsid w:val="00B7512D"/>
    <w:rsid w:val="00B753B2"/>
    <w:rsid w:val="00B756CA"/>
    <w:rsid w:val="00B7571C"/>
    <w:rsid w:val="00B75A01"/>
    <w:rsid w:val="00B75C9A"/>
    <w:rsid w:val="00B75EF1"/>
    <w:rsid w:val="00B764E8"/>
    <w:rsid w:val="00B765AB"/>
    <w:rsid w:val="00B76650"/>
    <w:rsid w:val="00B76B54"/>
    <w:rsid w:val="00B76B9C"/>
    <w:rsid w:val="00B76D7B"/>
    <w:rsid w:val="00B771CF"/>
    <w:rsid w:val="00B776E3"/>
    <w:rsid w:val="00B776FB"/>
    <w:rsid w:val="00B77B5D"/>
    <w:rsid w:val="00B77CCE"/>
    <w:rsid w:val="00B77D20"/>
    <w:rsid w:val="00B80012"/>
    <w:rsid w:val="00B8064C"/>
    <w:rsid w:val="00B808C4"/>
    <w:rsid w:val="00B80C4A"/>
    <w:rsid w:val="00B80C91"/>
    <w:rsid w:val="00B8125A"/>
    <w:rsid w:val="00B81624"/>
    <w:rsid w:val="00B8182C"/>
    <w:rsid w:val="00B8184A"/>
    <w:rsid w:val="00B81C63"/>
    <w:rsid w:val="00B81D16"/>
    <w:rsid w:val="00B8221F"/>
    <w:rsid w:val="00B8284C"/>
    <w:rsid w:val="00B829A3"/>
    <w:rsid w:val="00B829D6"/>
    <w:rsid w:val="00B829F0"/>
    <w:rsid w:val="00B8316C"/>
    <w:rsid w:val="00B83437"/>
    <w:rsid w:val="00B835CE"/>
    <w:rsid w:val="00B836F8"/>
    <w:rsid w:val="00B837D0"/>
    <w:rsid w:val="00B8383D"/>
    <w:rsid w:val="00B8397D"/>
    <w:rsid w:val="00B83991"/>
    <w:rsid w:val="00B83B49"/>
    <w:rsid w:val="00B83B52"/>
    <w:rsid w:val="00B83CF2"/>
    <w:rsid w:val="00B83D27"/>
    <w:rsid w:val="00B83F9F"/>
    <w:rsid w:val="00B83FA7"/>
    <w:rsid w:val="00B840B0"/>
    <w:rsid w:val="00B840C3"/>
    <w:rsid w:val="00B842B5"/>
    <w:rsid w:val="00B846DF"/>
    <w:rsid w:val="00B848C9"/>
    <w:rsid w:val="00B84CED"/>
    <w:rsid w:val="00B853DB"/>
    <w:rsid w:val="00B855E5"/>
    <w:rsid w:val="00B857CA"/>
    <w:rsid w:val="00B85A66"/>
    <w:rsid w:val="00B85B70"/>
    <w:rsid w:val="00B85BEE"/>
    <w:rsid w:val="00B85C33"/>
    <w:rsid w:val="00B85C4E"/>
    <w:rsid w:val="00B86295"/>
    <w:rsid w:val="00B862BF"/>
    <w:rsid w:val="00B8643E"/>
    <w:rsid w:val="00B86695"/>
    <w:rsid w:val="00B86A3B"/>
    <w:rsid w:val="00B86F34"/>
    <w:rsid w:val="00B873E3"/>
    <w:rsid w:val="00B87624"/>
    <w:rsid w:val="00B876F2"/>
    <w:rsid w:val="00B878C4"/>
    <w:rsid w:val="00B8799A"/>
    <w:rsid w:val="00B87CF3"/>
    <w:rsid w:val="00B87D1F"/>
    <w:rsid w:val="00B87D61"/>
    <w:rsid w:val="00B9036F"/>
    <w:rsid w:val="00B90B25"/>
    <w:rsid w:val="00B90B8D"/>
    <w:rsid w:val="00B90BAD"/>
    <w:rsid w:val="00B90C1F"/>
    <w:rsid w:val="00B912B5"/>
    <w:rsid w:val="00B9130F"/>
    <w:rsid w:val="00B91747"/>
    <w:rsid w:val="00B91805"/>
    <w:rsid w:val="00B91994"/>
    <w:rsid w:val="00B91DB3"/>
    <w:rsid w:val="00B92072"/>
    <w:rsid w:val="00B92332"/>
    <w:rsid w:val="00B9260D"/>
    <w:rsid w:val="00B926BE"/>
    <w:rsid w:val="00B92BB4"/>
    <w:rsid w:val="00B92D40"/>
    <w:rsid w:val="00B92E8A"/>
    <w:rsid w:val="00B9304C"/>
    <w:rsid w:val="00B930A3"/>
    <w:rsid w:val="00B930BE"/>
    <w:rsid w:val="00B930C7"/>
    <w:rsid w:val="00B9332F"/>
    <w:rsid w:val="00B9347D"/>
    <w:rsid w:val="00B93948"/>
    <w:rsid w:val="00B93A3C"/>
    <w:rsid w:val="00B93A43"/>
    <w:rsid w:val="00B93B80"/>
    <w:rsid w:val="00B93B92"/>
    <w:rsid w:val="00B93D23"/>
    <w:rsid w:val="00B93F89"/>
    <w:rsid w:val="00B9416A"/>
    <w:rsid w:val="00B94AE5"/>
    <w:rsid w:val="00B94AFC"/>
    <w:rsid w:val="00B94BAC"/>
    <w:rsid w:val="00B94C3D"/>
    <w:rsid w:val="00B94E03"/>
    <w:rsid w:val="00B94F34"/>
    <w:rsid w:val="00B95487"/>
    <w:rsid w:val="00B95586"/>
    <w:rsid w:val="00B955AB"/>
    <w:rsid w:val="00B95702"/>
    <w:rsid w:val="00B95F42"/>
    <w:rsid w:val="00B95FDC"/>
    <w:rsid w:val="00B960C6"/>
    <w:rsid w:val="00B96315"/>
    <w:rsid w:val="00B96570"/>
    <w:rsid w:val="00B96848"/>
    <w:rsid w:val="00B96AA2"/>
    <w:rsid w:val="00B96CBE"/>
    <w:rsid w:val="00B96DD6"/>
    <w:rsid w:val="00B97084"/>
    <w:rsid w:val="00B970DD"/>
    <w:rsid w:val="00B9739E"/>
    <w:rsid w:val="00B97584"/>
    <w:rsid w:val="00B975D4"/>
    <w:rsid w:val="00B975F5"/>
    <w:rsid w:val="00B97822"/>
    <w:rsid w:val="00B979BB"/>
    <w:rsid w:val="00B979FD"/>
    <w:rsid w:val="00B97CC9"/>
    <w:rsid w:val="00B97FDA"/>
    <w:rsid w:val="00BA047C"/>
    <w:rsid w:val="00BA0B87"/>
    <w:rsid w:val="00BA0D59"/>
    <w:rsid w:val="00BA0EE2"/>
    <w:rsid w:val="00BA12A4"/>
    <w:rsid w:val="00BA17EB"/>
    <w:rsid w:val="00BA17F1"/>
    <w:rsid w:val="00BA1B33"/>
    <w:rsid w:val="00BA1F98"/>
    <w:rsid w:val="00BA2347"/>
    <w:rsid w:val="00BA23DF"/>
    <w:rsid w:val="00BA2682"/>
    <w:rsid w:val="00BA2713"/>
    <w:rsid w:val="00BA2E5B"/>
    <w:rsid w:val="00BA3235"/>
    <w:rsid w:val="00BA3286"/>
    <w:rsid w:val="00BA32C6"/>
    <w:rsid w:val="00BA3473"/>
    <w:rsid w:val="00BA36E5"/>
    <w:rsid w:val="00BA37A9"/>
    <w:rsid w:val="00BA3E69"/>
    <w:rsid w:val="00BA3F59"/>
    <w:rsid w:val="00BA40D6"/>
    <w:rsid w:val="00BA44B7"/>
    <w:rsid w:val="00BA4BC7"/>
    <w:rsid w:val="00BA4E41"/>
    <w:rsid w:val="00BA55B7"/>
    <w:rsid w:val="00BA57C4"/>
    <w:rsid w:val="00BA5923"/>
    <w:rsid w:val="00BA59E0"/>
    <w:rsid w:val="00BA5A04"/>
    <w:rsid w:val="00BA5E47"/>
    <w:rsid w:val="00BA5F2D"/>
    <w:rsid w:val="00BA5FD5"/>
    <w:rsid w:val="00BA60F9"/>
    <w:rsid w:val="00BA6283"/>
    <w:rsid w:val="00BA62FE"/>
    <w:rsid w:val="00BA66C3"/>
    <w:rsid w:val="00BA66E4"/>
    <w:rsid w:val="00BA6818"/>
    <w:rsid w:val="00BA68B0"/>
    <w:rsid w:val="00BA6B66"/>
    <w:rsid w:val="00BA6E70"/>
    <w:rsid w:val="00BA707A"/>
    <w:rsid w:val="00BA7299"/>
    <w:rsid w:val="00BA776D"/>
    <w:rsid w:val="00BA7D57"/>
    <w:rsid w:val="00BA7E79"/>
    <w:rsid w:val="00BA7F75"/>
    <w:rsid w:val="00BA7FAA"/>
    <w:rsid w:val="00BB007A"/>
    <w:rsid w:val="00BB09AF"/>
    <w:rsid w:val="00BB0DFD"/>
    <w:rsid w:val="00BB0E3F"/>
    <w:rsid w:val="00BB134B"/>
    <w:rsid w:val="00BB156E"/>
    <w:rsid w:val="00BB193E"/>
    <w:rsid w:val="00BB1A41"/>
    <w:rsid w:val="00BB1C48"/>
    <w:rsid w:val="00BB1C5D"/>
    <w:rsid w:val="00BB1D7C"/>
    <w:rsid w:val="00BB23D2"/>
    <w:rsid w:val="00BB2607"/>
    <w:rsid w:val="00BB2865"/>
    <w:rsid w:val="00BB28A1"/>
    <w:rsid w:val="00BB2A75"/>
    <w:rsid w:val="00BB2AA2"/>
    <w:rsid w:val="00BB2B94"/>
    <w:rsid w:val="00BB2DCA"/>
    <w:rsid w:val="00BB2E4E"/>
    <w:rsid w:val="00BB3330"/>
    <w:rsid w:val="00BB44D3"/>
    <w:rsid w:val="00BB47D7"/>
    <w:rsid w:val="00BB4A62"/>
    <w:rsid w:val="00BB4B45"/>
    <w:rsid w:val="00BB4DC3"/>
    <w:rsid w:val="00BB5263"/>
    <w:rsid w:val="00BB545E"/>
    <w:rsid w:val="00BB556F"/>
    <w:rsid w:val="00BB567C"/>
    <w:rsid w:val="00BB5CD1"/>
    <w:rsid w:val="00BB5DD5"/>
    <w:rsid w:val="00BB5DF0"/>
    <w:rsid w:val="00BB5E02"/>
    <w:rsid w:val="00BB6E5D"/>
    <w:rsid w:val="00BB70F0"/>
    <w:rsid w:val="00BB72CE"/>
    <w:rsid w:val="00BB7376"/>
    <w:rsid w:val="00BB7405"/>
    <w:rsid w:val="00BB7675"/>
    <w:rsid w:val="00BB77E6"/>
    <w:rsid w:val="00BB783B"/>
    <w:rsid w:val="00BB7CD4"/>
    <w:rsid w:val="00BB7CFD"/>
    <w:rsid w:val="00BB7F53"/>
    <w:rsid w:val="00BC0112"/>
    <w:rsid w:val="00BC01C1"/>
    <w:rsid w:val="00BC028E"/>
    <w:rsid w:val="00BC037B"/>
    <w:rsid w:val="00BC0448"/>
    <w:rsid w:val="00BC04D0"/>
    <w:rsid w:val="00BC0588"/>
    <w:rsid w:val="00BC05B7"/>
    <w:rsid w:val="00BC05C6"/>
    <w:rsid w:val="00BC08F6"/>
    <w:rsid w:val="00BC0A34"/>
    <w:rsid w:val="00BC0CD2"/>
    <w:rsid w:val="00BC11A6"/>
    <w:rsid w:val="00BC1479"/>
    <w:rsid w:val="00BC14D3"/>
    <w:rsid w:val="00BC1960"/>
    <w:rsid w:val="00BC1EA8"/>
    <w:rsid w:val="00BC216B"/>
    <w:rsid w:val="00BC249C"/>
    <w:rsid w:val="00BC30D1"/>
    <w:rsid w:val="00BC3325"/>
    <w:rsid w:val="00BC3364"/>
    <w:rsid w:val="00BC3380"/>
    <w:rsid w:val="00BC3386"/>
    <w:rsid w:val="00BC396F"/>
    <w:rsid w:val="00BC3AEC"/>
    <w:rsid w:val="00BC3E40"/>
    <w:rsid w:val="00BC42D4"/>
    <w:rsid w:val="00BC44A8"/>
    <w:rsid w:val="00BC45A1"/>
    <w:rsid w:val="00BC46F7"/>
    <w:rsid w:val="00BC478F"/>
    <w:rsid w:val="00BC4EC6"/>
    <w:rsid w:val="00BC4FAF"/>
    <w:rsid w:val="00BC51A9"/>
    <w:rsid w:val="00BC5254"/>
    <w:rsid w:val="00BC5501"/>
    <w:rsid w:val="00BC56AD"/>
    <w:rsid w:val="00BC57EB"/>
    <w:rsid w:val="00BC59EE"/>
    <w:rsid w:val="00BC5A34"/>
    <w:rsid w:val="00BC5AF5"/>
    <w:rsid w:val="00BC5C63"/>
    <w:rsid w:val="00BC66A0"/>
    <w:rsid w:val="00BC6864"/>
    <w:rsid w:val="00BC6A06"/>
    <w:rsid w:val="00BC6A9D"/>
    <w:rsid w:val="00BC6ADB"/>
    <w:rsid w:val="00BC6CBA"/>
    <w:rsid w:val="00BC6D62"/>
    <w:rsid w:val="00BC6EC2"/>
    <w:rsid w:val="00BC7062"/>
    <w:rsid w:val="00BC73DE"/>
    <w:rsid w:val="00BC7734"/>
    <w:rsid w:val="00BC7964"/>
    <w:rsid w:val="00BC7965"/>
    <w:rsid w:val="00BC7A39"/>
    <w:rsid w:val="00BC7C6E"/>
    <w:rsid w:val="00BC7D06"/>
    <w:rsid w:val="00BD000D"/>
    <w:rsid w:val="00BD00E4"/>
    <w:rsid w:val="00BD019D"/>
    <w:rsid w:val="00BD0748"/>
    <w:rsid w:val="00BD0A9E"/>
    <w:rsid w:val="00BD0CCA"/>
    <w:rsid w:val="00BD0E10"/>
    <w:rsid w:val="00BD12A5"/>
    <w:rsid w:val="00BD14E7"/>
    <w:rsid w:val="00BD1590"/>
    <w:rsid w:val="00BD17F5"/>
    <w:rsid w:val="00BD1A19"/>
    <w:rsid w:val="00BD1BE9"/>
    <w:rsid w:val="00BD1EA1"/>
    <w:rsid w:val="00BD1FD0"/>
    <w:rsid w:val="00BD236D"/>
    <w:rsid w:val="00BD275A"/>
    <w:rsid w:val="00BD2ACF"/>
    <w:rsid w:val="00BD2BE3"/>
    <w:rsid w:val="00BD2E01"/>
    <w:rsid w:val="00BD2EDA"/>
    <w:rsid w:val="00BD382F"/>
    <w:rsid w:val="00BD388C"/>
    <w:rsid w:val="00BD38CB"/>
    <w:rsid w:val="00BD3B6E"/>
    <w:rsid w:val="00BD3EC0"/>
    <w:rsid w:val="00BD3F70"/>
    <w:rsid w:val="00BD400A"/>
    <w:rsid w:val="00BD434D"/>
    <w:rsid w:val="00BD4495"/>
    <w:rsid w:val="00BD4607"/>
    <w:rsid w:val="00BD46C5"/>
    <w:rsid w:val="00BD46D5"/>
    <w:rsid w:val="00BD47A0"/>
    <w:rsid w:val="00BD4A61"/>
    <w:rsid w:val="00BD4A77"/>
    <w:rsid w:val="00BD4B75"/>
    <w:rsid w:val="00BD4E45"/>
    <w:rsid w:val="00BD4E87"/>
    <w:rsid w:val="00BD4FBB"/>
    <w:rsid w:val="00BD5366"/>
    <w:rsid w:val="00BD53AE"/>
    <w:rsid w:val="00BD5543"/>
    <w:rsid w:val="00BD6005"/>
    <w:rsid w:val="00BD6021"/>
    <w:rsid w:val="00BD6596"/>
    <w:rsid w:val="00BD6599"/>
    <w:rsid w:val="00BD66A1"/>
    <w:rsid w:val="00BD67BC"/>
    <w:rsid w:val="00BD6E05"/>
    <w:rsid w:val="00BD6F96"/>
    <w:rsid w:val="00BD7105"/>
    <w:rsid w:val="00BD743E"/>
    <w:rsid w:val="00BD74D9"/>
    <w:rsid w:val="00BD788B"/>
    <w:rsid w:val="00BD78FF"/>
    <w:rsid w:val="00BD794C"/>
    <w:rsid w:val="00BD79F1"/>
    <w:rsid w:val="00BD7A43"/>
    <w:rsid w:val="00BD7ACF"/>
    <w:rsid w:val="00BD7B61"/>
    <w:rsid w:val="00BE032E"/>
    <w:rsid w:val="00BE07C7"/>
    <w:rsid w:val="00BE0917"/>
    <w:rsid w:val="00BE0A7A"/>
    <w:rsid w:val="00BE0EF4"/>
    <w:rsid w:val="00BE10D5"/>
    <w:rsid w:val="00BE12B2"/>
    <w:rsid w:val="00BE14BA"/>
    <w:rsid w:val="00BE16E5"/>
    <w:rsid w:val="00BE1715"/>
    <w:rsid w:val="00BE22C4"/>
    <w:rsid w:val="00BE25F3"/>
    <w:rsid w:val="00BE2DA5"/>
    <w:rsid w:val="00BE31B5"/>
    <w:rsid w:val="00BE33EC"/>
    <w:rsid w:val="00BE34F5"/>
    <w:rsid w:val="00BE356A"/>
    <w:rsid w:val="00BE37F5"/>
    <w:rsid w:val="00BE38A9"/>
    <w:rsid w:val="00BE39B5"/>
    <w:rsid w:val="00BE39CC"/>
    <w:rsid w:val="00BE3A16"/>
    <w:rsid w:val="00BE3A17"/>
    <w:rsid w:val="00BE3C32"/>
    <w:rsid w:val="00BE3DB5"/>
    <w:rsid w:val="00BE3EED"/>
    <w:rsid w:val="00BE40DE"/>
    <w:rsid w:val="00BE4182"/>
    <w:rsid w:val="00BE4C16"/>
    <w:rsid w:val="00BE519A"/>
    <w:rsid w:val="00BE5305"/>
    <w:rsid w:val="00BE54D0"/>
    <w:rsid w:val="00BE57D3"/>
    <w:rsid w:val="00BE59A4"/>
    <w:rsid w:val="00BE5D22"/>
    <w:rsid w:val="00BE61FC"/>
    <w:rsid w:val="00BE65F7"/>
    <w:rsid w:val="00BE6735"/>
    <w:rsid w:val="00BE67DB"/>
    <w:rsid w:val="00BE6844"/>
    <w:rsid w:val="00BE6924"/>
    <w:rsid w:val="00BE6A62"/>
    <w:rsid w:val="00BE6FDF"/>
    <w:rsid w:val="00BE7074"/>
    <w:rsid w:val="00BE758F"/>
    <w:rsid w:val="00BE7620"/>
    <w:rsid w:val="00BE76DC"/>
    <w:rsid w:val="00BF0029"/>
    <w:rsid w:val="00BF009C"/>
    <w:rsid w:val="00BF0179"/>
    <w:rsid w:val="00BF0295"/>
    <w:rsid w:val="00BF03BF"/>
    <w:rsid w:val="00BF040B"/>
    <w:rsid w:val="00BF0CBA"/>
    <w:rsid w:val="00BF0CC4"/>
    <w:rsid w:val="00BF0DD4"/>
    <w:rsid w:val="00BF0E34"/>
    <w:rsid w:val="00BF15D6"/>
    <w:rsid w:val="00BF1920"/>
    <w:rsid w:val="00BF1D56"/>
    <w:rsid w:val="00BF2295"/>
    <w:rsid w:val="00BF2A8A"/>
    <w:rsid w:val="00BF2D0C"/>
    <w:rsid w:val="00BF2FBF"/>
    <w:rsid w:val="00BF3032"/>
    <w:rsid w:val="00BF30ED"/>
    <w:rsid w:val="00BF33C3"/>
    <w:rsid w:val="00BF3901"/>
    <w:rsid w:val="00BF3AC0"/>
    <w:rsid w:val="00BF3B81"/>
    <w:rsid w:val="00BF42E3"/>
    <w:rsid w:val="00BF45EE"/>
    <w:rsid w:val="00BF488D"/>
    <w:rsid w:val="00BF4D31"/>
    <w:rsid w:val="00BF4F9B"/>
    <w:rsid w:val="00BF4FBD"/>
    <w:rsid w:val="00BF5212"/>
    <w:rsid w:val="00BF53A5"/>
    <w:rsid w:val="00BF5DE2"/>
    <w:rsid w:val="00BF5F68"/>
    <w:rsid w:val="00BF6233"/>
    <w:rsid w:val="00BF643F"/>
    <w:rsid w:val="00BF69F2"/>
    <w:rsid w:val="00BF6A9B"/>
    <w:rsid w:val="00BF6AF4"/>
    <w:rsid w:val="00BF6B6C"/>
    <w:rsid w:val="00BF6CA4"/>
    <w:rsid w:val="00BF6D23"/>
    <w:rsid w:val="00BF7139"/>
    <w:rsid w:val="00BF7184"/>
    <w:rsid w:val="00BF71A0"/>
    <w:rsid w:val="00BF7251"/>
    <w:rsid w:val="00BF72CE"/>
    <w:rsid w:val="00BF74C1"/>
    <w:rsid w:val="00BF785E"/>
    <w:rsid w:val="00BF7B60"/>
    <w:rsid w:val="00BF7F28"/>
    <w:rsid w:val="00C00093"/>
    <w:rsid w:val="00C0012E"/>
    <w:rsid w:val="00C00205"/>
    <w:rsid w:val="00C00315"/>
    <w:rsid w:val="00C00458"/>
    <w:rsid w:val="00C00826"/>
    <w:rsid w:val="00C00852"/>
    <w:rsid w:val="00C00FB6"/>
    <w:rsid w:val="00C01172"/>
    <w:rsid w:val="00C01207"/>
    <w:rsid w:val="00C01554"/>
    <w:rsid w:val="00C015B7"/>
    <w:rsid w:val="00C015E8"/>
    <w:rsid w:val="00C01909"/>
    <w:rsid w:val="00C01A9D"/>
    <w:rsid w:val="00C01B3F"/>
    <w:rsid w:val="00C022C1"/>
    <w:rsid w:val="00C0261E"/>
    <w:rsid w:val="00C027C5"/>
    <w:rsid w:val="00C0288E"/>
    <w:rsid w:val="00C02954"/>
    <w:rsid w:val="00C02A9A"/>
    <w:rsid w:val="00C02D81"/>
    <w:rsid w:val="00C02E75"/>
    <w:rsid w:val="00C02F17"/>
    <w:rsid w:val="00C03007"/>
    <w:rsid w:val="00C0386A"/>
    <w:rsid w:val="00C039FF"/>
    <w:rsid w:val="00C03D43"/>
    <w:rsid w:val="00C03E7E"/>
    <w:rsid w:val="00C03F95"/>
    <w:rsid w:val="00C04109"/>
    <w:rsid w:val="00C0434F"/>
    <w:rsid w:val="00C0441A"/>
    <w:rsid w:val="00C04A03"/>
    <w:rsid w:val="00C04AA1"/>
    <w:rsid w:val="00C04F07"/>
    <w:rsid w:val="00C0556D"/>
    <w:rsid w:val="00C055D2"/>
    <w:rsid w:val="00C05787"/>
    <w:rsid w:val="00C05AC3"/>
    <w:rsid w:val="00C06097"/>
    <w:rsid w:val="00C060C5"/>
    <w:rsid w:val="00C06102"/>
    <w:rsid w:val="00C063A0"/>
    <w:rsid w:val="00C06BE5"/>
    <w:rsid w:val="00C06D6E"/>
    <w:rsid w:val="00C074F4"/>
    <w:rsid w:val="00C076F1"/>
    <w:rsid w:val="00C0772C"/>
    <w:rsid w:val="00C07B59"/>
    <w:rsid w:val="00C07B6C"/>
    <w:rsid w:val="00C07B83"/>
    <w:rsid w:val="00C07CC7"/>
    <w:rsid w:val="00C1028B"/>
    <w:rsid w:val="00C106BA"/>
    <w:rsid w:val="00C1071D"/>
    <w:rsid w:val="00C10B1E"/>
    <w:rsid w:val="00C10B70"/>
    <w:rsid w:val="00C10D7D"/>
    <w:rsid w:val="00C10EA3"/>
    <w:rsid w:val="00C112FF"/>
    <w:rsid w:val="00C11316"/>
    <w:rsid w:val="00C11433"/>
    <w:rsid w:val="00C11871"/>
    <w:rsid w:val="00C11BCC"/>
    <w:rsid w:val="00C11E01"/>
    <w:rsid w:val="00C11EAD"/>
    <w:rsid w:val="00C11EC5"/>
    <w:rsid w:val="00C120A9"/>
    <w:rsid w:val="00C123F2"/>
    <w:rsid w:val="00C12545"/>
    <w:rsid w:val="00C12B25"/>
    <w:rsid w:val="00C12B2B"/>
    <w:rsid w:val="00C12C5C"/>
    <w:rsid w:val="00C12D2F"/>
    <w:rsid w:val="00C12E68"/>
    <w:rsid w:val="00C13059"/>
    <w:rsid w:val="00C13509"/>
    <w:rsid w:val="00C1371E"/>
    <w:rsid w:val="00C13CD3"/>
    <w:rsid w:val="00C14023"/>
    <w:rsid w:val="00C1416C"/>
    <w:rsid w:val="00C14170"/>
    <w:rsid w:val="00C14306"/>
    <w:rsid w:val="00C14527"/>
    <w:rsid w:val="00C146D0"/>
    <w:rsid w:val="00C1489C"/>
    <w:rsid w:val="00C14F83"/>
    <w:rsid w:val="00C152C6"/>
    <w:rsid w:val="00C153FF"/>
    <w:rsid w:val="00C15617"/>
    <w:rsid w:val="00C15688"/>
    <w:rsid w:val="00C156D4"/>
    <w:rsid w:val="00C15A40"/>
    <w:rsid w:val="00C15AB8"/>
    <w:rsid w:val="00C15AC4"/>
    <w:rsid w:val="00C15B9A"/>
    <w:rsid w:val="00C1626B"/>
    <w:rsid w:val="00C167A3"/>
    <w:rsid w:val="00C16923"/>
    <w:rsid w:val="00C16DC2"/>
    <w:rsid w:val="00C170C6"/>
    <w:rsid w:val="00C1716C"/>
    <w:rsid w:val="00C1747C"/>
    <w:rsid w:val="00C174DE"/>
    <w:rsid w:val="00C178B3"/>
    <w:rsid w:val="00C17CE7"/>
    <w:rsid w:val="00C17D27"/>
    <w:rsid w:val="00C17D54"/>
    <w:rsid w:val="00C17EE1"/>
    <w:rsid w:val="00C2018E"/>
    <w:rsid w:val="00C201FA"/>
    <w:rsid w:val="00C203B7"/>
    <w:rsid w:val="00C2062C"/>
    <w:rsid w:val="00C20719"/>
    <w:rsid w:val="00C20732"/>
    <w:rsid w:val="00C20750"/>
    <w:rsid w:val="00C20826"/>
    <w:rsid w:val="00C20AD4"/>
    <w:rsid w:val="00C20E3F"/>
    <w:rsid w:val="00C20E79"/>
    <w:rsid w:val="00C2181C"/>
    <w:rsid w:val="00C2191E"/>
    <w:rsid w:val="00C219D9"/>
    <w:rsid w:val="00C21A4B"/>
    <w:rsid w:val="00C21D2C"/>
    <w:rsid w:val="00C21EC2"/>
    <w:rsid w:val="00C22468"/>
    <w:rsid w:val="00C22932"/>
    <w:rsid w:val="00C2297D"/>
    <w:rsid w:val="00C22B50"/>
    <w:rsid w:val="00C22B85"/>
    <w:rsid w:val="00C22BA9"/>
    <w:rsid w:val="00C23011"/>
    <w:rsid w:val="00C23033"/>
    <w:rsid w:val="00C23201"/>
    <w:rsid w:val="00C23292"/>
    <w:rsid w:val="00C235D8"/>
    <w:rsid w:val="00C238C2"/>
    <w:rsid w:val="00C239FD"/>
    <w:rsid w:val="00C23CF9"/>
    <w:rsid w:val="00C23E6C"/>
    <w:rsid w:val="00C23E82"/>
    <w:rsid w:val="00C23EC8"/>
    <w:rsid w:val="00C23EDA"/>
    <w:rsid w:val="00C23F44"/>
    <w:rsid w:val="00C23FFF"/>
    <w:rsid w:val="00C24082"/>
    <w:rsid w:val="00C24FC7"/>
    <w:rsid w:val="00C253B7"/>
    <w:rsid w:val="00C2544B"/>
    <w:rsid w:val="00C257F8"/>
    <w:rsid w:val="00C2584F"/>
    <w:rsid w:val="00C25D40"/>
    <w:rsid w:val="00C262C9"/>
    <w:rsid w:val="00C262CB"/>
    <w:rsid w:val="00C263A2"/>
    <w:rsid w:val="00C263A4"/>
    <w:rsid w:val="00C2657D"/>
    <w:rsid w:val="00C266C8"/>
    <w:rsid w:val="00C2680F"/>
    <w:rsid w:val="00C26967"/>
    <w:rsid w:val="00C26A87"/>
    <w:rsid w:val="00C26A89"/>
    <w:rsid w:val="00C26A99"/>
    <w:rsid w:val="00C26DD4"/>
    <w:rsid w:val="00C270D8"/>
    <w:rsid w:val="00C27376"/>
    <w:rsid w:val="00C274D0"/>
    <w:rsid w:val="00C27AC0"/>
    <w:rsid w:val="00C27B06"/>
    <w:rsid w:val="00C27D9F"/>
    <w:rsid w:val="00C27E14"/>
    <w:rsid w:val="00C27E56"/>
    <w:rsid w:val="00C27E79"/>
    <w:rsid w:val="00C30127"/>
    <w:rsid w:val="00C3027B"/>
    <w:rsid w:val="00C304AA"/>
    <w:rsid w:val="00C308F5"/>
    <w:rsid w:val="00C30A42"/>
    <w:rsid w:val="00C30A5F"/>
    <w:rsid w:val="00C30EA1"/>
    <w:rsid w:val="00C30EE5"/>
    <w:rsid w:val="00C316DC"/>
    <w:rsid w:val="00C32477"/>
    <w:rsid w:val="00C324AC"/>
    <w:rsid w:val="00C324C1"/>
    <w:rsid w:val="00C32545"/>
    <w:rsid w:val="00C325C3"/>
    <w:rsid w:val="00C3290A"/>
    <w:rsid w:val="00C329DD"/>
    <w:rsid w:val="00C32B2F"/>
    <w:rsid w:val="00C32C43"/>
    <w:rsid w:val="00C3312C"/>
    <w:rsid w:val="00C333DE"/>
    <w:rsid w:val="00C3350C"/>
    <w:rsid w:val="00C3372D"/>
    <w:rsid w:val="00C3374A"/>
    <w:rsid w:val="00C337B9"/>
    <w:rsid w:val="00C33862"/>
    <w:rsid w:val="00C33AAC"/>
    <w:rsid w:val="00C33CCC"/>
    <w:rsid w:val="00C33CF7"/>
    <w:rsid w:val="00C33F1B"/>
    <w:rsid w:val="00C34002"/>
    <w:rsid w:val="00C34225"/>
    <w:rsid w:val="00C3423D"/>
    <w:rsid w:val="00C342C2"/>
    <w:rsid w:val="00C343C0"/>
    <w:rsid w:val="00C345C5"/>
    <w:rsid w:val="00C347B6"/>
    <w:rsid w:val="00C34A28"/>
    <w:rsid w:val="00C34A2A"/>
    <w:rsid w:val="00C34E64"/>
    <w:rsid w:val="00C34EFA"/>
    <w:rsid w:val="00C34F5F"/>
    <w:rsid w:val="00C34F7F"/>
    <w:rsid w:val="00C350D2"/>
    <w:rsid w:val="00C3539B"/>
    <w:rsid w:val="00C35488"/>
    <w:rsid w:val="00C35E00"/>
    <w:rsid w:val="00C3600E"/>
    <w:rsid w:val="00C36511"/>
    <w:rsid w:val="00C36697"/>
    <w:rsid w:val="00C36ECD"/>
    <w:rsid w:val="00C371A2"/>
    <w:rsid w:val="00C371BF"/>
    <w:rsid w:val="00C3745D"/>
    <w:rsid w:val="00C374BA"/>
    <w:rsid w:val="00C37A98"/>
    <w:rsid w:val="00C37BEE"/>
    <w:rsid w:val="00C37C96"/>
    <w:rsid w:val="00C40228"/>
    <w:rsid w:val="00C402D1"/>
    <w:rsid w:val="00C4030F"/>
    <w:rsid w:val="00C403E7"/>
    <w:rsid w:val="00C405C2"/>
    <w:rsid w:val="00C40835"/>
    <w:rsid w:val="00C40ACE"/>
    <w:rsid w:val="00C40BFD"/>
    <w:rsid w:val="00C410FA"/>
    <w:rsid w:val="00C416E1"/>
    <w:rsid w:val="00C41731"/>
    <w:rsid w:val="00C418AA"/>
    <w:rsid w:val="00C41B0C"/>
    <w:rsid w:val="00C41F05"/>
    <w:rsid w:val="00C41FD7"/>
    <w:rsid w:val="00C422E5"/>
    <w:rsid w:val="00C42492"/>
    <w:rsid w:val="00C42503"/>
    <w:rsid w:val="00C42509"/>
    <w:rsid w:val="00C42AA9"/>
    <w:rsid w:val="00C43034"/>
    <w:rsid w:val="00C4348C"/>
    <w:rsid w:val="00C43846"/>
    <w:rsid w:val="00C43A4E"/>
    <w:rsid w:val="00C43CC8"/>
    <w:rsid w:val="00C43D71"/>
    <w:rsid w:val="00C43DDD"/>
    <w:rsid w:val="00C43DFF"/>
    <w:rsid w:val="00C43F92"/>
    <w:rsid w:val="00C43FC9"/>
    <w:rsid w:val="00C442AF"/>
    <w:rsid w:val="00C44FBB"/>
    <w:rsid w:val="00C45404"/>
    <w:rsid w:val="00C454C3"/>
    <w:rsid w:val="00C456E3"/>
    <w:rsid w:val="00C458F2"/>
    <w:rsid w:val="00C45AFC"/>
    <w:rsid w:val="00C45D7A"/>
    <w:rsid w:val="00C45F23"/>
    <w:rsid w:val="00C4614F"/>
    <w:rsid w:val="00C4625F"/>
    <w:rsid w:val="00C462E4"/>
    <w:rsid w:val="00C4666D"/>
    <w:rsid w:val="00C466D8"/>
    <w:rsid w:val="00C46766"/>
    <w:rsid w:val="00C469AD"/>
    <w:rsid w:val="00C46D81"/>
    <w:rsid w:val="00C470F7"/>
    <w:rsid w:val="00C471F6"/>
    <w:rsid w:val="00C4790A"/>
    <w:rsid w:val="00C47937"/>
    <w:rsid w:val="00C47BF8"/>
    <w:rsid w:val="00C47E70"/>
    <w:rsid w:val="00C500BC"/>
    <w:rsid w:val="00C503F4"/>
    <w:rsid w:val="00C5041F"/>
    <w:rsid w:val="00C505A2"/>
    <w:rsid w:val="00C50707"/>
    <w:rsid w:val="00C50DE6"/>
    <w:rsid w:val="00C50E10"/>
    <w:rsid w:val="00C50E27"/>
    <w:rsid w:val="00C51255"/>
    <w:rsid w:val="00C51271"/>
    <w:rsid w:val="00C512D0"/>
    <w:rsid w:val="00C51421"/>
    <w:rsid w:val="00C515C1"/>
    <w:rsid w:val="00C51ACE"/>
    <w:rsid w:val="00C51B1C"/>
    <w:rsid w:val="00C51B35"/>
    <w:rsid w:val="00C51B83"/>
    <w:rsid w:val="00C51C4E"/>
    <w:rsid w:val="00C51D8A"/>
    <w:rsid w:val="00C522F2"/>
    <w:rsid w:val="00C526CB"/>
    <w:rsid w:val="00C52A5C"/>
    <w:rsid w:val="00C52AC6"/>
    <w:rsid w:val="00C52CE3"/>
    <w:rsid w:val="00C53160"/>
    <w:rsid w:val="00C53542"/>
    <w:rsid w:val="00C539BF"/>
    <w:rsid w:val="00C53DCE"/>
    <w:rsid w:val="00C54422"/>
    <w:rsid w:val="00C5446F"/>
    <w:rsid w:val="00C544C7"/>
    <w:rsid w:val="00C544EB"/>
    <w:rsid w:val="00C54996"/>
    <w:rsid w:val="00C549D6"/>
    <w:rsid w:val="00C54BA2"/>
    <w:rsid w:val="00C54C8C"/>
    <w:rsid w:val="00C54F1F"/>
    <w:rsid w:val="00C55140"/>
    <w:rsid w:val="00C552EC"/>
    <w:rsid w:val="00C5586D"/>
    <w:rsid w:val="00C55E7B"/>
    <w:rsid w:val="00C562D6"/>
    <w:rsid w:val="00C56504"/>
    <w:rsid w:val="00C5670C"/>
    <w:rsid w:val="00C56A2E"/>
    <w:rsid w:val="00C56A85"/>
    <w:rsid w:val="00C571CD"/>
    <w:rsid w:val="00C577E4"/>
    <w:rsid w:val="00C5788D"/>
    <w:rsid w:val="00C57955"/>
    <w:rsid w:val="00C60E7A"/>
    <w:rsid w:val="00C60E7F"/>
    <w:rsid w:val="00C60F48"/>
    <w:rsid w:val="00C60FC8"/>
    <w:rsid w:val="00C612D2"/>
    <w:rsid w:val="00C61387"/>
    <w:rsid w:val="00C61511"/>
    <w:rsid w:val="00C616D7"/>
    <w:rsid w:val="00C61720"/>
    <w:rsid w:val="00C61749"/>
    <w:rsid w:val="00C61825"/>
    <w:rsid w:val="00C61A0C"/>
    <w:rsid w:val="00C61AE0"/>
    <w:rsid w:val="00C61CC9"/>
    <w:rsid w:val="00C61D53"/>
    <w:rsid w:val="00C622C8"/>
    <w:rsid w:val="00C62397"/>
    <w:rsid w:val="00C629A0"/>
    <w:rsid w:val="00C629D7"/>
    <w:rsid w:val="00C62BA1"/>
    <w:rsid w:val="00C62C91"/>
    <w:rsid w:val="00C62D62"/>
    <w:rsid w:val="00C62EF8"/>
    <w:rsid w:val="00C62F1D"/>
    <w:rsid w:val="00C630F9"/>
    <w:rsid w:val="00C634C6"/>
    <w:rsid w:val="00C63694"/>
    <w:rsid w:val="00C6379D"/>
    <w:rsid w:val="00C63D57"/>
    <w:rsid w:val="00C63F9D"/>
    <w:rsid w:val="00C64041"/>
    <w:rsid w:val="00C642DE"/>
    <w:rsid w:val="00C64571"/>
    <w:rsid w:val="00C648AC"/>
    <w:rsid w:val="00C65341"/>
    <w:rsid w:val="00C655F2"/>
    <w:rsid w:val="00C65B16"/>
    <w:rsid w:val="00C65B4C"/>
    <w:rsid w:val="00C65B61"/>
    <w:rsid w:val="00C65BD6"/>
    <w:rsid w:val="00C65D47"/>
    <w:rsid w:val="00C65DB1"/>
    <w:rsid w:val="00C664D5"/>
    <w:rsid w:val="00C66550"/>
    <w:rsid w:val="00C66A12"/>
    <w:rsid w:val="00C66B00"/>
    <w:rsid w:val="00C66DE7"/>
    <w:rsid w:val="00C67089"/>
    <w:rsid w:val="00C67217"/>
    <w:rsid w:val="00C6725A"/>
    <w:rsid w:val="00C6729C"/>
    <w:rsid w:val="00C67571"/>
    <w:rsid w:val="00C679C3"/>
    <w:rsid w:val="00C679E8"/>
    <w:rsid w:val="00C67A71"/>
    <w:rsid w:val="00C67B9A"/>
    <w:rsid w:val="00C703F6"/>
    <w:rsid w:val="00C704D6"/>
    <w:rsid w:val="00C7051A"/>
    <w:rsid w:val="00C70717"/>
    <w:rsid w:val="00C70BBF"/>
    <w:rsid w:val="00C70E53"/>
    <w:rsid w:val="00C70E57"/>
    <w:rsid w:val="00C70F15"/>
    <w:rsid w:val="00C713FA"/>
    <w:rsid w:val="00C71C3A"/>
    <w:rsid w:val="00C71CEC"/>
    <w:rsid w:val="00C71DDF"/>
    <w:rsid w:val="00C72088"/>
    <w:rsid w:val="00C7225A"/>
    <w:rsid w:val="00C72402"/>
    <w:rsid w:val="00C72659"/>
    <w:rsid w:val="00C72672"/>
    <w:rsid w:val="00C72821"/>
    <w:rsid w:val="00C72979"/>
    <w:rsid w:val="00C72B75"/>
    <w:rsid w:val="00C72B8E"/>
    <w:rsid w:val="00C72BD4"/>
    <w:rsid w:val="00C72D19"/>
    <w:rsid w:val="00C72FB4"/>
    <w:rsid w:val="00C73118"/>
    <w:rsid w:val="00C732B0"/>
    <w:rsid w:val="00C732B4"/>
    <w:rsid w:val="00C73594"/>
    <w:rsid w:val="00C7369C"/>
    <w:rsid w:val="00C737D5"/>
    <w:rsid w:val="00C73952"/>
    <w:rsid w:val="00C73B03"/>
    <w:rsid w:val="00C7418E"/>
    <w:rsid w:val="00C74513"/>
    <w:rsid w:val="00C74528"/>
    <w:rsid w:val="00C74A09"/>
    <w:rsid w:val="00C74EB4"/>
    <w:rsid w:val="00C74FBD"/>
    <w:rsid w:val="00C752F9"/>
    <w:rsid w:val="00C75333"/>
    <w:rsid w:val="00C755BA"/>
    <w:rsid w:val="00C75883"/>
    <w:rsid w:val="00C75C37"/>
    <w:rsid w:val="00C75CB8"/>
    <w:rsid w:val="00C75D31"/>
    <w:rsid w:val="00C75DE7"/>
    <w:rsid w:val="00C75EB0"/>
    <w:rsid w:val="00C767C1"/>
    <w:rsid w:val="00C76B8C"/>
    <w:rsid w:val="00C76C71"/>
    <w:rsid w:val="00C76DE3"/>
    <w:rsid w:val="00C77223"/>
    <w:rsid w:val="00C773A5"/>
    <w:rsid w:val="00C7754A"/>
    <w:rsid w:val="00C778EE"/>
    <w:rsid w:val="00C77AE6"/>
    <w:rsid w:val="00C77BAC"/>
    <w:rsid w:val="00C77CCC"/>
    <w:rsid w:val="00C77E39"/>
    <w:rsid w:val="00C77F05"/>
    <w:rsid w:val="00C8001D"/>
    <w:rsid w:val="00C802DD"/>
    <w:rsid w:val="00C80372"/>
    <w:rsid w:val="00C8040B"/>
    <w:rsid w:val="00C80566"/>
    <w:rsid w:val="00C806B1"/>
    <w:rsid w:val="00C80EF9"/>
    <w:rsid w:val="00C80F35"/>
    <w:rsid w:val="00C80F67"/>
    <w:rsid w:val="00C80FCA"/>
    <w:rsid w:val="00C81109"/>
    <w:rsid w:val="00C81248"/>
    <w:rsid w:val="00C81529"/>
    <w:rsid w:val="00C8164D"/>
    <w:rsid w:val="00C81653"/>
    <w:rsid w:val="00C81955"/>
    <w:rsid w:val="00C819AB"/>
    <w:rsid w:val="00C819B7"/>
    <w:rsid w:val="00C81B0F"/>
    <w:rsid w:val="00C81BA6"/>
    <w:rsid w:val="00C81C94"/>
    <w:rsid w:val="00C81D4C"/>
    <w:rsid w:val="00C81DF2"/>
    <w:rsid w:val="00C82A53"/>
    <w:rsid w:val="00C82AB1"/>
    <w:rsid w:val="00C82ACA"/>
    <w:rsid w:val="00C82E5B"/>
    <w:rsid w:val="00C82E9F"/>
    <w:rsid w:val="00C836C9"/>
    <w:rsid w:val="00C8377C"/>
    <w:rsid w:val="00C84639"/>
    <w:rsid w:val="00C848B2"/>
    <w:rsid w:val="00C849A3"/>
    <w:rsid w:val="00C84EBB"/>
    <w:rsid w:val="00C85072"/>
    <w:rsid w:val="00C853E8"/>
    <w:rsid w:val="00C85455"/>
    <w:rsid w:val="00C857C4"/>
    <w:rsid w:val="00C857F7"/>
    <w:rsid w:val="00C8582A"/>
    <w:rsid w:val="00C85A0E"/>
    <w:rsid w:val="00C85A5D"/>
    <w:rsid w:val="00C85BBC"/>
    <w:rsid w:val="00C863AB"/>
    <w:rsid w:val="00C86492"/>
    <w:rsid w:val="00C865A5"/>
    <w:rsid w:val="00C86887"/>
    <w:rsid w:val="00C869A7"/>
    <w:rsid w:val="00C86D47"/>
    <w:rsid w:val="00C86E9B"/>
    <w:rsid w:val="00C8753D"/>
    <w:rsid w:val="00C87710"/>
    <w:rsid w:val="00C877CD"/>
    <w:rsid w:val="00C87E79"/>
    <w:rsid w:val="00C900BB"/>
    <w:rsid w:val="00C902E9"/>
    <w:rsid w:val="00C906B5"/>
    <w:rsid w:val="00C90713"/>
    <w:rsid w:val="00C907DE"/>
    <w:rsid w:val="00C908B7"/>
    <w:rsid w:val="00C90967"/>
    <w:rsid w:val="00C909F5"/>
    <w:rsid w:val="00C90EFC"/>
    <w:rsid w:val="00C912C0"/>
    <w:rsid w:val="00C91439"/>
    <w:rsid w:val="00C9144C"/>
    <w:rsid w:val="00C916A9"/>
    <w:rsid w:val="00C91783"/>
    <w:rsid w:val="00C917A2"/>
    <w:rsid w:val="00C919EC"/>
    <w:rsid w:val="00C91A06"/>
    <w:rsid w:val="00C91D81"/>
    <w:rsid w:val="00C91EED"/>
    <w:rsid w:val="00C91F85"/>
    <w:rsid w:val="00C920D7"/>
    <w:rsid w:val="00C920E4"/>
    <w:rsid w:val="00C9236A"/>
    <w:rsid w:val="00C9283D"/>
    <w:rsid w:val="00C92A33"/>
    <w:rsid w:val="00C92A42"/>
    <w:rsid w:val="00C92A53"/>
    <w:rsid w:val="00C92B6B"/>
    <w:rsid w:val="00C92D98"/>
    <w:rsid w:val="00C93402"/>
    <w:rsid w:val="00C9342D"/>
    <w:rsid w:val="00C937D7"/>
    <w:rsid w:val="00C93848"/>
    <w:rsid w:val="00C9384B"/>
    <w:rsid w:val="00C93A1F"/>
    <w:rsid w:val="00C93BF9"/>
    <w:rsid w:val="00C93D1C"/>
    <w:rsid w:val="00C93F6E"/>
    <w:rsid w:val="00C93FE2"/>
    <w:rsid w:val="00C94142"/>
    <w:rsid w:val="00C944AA"/>
    <w:rsid w:val="00C944CD"/>
    <w:rsid w:val="00C945AF"/>
    <w:rsid w:val="00C946B9"/>
    <w:rsid w:val="00C94B0C"/>
    <w:rsid w:val="00C94DAD"/>
    <w:rsid w:val="00C94EE4"/>
    <w:rsid w:val="00C95132"/>
    <w:rsid w:val="00C95951"/>
    <w:rsid w:val="00C95A94"/>
    <w:rsid w:val="00C95FA4"/>
    <w:rsid w:val="00C95FAD"/>
    <w:rsid w:val="00C96084"/>
    <w:rsid w:val="00C96086"/>
    <w:rsid w:val="00C962C1"/>
    <w:rsid w:val="00C962C4"/>
    <w:rsid w:val="00C9633E"/>
    <w:rsid w:val="00C9634C"/>
    <w:rsid w:val="00C96579"/>
    <w:rsid w:val="00C968B9"/>
    <w:rsid w:val="00C96D36"/>
    <w:rsid w:val="00C96F78"/>
    <w:rsid w:val="00C97558"/>
    <w:rsid w:val="00C975B6"/>
    <w:rsid w:val="00C97C87"/>
    <w:rsid w:val="00C97D73"/>
    <w:rsid w:val="00CA03A4"/>
    <w:rsid w:val="00CA0A56"/>
    <w:rsid w:val="00CA0C9E"/>
    <w:rsid w:val="00CA12E2"/>
    <w:rsid w:val="00CA1472"/>
    <w:rsid w:val="00CA14AF"/>
    <w:rsid w:val="00CA1649"/>
    <w:rsid w:val="00CA16E1"/>
    <w:rsid w:val="00CA1855"/>
    <w:rsid w:val="00CA18F2"/>
    <w:rsid w:val="00CA1B5B"/>
    <w:rsid w:val="00CA1CA5"/>
    <w:rsid w:val="00CA1D2D"/>
    <w:rsid w:val="00CA1F3F"/>
    <w:rsid w:val="00CA216E"/>
    <w:rsid w:val="00CA225C"/>
    <w:rsid w:val="00CA2306"/>
    <w:rsid w:val="00CA24E6"/>
    <w:rsid w:val="00CA2678"/>
    <w:rsid w:val="00CA27BC"/>
    <w:rsid w:val="00CA2BAB"/>
    <w:rsid w:val="00CA2DD0"/>
    <w:rsid w:val="00CA39FC"/>
    <w:rsid w:val="00CA3A78"/>
    <w:rsid w:val="00CA3BBE"/>
    <w:rsid w:val="00CA3D9E"/>
    <w:rsid w:val="00CA3ED9"/>
    <w:rsid w:val="00CA3FE6"/>
    <w:rsid w:val="00CA403B"/>
    <w:rsid w:val="00CA4213"/>
    <w:rsid w:val="00CA4325"/>
    <w:rsid w:val="00CA43A6"/>
    <w:rsid w:val="00CA4871"/>
    <w:rsid w:val="00CA48B0"/>
    <w:rsid w:val="00CA4958"/>
    <w:rsid w:val="00CA527B"/>
    <w:rsid w:val="00CA5349"/>
    <w:rsid w:val="00CA5578"/>
    <w:rsid w:val="00CA5975"/>
    <w:rsid w:val="00CA5A7A"/>
    <w:rsid w:val="00CA5C57"/>
    <w:rsid w:val="00CA6722"/>
    <w:rsid w:val="00CA6A62"/>
    <w:rsid w:val="00CA6BF4"/>
    <w:rsid w:val="00CA6C5B"/>
    <w:rsid w:val="00CA6D4E"/>
    <w:rsid w:val="00CA6E42"/>
    <w:rsid w:val="00CA6F91"/>
    <w:rsid w:val="00CA6FEB"/>
    <w:rsid w:val="00CA70E8"/>
    <w:rsid w:val="00CA777D"/>
    <w:rsid w:val="00CA7B4B"/>
    <w:rsid w:val="00CA7C6F"/>
    <w:rsid w:val="00CB03A7"/>
    <w:rsid w:val="00CB0619"/>
    <w:rsid w:val="00CB08A9"/>
    <w:rsid w:val="00CB0AD0"/>
    <w:rsid w:val="00CB0B88"/>
    <w:rsid w:val="00CB0F50"/>
    <w:rsid w:val="00CB0F55"/>
    <w:rsid w:val="00CB156E"/>
    <w:rsid w:val="00CB1AF3"/>
    <w:rsid w:val="00CB1E2A"/>
    <w:rsid w:val="00CB2074"/>
    <w:rsid w:val="00CB212F"/>
    <w:rsid w:val="00CB215F"/>
    <w:rsid w:val="00CB2244"/>
    <w:rsid w:val="00CB2335"/>
    <w:rsid w:val="00CB237D"/>
    <w:rsid w:val="00CB26A0"/>
    <w:rsid w:val="00CB2D09"/>
    <w:rsid w:val="00CB335E"/>
    <w:rsid w:val="00CB3366"/>
    <w:rsid w:val="00CB36A8"/>
    <w:rsid w:val="00CB3AB5"/>
    <w:rsid w:val="00CB3B07"/>
    <w:rsid w:val="00CB3B5F"/>
    <w:rsid w:val="00CB3DD4"/>
    <w:rsid w:val="00CB3DE4"/>
    <w:rsid w:val="00CB3E8B"/>
    <w:rsid w:val="00CB444D"/>
    <w:rsid w:val="00CB46B1"/>
    <w:rsid w:val="00CB48A5"/>
    <w:rsid w:val="00CB4B1F"/>
    <w:rsid w:val="00CB4B53"/>
    <w:rsid w:val="00CB4CA1"/>
    <w:rsid w:val="00CB4D03"/>
    <w:rsid w:val="00CB4D2E"/>
    <w:rsid w:val="00CB4F9B"/>
    <w:rsid w:val="00CB4FC7"/>
    <w:rsid w:val="00CB5691"/>
    <w:rsid w:val="00CB5C94"/>
    <w:rsid w:val="00CB5E29"/>
    <w:rsid w:val="00CB5E88"/>
    <w:rsid w:val="00CB5F1C"/>
    <w:rsid w:val="00CB601F"/>
    <w:rsid w:val="00CB6057"/>
    <w:rsid w:val="00CB61FB"/>
    <w:rsid w:val="00CB6348"/>
    <w:rsid w:val="00CB6520"/>
    <w:rsid w:val="00CB6A30"/>
    <w:rsid w:val="00CB6D11"/>
    <w:rsid w:val="00CB7275"/>
    <w:rsid w:val="00CB7572"/>
    <w:rsid w:val="00CB7635"/>
    <w:rsid w:val="00CB7690"/>
    <w:rsid w:val="00CB76F2"/>
    <w:rsid w:val="00CB7845"/>
    <w:rsid w:val="00CB7A66"/>
    <w:rsid w:val="00CB7CEF"/>
    <w:rsid w:val="00CB7D90"/>
    <w:rsid w:val="00CB7E9D"/>
    <w:rsid w:val="00CB7ECE"/>
    <w:rsid w:val="00CC017A"/>
    <w:rsid w:val="00CC02DC"/>
    <w:rsid w:val="00CC02F8"/>
    <w:rsid w:val="00CC05A3"/>
    <w:rsid w:val="00CC09CE"/>
    <w:rsid w:val="00CC0BA3"/>
    <w:rsid w:val="00CC0F15"/>
    <w:rsid w:val="00CC10CD"/>
    <w:rsid w:val="00CC119F"/>
    <w:rsid w:val="00CC139A"/>
    <w:rsid w:val="00CC1626"/>
    <w:rsid w:val="00CC1627"/>
    <w:rsid w:val="00CC167C"/>
    <w:rsid w:val="00CC189A"/>
    <w:rsid w:val="00CC1A5F"/>
    <w:rsid w:val="00CC1E7A"/>
    <w:rsid w:val="00CC23C6"/>
    <w:rsid w:val="00CC24A0"/>
    <w:rsid w:val="00CC2837"/>
    <w:rsid w:val="00CC296C"/>
    <w:rsid w:val="00CC2BC3"/>
    <w:rsid w:val="00CC2C7F"/>
    <w:rsid w:val="00CC2F17"/>
    <w:rsid w:val="00CC30E2"/>
    <w:rsid w:val="00CC3322"/>
    <w:rsid w:val="00CC3398"/>
    <w:rsid w:val="00CC34B2"/>
    <w:rsid w:val="00CC35AA"/>
    <w:rsid w:val="00CC35C3"/>
    <w:rsid w:val="00CC3823"/>
    <w:rsid w:val="00CC3BFB"/>
    <w:rsid w:val="00CC4277"/>
    <w:rsid w:val="00CC4636"/>
    <w:rsid w:val="00CC47A3"/>
    <w:rsid w:val="00CC4B1D"/>
    <w:rsid w:val="00CC4F64"/>
    <w:rsid w:val="00CC5051"/>
    <w:rsid w:val="00CC5185"/>
    <w:rsid w:val="00CC5853"/>
    <w:rsid w:val="00CC5920"/>
    <w:rsid w:val="00CC5AAC"/>
    <w:rsid w:val="00CC5D95"/>
    <w:rsid w:val="00CC6367"/>
    <w:rsid w:val="00CC649C"/>
    <w:rsid w:val="00CC66F3"/>
    <w:rsid w:val="00CC6A24"/>
    <w:rsid w:val="00CC6EDC"/>
    <w:rsid w:val="00CC7158"/>
    <w:rsid w:val="00CC7276"/>
    <w:rsid w:val="00CC7361"/>
    <w:rsid w:val="00CC73DB"/>
    <w:rsid w:val="00CC7406"/>
    <w:rsid w:val="00CC762F"/>
    <w:rsid w:val="00CC7759"/>
    <w:rsid w:val="00CC7D45"/>
    <w:rsid w:val="00CC7E5F"/>
    <w:rsid w:val="00CD01A9"/>
    <w:rsid w:val="00CD058C"/>
    <w:rsid w:val="00CD0661"/>
    <w:rsid w:val="00CD086A"/>
    <w:rsid w:val="00CD08EB"/>
    <w:rsid w:val="00CD0B8D"/>
    <w:rsid w:val="00CD10D5"/>
    <w:rsid w:val="00CD113F"/>
    <w:rsid w:val="00CD19C3"/>
    <w:rsid w:val="00CD1FBA"/>
    <w:rsid w:val="00CD2833"/>
    <w:rsid w:val="00CD28E4"/>
    <w:rsid w:val="00CD2AEE"/>
    <w:rsid w:val="00CD332A"/>
    <w:rsid w:val="00CD333A"/>
    <w:rsid w:val="00CD358C"/>
    <w:rsid w:val="00CD3718"/>
    <w:rsid w:val="00CD3806"/>
    <w:rsid w:val="00CD3984"/>
    <w:rsid w:val="00CD39C6"/>
    <w:rsid w:val="00CD3B98"/>
    <w:rsid w:val="00CD3F43"/>
    <w:rsid w:val="00CD405D"/>
    <w:rsid w:val="00CD40F0"/>
    <w:rsid w:val="00CD4216"/>
    <w:rsid w:val="00CD43DA"/>
    <w:rsid w:val="00CD4633"/>
    <w:rsid w:val="00CD4914"/>
    <w:rsid w:val="00CD4C65"/>
    <w:rsid w:val="00CD5085"/>
    <w:rsid w:val="00CD518C"/>
    <w:rsid w:val="00CD527D"/>
    <w:rsid w:val="00CD531F"/>
    <w:rsid w:val="00CD540B"/>
    <w:rsid w:val="00CD55A8"/>
    <w:rsid w:val="00CD56D4"/>
    <w:rsid w:val="00CD5946"/>
    <w:rsid w:val="00CD5CF1"/>
    <w:rsid w:val="00CD61D9"/>
    <w:rsid w:val="00CD6511"/>
    <w:rsid w:val="00CD6755"/>
    <w:rsid w:val="00CD6794"/>
    <w:rsid w:val="00CD684F"/>
    <w:rsid w:val="00CD6B01"/>
    <w:rsid w:val="00CD6B24"/>
    <w:rsid w:val="00CD6E9A"/>
    <w:rsid w:val="00CD7144"/>
    <w:rsid w:val="00CD72CC"/>
    <w:rsid w:val="00CD733F"/>
    <w:rsid w:val="00CD74E2"/>
    <w:rsid w:val="00CD78BD"/>
    <w:rsid w:val="00CD7C65"/>
    <w:rsid w:val="00CD7E3B"/>
    <w:rsid w:val="00CD7EB7"/>
    <w:rsid w:val="00CE0221"/>
    <w:rsid w:val="00CE02B4"/>
    <w:rsid w:val="00CE0384"/>
    <w:rsid w:val="00CE03A6"/>
    <w:rsid w:val="00CE03AE"/>
    <w:rsid w:val="00CE07D6"/>
    <w:rsid w:val="00CE0942"/>
    <w:rsid w:val="00CE0F45"/>
    <w:rsid w:val="00CE0F9A"/>
    <w:rsid w:val="00CE0FA5"/>
    <w:rsid w:val="00CE1035"/>
    <w:rsid w:val="00CE1412"/>
    <w:rsid w:val="00CE1478"/>
    <w:rsid w:val="00CE17C7"/>
    <w:rsid w:val="00CE1922"/>
    <w:rsid w:val="00CE20AB"/>
    <w:rsid w:val="00CE20AD"/>
    <w:rsid w:val="00CE21A0"/>
    <w:rsid w:val="00CE2276"/>
    <w:rsid w:val="00CE231A"/>
    <w:rsid w:val="00CE2448"/>
    <w:rsid w:val="00CE28C6"/>
    <w:rsid w:val="00CE2C49"/>
    <w:rsid w:val="00CE3323"/>
    <w:rsid w:val="00CE35FA"/>
    <w:rsid w:val="00CE39A3"/>
    <w:rsid w:val="00CE39FF"/>
    <w:rsid w:val="00CE3F8C"/>
    <w:rsid w:val="00CE441E"/>
    <w:rsid w:val="00CE45B8"/>
    <w:rsid w:val="00CE45DC"/>
    <w:rsid w:val="00CE46E2"/>
    <w:rsid w:val="00CE4B97"/>
    <w:rsid w:val="00CE4BC3"/>
    <w:rsid w:val="00CE4BF0"/>
    <w:rsid w:val="00CE4C11"/>
    <w:rsid w:val="00CE50B1"/>
    <w:rsid w:val="00CE5150"/>
    <w:rsid w:val="00CE535C"/>
    <w:rsid w:val="00CE538E"/>
    <w:rsid w:val="00CE5751"/>
    <w:rsid w:val="00CE5793"/>
    <w:rsid w:val="00CE58A6"/>
    <w:rsid w:val="00CE5A2E"/>
    <w:rsid w:val="00CE60CF"/>
    <w:rsid w:val="00CE62DB"/>
    <w:rsid w:val="00CE6326"/>
    <w:rsid w:val="00CE640F"/>
    <w:rsid w:val="00CE65B6"/>
    <w:rsid w:val="00CE669D"/>
    <w:rsid w:val="00CE6C32"/>
    <w:rsid w:val="00CE7745"/>
    <w:rsid w:val="00CE7B09"/>
    <w:rsid w:val="00CE7C0C"/>
    <w:rsid w:val="00CE7CA5"/>
    <w:rsid w:val="00CE7EBC"/>
    <w:rsid w:val="00CF01F3"/>
    <w:rsid w:val="00CF027B"/>
    <w:rsid w:val="00CF098E"/>
    <w:rsid w:val="00CF0FEF"/>
    <w:rsid w:val="00CF12F1"/>
    <w:rsid w:val="00CF1539"/>
    <w:rsid w:val="00CF1640"/>
    <w:rsid w:val="00CF1D81"/>
    <w:rsid w:val="00CF1F92"/>
    <w:rsid w:val="00CF26C8"/>
    <w:rsid w:val="00CF2711"/>
    <w:rsid w:val="00CF2864"/>
    <w:rsid w:val="00CF28BC"/>
    <w:rsid w:val="00CF2B0D"/>
    <w:rsid w:val="00CF2BC6"/>
    <w:rsid w:val="00CF2D03"/>
    <w:rsid w:val="00CF2DC9"/>
    <w:rsid w:val="00CF2DCD"/>
    <w:rsid w:val="00CF347F"/>
    <w:rsid w:val="00CF355D"/>
    <w:rsid w:val="00CF38A1"/>
    <w:rsid w:val="00CF3CBD"/>
    <w:rsid w:val="00CF3CD9"/>
    <w:rsid w:val="00CF4047"/>
    <w:rsid w:val="00CF4302"/>
    <w:rsid w:val="00CF490D"/>
    <w:rsid w:val="00CF4C0E"/>
    <w:rsid w:val="00CF4D55"/>
    <w:rsid w:val="00CF4D99"/>
    <w:rsid w:val="00CF51E4"/>
    <w:rsid w:val="00CF54AB"/>
    <w:rsid w:val="00CF59B1"/>
    <w:rsid w:val="00CF5E7F"/>
    <w:rsid w:val="00CF6477"/>
    <w:rsid w:val="00CF648C"/>
    <w:rsid w:val="00CF6509"/>
    <w:rsid w:val="00CF6E9F"/>
    <w:rsid w:val="00CF6F5D"/>
    <w:rsid w:val="00CF6FC4"/>
    <w:rsid w:val="00CF7205"/>
    <w:rsid w:val="00CF7538"/>
    <w:rsid w:val="00CF762C"/>
    <w:rsid w:val="00CF77DB"/>
    <w:rsid w:val="00CF7BB8"/>
    <w:rsid w:val="00CF7CB6"/>
    <w:rsid w:val="00D00E45"/>
    <w:rsid w:val="00D00E79"/>
    <w:rsid w:val="00D00F11"/>
    <w:rsid w:val="00D01171"/>
    <w:rsid w:val="00D02045"/>
    <w:rsid w:val="00D02165"/>
    <w:rsid w:val="00D0226F"/>
    <w:rsid w:val="00D02385"/>
    <w:rsid w:val="00D0256F"/>
    <w:rsid w:val="00D0272A"/>
    <w:rsid w:val="00D02BA7"/>
    <w:rsid w:val="00D03540"/>
    <w:rsid w:val="00D03696"/>
    <w:rsid w:val="00D03A86"/>
    <w:rsid w:val="00D03C93"/>
    <w:rsid w:val="00D03ED7"/>
    <w:rsid w:val="00D03FB4"/>
    <w:rsid w:val="00D04058"/>
    <w:rsid w:val="00D046A6"/>
    <w:rsid w:val="00D04A65"/>
    <w:rsid w:val="00D04E1B"/>
    <w:rsid w:val="00D04F08"/>
    <w:rsid w:val="00D05863"/>
    <w:rsid w:val="00D0608D"/>
    <w:rsid w:val="00D06348"/>
    <w:rsid w:val="00D06422"/>
    <w:rsid w:val="00D068DA"/>
    <w:rsid w:val="00D06C5A"/>
    <w:rsid w:val="00D0718E"/>
    <w:rsid w:val="00D072AF"/>
    <w:rsid w:val="00D073FC"/>
    <w:rsid w:val="00D07424"/>
    <w:rsid w:val="00D078B6"/>
    <w:rsid w:val="00D07AEB"/>
    <w:rsid w:val="00D07BB8"/>
    <w:rsid w:val="00D07F2D"/>
    <w:rsid w:val="00D07F8B"/>
    <w:rsid w:val="00D102D9"/>
    <w:rsid w:val="00D102E6"/>
    <w:rsid w:val="00D10379"/>
    <w:rsid w:val="00D105AD"/>
    <w:rsid w:val="00D10B79"/>
    <w:rsid w:val="00D10BF9"/>
    <w:rsid w:val="00D10EB2"/>
    <w:rsid w:val="00D11293"/>
    <w:rsid w:val="00D11699"/>
    <w:rsid w:val="00D11CE4"/>
    <w:rsid w:val="00D11E7F"/>
    <w:rsid w:val="00D12315"/>
    <w:rsid w:val="00D12348"/>
    <w:rsid w:val="00D125D4"/>
    <w:rsid w:val="00D1276C"/>
    <w:rsid w:val="00D1294B"/>
    <w:rsid w:val="00D12B31"/>
    <w:rsid w:val="00D12CDC"/>
    <w:rsid w:val="00D12D95"/>
    <w:rsid w:val="00D12FA4"/>
    <w:rsid w:val="00D1318D"/>
    <w:rsid w:val="00D1335D"/>
    <w:rsid w:val="00D135E3"/>
    <w:rsid w:val="00D136FA"/>
    <w:rsid w:val="00D137B0"/>
    <w:rsid w:val="00D137E0"/>
    <w:rsid w:val="00D1385C"/>
    <w:rsid w:val="00D13900"/>
    <w:rsid w:val="00D13AE9"/>
    <w:rsid w:val="00D13BCD"/>
    <w:rsid w:val="00D14091"/>
    <w:rsid w:val="00D14138"/>
    <w:rsid w:val="00D14374"/>
    <w:rsid w:val="00D14499"/>
    <w:rsid w:val="00D144EC"/>
    <w:rsid w:val="00D1457B"/>
    <w:rsid w:val="00D14621"/>
    <w:rsid w:val="00D1496B"/>
    <w:rsid w:val="00D149A6"/>
    <w:rsid w:val="00D14A88"/>
    <w:rsid w:val="00D14DB0"/>
    <w:rsid w:val="00D14FB3"/>
    <w:rsid w:val="00D15084"/>
    <w:rsid w:val="00D151A8"/>
    <w:rsid w:val="00D15256"/>
    <w:rsid w:val="00D152A6"/>
    <w:rsid w:val="00D157BF"/>
    <w:rsid w:val="00D15867"/>
    <w:rsid w:val="00D15904"/>
    <w:rsid w:val="00D15991"/>
    <w:rsid w:val="00D15B0F"/>
    <w:rsid w:val="00D15B4E"/>
    <w:rsid w:val="00D15BB2"/>
    <w:rsid w:val="00D160BA"/>
    <w:rsid w:val="00D16136"/>
    <w:rsid w:val="00D1613F"/>
    <w:rsid w:val="00D162D1"/>
    <w:rsid w:val="00D167A0"/>
    <w:rsid w:val="00D16E5B"/>
    <w:rsid w:val="00D17105"/>
    <w:rsid w:val="00D172E7"/>
    <w:rsid w:val="00D17321"/>
    <w:rsid w:val="00D1762D"/>
    <w:rsid w:val="00D1770B"/>
    <w:rsid w:val="00D1783D"/>
    <w:rsid w:val="00D17B37"/>
    <w:rsid w:val="00D17B65"/>
    <w:rsid w:val="00D17E88"/>
    <w:rsid w:val="00D17ED3"/>
    <w:rsid w:val="00D20090"/>
    <w:rsid w:val="00D201B5"/>
    <w:rsid w:val="00D20240"/>
    <w:rsid w:val="00D205E5"/>
    <w:rsid w:val="00D2083C"/>
    <w:rsid w:val="00D208DA"/>
    <w:rsid w:val="00D20B4F"/>
    <w:rsid w:val="00D20F10"/>
    <w:rsid w:val="00D213F0"/>
    <w:rsid w:val="00D2149A"/>
    <w:rsid w:val="00D21AC5"/>
    <w:rsid w:val="00D21ED2"/>
    <w:rsid w:val="00D220C7"/>
    <w:rsid w:val="00D220CD"/>
    <w:rsid w:val="00D2283B"/>
    <w:rsid w:val="00D2303B"/>
    <w:rsid w:val="00D234A7"/>
    <w:rsid w:val="00D23C7A"/>
    <w:rsid w:val="00D24366"/>
    <w:rsid w:val="00D247ED"/>
    <w:rsid w:val="00D248FB"/>
    <w:rsid w:val="00D24995"/>
    <w:rsid w:val="00D25154"/>
    <w:rsid w:val="00D25490"/>
    <w:rsid w:val="00D25AE3"/>
    <w:rsid w:val="00D25D27"/>
    <w:rsid w:val="00D26097"/>
    <w:rsid w:val="00D26167"/>
    <w:rsid w:val="00D262AC"/>
    <w:rsid w:val="00D263B2"/>
    <w:rsid w:val="00D2668B"/>
    <w:rsid w:val="00D266E8"/>
    <w:rsid w:val="00D26C09"/>
    <w:rsid w:val="00D26E59"/>
    <w:rsid w:val="00D271E9"/>
    <w:rsid w:val="00D2726C"/>
    <w:rsid w:val="00D2742D"/>
    <w:rsid w:val="00D27726"/>
    <w:rsid w:val="00D30215"/>
    <w:rsid w:val="00D304AC"/>
    <w:rsid w:val="00D30EFC"/>
    <w:rsid w:val="00D311AB"/>
    <w:rsid w:val="00D3143F"/>
    <w:rsid w:val="00D314DD"/>
    <w:rsid w:val="00D31505"/>
    <w:rsid w:val="00D3208E"/>
    <w:rsid w:val="00D32290"/>
    <w:rsid w:val="00D32291"/>
    <w:rsid w:val="00D325A8"/>
    <w:rsid w:val="00D326E4"/>
    <w:rsid w:val="00D32932"/>
    <w:rsid w:val="00D32A06"/>
    <w:rsid w:val="00D32D30"/>
    <w:rsid w:val="00D32D89"/>
    <w:rsid w:val="00D32F12"/>
    <w:rsid w:val="00D33319"/>
    <w:rsid w:val="00D333A5"/>
    <w:rsid w:val="00D333F3"/>
    <w:rsid w:val="00D33440"/>
    <w:rsid w:val="00D336FB"/>
    <w:rsid w:val="00D33774"/>
    <w:rsid w:val="00D33AB5"/>
    <w:rsid w:val="00D33B0A"/>
    <w:rsid w:val="00D340A7"/>
    <w:rsid w:val="00D34402"/>
    <w:rsid w:val="00D34416"/>
    <w:rsid w:val="00D34764"/>
    <w:rsid w:val="00D34931"/>
    <w:rsid w:val="00D34A20"/>
    <w:rsid w:val="00D34EB3"/>
    <w:rsid w:val="00D35261"/>
    <w:rsid w:val="00D35423"/>
    <w:rsid w:val="00D35442"/>
    <w:rsid w:val="00D35AE4"/>
    <w:rsid w:val="00D35B85"/>
    <w:rsid w:val="00D3606A"/>
    <w:rsid w:val="00D3669A"/>
    <w:rsid w:val="00D36A82"/>
    <w:rsid w:val="00D36EB2"/>
    <w:rsid w:val="00D36F18"/>
    <w:rsid w:val="00D36F7C"/>
    <w:rsid w:val="00D373FA"/>
    <w:rsid w:val="00D373FF"/>
    <w:rsid w:val="00D37472"/>
    <w:rsid w:val="00D375D7"/>
    <w:rsid w:val="00D376A6"/>
    <w:rsid w:val="00D377D4"/>
    <w:rsid w:val="00D37D96"/>
    <w:rsid w:val="00D4007C"/>
    <w:rsid w:val="00D40271"/>
    <w:rsid w:val="00D4068D"/>
    <w:rsid w:val="00D407D3"/>
    <w:rsid w:val="00D40F90"/>
    <w:rsid w:val="00D40FB3"/>
    <w:rsid w:val="00D40FB6"/>
    <w:rsid w:val="00D410DC"/>
    <w:rsid w:val="00D41723"/>
    <w:rsid w:val="00D41759"/>
    <w:rsid w:val="00D41849"/>
    <w:rsid w:val="00D418C4"/>
    <w:rsid w:val="00D41C89"/>
    <w:rsid w:val="00D41DC2"/>
    <w:rsid w:val="00D421B6"/>
    <w:rsid w:val="00D421C3"/>
    <w:rsid w:val="00D426F5"/>
    <w:rsid w:val="00D42780"/>
    <w:rsid w:val="00D427A2"/>
    <w:rsid w:val="00D4285E"/>
    <w:rsid w:val="00D42E41"/>
    <w:rsid w:val="00D430FA"/>
    <w:rsid w:val="00D4314B"/>
    <w:rsid w:val="00D433BB"/>
    <w:rsid w:val="00D43597"/>
    <w:rsid w:val="00D436BB"/>
    <w:rsid w:val="00D436FA"/>
    <w:rsid w:val="00D438DE"/>
    <w:rsid w:val="00D4397B"/>
    <w:rsid w:val="00D4416A"/>
    <w:rsid w:val="00D441CE"/>
    <w:rsid w:val="00D4423B"/>
    <w:rsid w:val="00D442AD"/>
    <w:rsid w:val="00D443E3"/>
    <w:rsid w:val="00D44403"/>
    <w:rsid w:val="00D449D9"/>
    <w:rsid w:val="00D44B4F"/>
    <w:rsid w:val="00D45094"/>
    <w:rsid w:val="00D451C8"/>
    <w:rsid w:val="00D4521C"/>
    <w:rsid w:val="00D45364"/>
    <w:rsid w:val="00D4550B"/>
    <w:rsid w:val="00D456FE"/>
    <w:rsid w:val="00D45915"/>
    <w:rsid w:val="00D461A8"/>
    <w:rsid w:val="00D461CD"/>
    <w:rsid w:val="00D4637C"/>
    <w:rsid w:val="00D46923"/>
    <w:rsid w:val="00D46AA0"/>
    <w:rsid w:val="00D470E0"/>
    <w:rsid w:val="00D475DB"/>
    <w:rsid w:val="00D476F8"/>
    <w:rsid w:val="00D47B6C"/>
    <w:rsid w:val="00D47C47"/>
    <w:rsid w:val="00D502C9"/>
    <w:rsid w:val="00D50796"/>
    <w:rsid w:val="00D50AB4"/>
    <w:rsid w:val="00D50DBB"/>
    <w:rsid w:val="00D50F34"/>
    <w:rsid w:val="00D5142C"/>
    <w:rsid w:val="00D517CD"/>
    <w:rsid w:val="00D517E2"/>
    <w:rsid w:val="00D5181B"/>
    <w:rsid w:val="00D51A5B"/>
    <w:rsid w:val="00D521A7"/>
    <w:rsid w:val="00D52B58"/>
    <w:rsid w:val="00D52DCF"/>
    <w:rsid w:val="00D5303B"/>
    <w:rsid w:val="00D532F1"/>
    <w:rsid w:val="00D53930"/>
    <w:rsid w:val="00D53972"/>
    <w:rsid w:val="00D539FC"/>
    <w:rsid w:val="00D53BBC"/>
    <w:rsid w:val="00D53E57"/>
    <w:rsid w:val="00D53EBF"/>
    <w:rsid w:val="00D53F2C"/>
    <w:rsid w:val="00D543B9"/>
    <w:rsid w:val="00D543C5"/>
    <w:rsid w:val="00D543FB"/>
    <w:rsid w:val="00D549F2"/>
    <w:rsid w:val="00D54C8B"/>
    <w:rsid w:val="00D54DDF"/>
    <w:rsid w:val="00D54F28"/>
    <w:rsid w:val="00D55041"/>
    <w:rsid w:val="00D550CE"/>
    <w:rsid w:val="00D55118"/>
    <w:rsid w:val="00D553B2"/>
    <w:rsid w:val="00D55717"/>
    <w:rsid w:val="00D559AD"/>
    <w:rsid w:val="00D55BFC"/>
    <w:rsid w:val="00D56082"/>
    <w:rsid w:val="00D5618A"/>
    <w:rsid w:val="00D56217"/>
    <w:rsid w:val="00D5636B"/>
    <w:rsid w:val="00D563CC"/>
    <w:rsid w:val="00D56B7B"/>
    <w:rsid w:val="00D56D0D"/>
    <w:rsid w:val="00D56EA9"/>
    <w:rsid w:val="00D56EB7"/>
    <w:rsid w:val="00D56F47"/>
    <w:rsid w:val="00D5756B"/>
    <w:rsid w:val="00D5768E"/>
    <w:rsid w:val="00D5784B"/>
    <w:rsid w:val="00D57983"/>
    <w:rsid w:val="00D57A0C"/>
    <w:rsid w:val="00D57A0F"/>
    <w:rsid w:val="00D57CA8"/>
    <w:rsid w:val="00D603D1"/>
    <w:rsid w:val="00D60565"/>
    <w:rsid w:val="00D60580"/>
    <w:rsid w:val="00D60DB3"/>
    <w:rsid w:val="00D60E67"/>
    <w:rsid w:val="00D61222"/>
    <w:rsid w:val="00D61354"/>
    <w:rsid w:val="00D615BF"/>
    <w:rsid w:val="00D61A64"/>
    <w:rsid w:val="00D61E1B"/>
    <w:rsid w:val="00D622E6"/>
    <w:rsid w:val="00D62336"/>
    <w:rsid w:val="00D6250E"/>
    <w:rsid w:val="00D62779"/>
    <w:rsid w:val="00D627C1"/>
    <w:rsid w:val="00D62C9B"/>
    <w:rsid w:val="00D62CB1"/>
    <w:rsid w:val="00D6342A"/>
    <w:rsid w:val="00D634D7"/>
    <w:rsid w:val="00D6351B"/>
    <w:rsid w:val="00D6385D"/>
    <w:rsid w:val="00D63DF9"/>
    <w:rsid w:val="00D63EFB"/>
    <w:rsid w:val="00D64163"/>
    <w:rsid w:val="00D646CF"/>
    <w:rsid w:val="00D647B3"/>
    <w:rsid w:val="00D64A75"/>
    <w:rsid w:val="00D64B31"/>
    <w:rsid w:val="00D64CC6"/>
    <w:rsid w:val="00D64D74"/>
    <w:rsid w:val="00D64DB7"/>
    <w:rsid w:val="00D64DE6"/>
    <w:rsid w:val="00D650E8"/>
    <w:rsid w:val="00D653B6"/>
    <w:rsid w:val="00D658AF"/>
    <w:rsid w:val="00D659B7"/>
    <w:rsid w:val="00D66255"/>
    <w:rsid w:val="00D66400"/>
    <w:rsid w:val="00D66435"/>
    <w:rsid w:val="00D66459"/>
    <w:rsid w:val="00D66800"/>
    <w:rsid w:val="00D66863"/>
    <w:rsid w:val="00D66B5E"/>
    <w:rsid w:val="00D671F4"/>
    <w:rsid w:val="00D6757E"/>
    <w:rsid w:val="00D67BC4"/>
    <w:rsid w:val="00D67FDB"/>
    <w:rsid w:val="00D7004E"/>
    <w:rsid w:val="00D70289"/>
    <w:rsid w:val="00D7066B"/>
    <w:rsid w:val="00D706C3"/>
    <w:rsid w:val="00D70A1B"/>
    <w:rsid w:val="00D70A79"/>
    <w:rsid w:val="00D70AEC"/>
    <w:rsid w:val="00D70DFD"/>
    <w:rsid w:val="00D70E41"/>
    <w:rsid w:val="00D710C2"/>
    <w:rsid w:val="00D710EE"/>
    <w:rsid w:val="00D712D3"/>
    <w:rsid w:val="00D71444"/>
    <w:rsid w:val="00D716DF"/>
    <w:rsid w:val="00D7192C"/>
    <w:rsid w:val="00D71AF1"/>
    <w:rsid w:val="00D72595"/>
    <w:rsid w:val="00D7259D"/>
    <w:rsid w:val="00D7267F"/>
    <w:rsid w:val="00D727B6"/>
    <w:rsid w:val="00D72922"/>
    <w:rsid w:val="00D72A31"/>
    <w:rsid w:val="00D72A3F"/>
    <w:rsid w:val="00D72A8E"/>
    <w:rsid w:val="00D72EA1"/>
    <w:rsid w:val="00D73066"/>
    <w:rsid w:val="00D73402"/>
    <w:rsid w:val="00D7355F"/>
    <w:rsid w:val="00D73743"/>
    <w:rsid w:val="00D73810"/>
    <w:rsid w:val="00D73981"/>
    <w:rsid w:val="00D73BAE"/>
    <w:rsid w:val="00D73D01"/>
    <w:rsid w:val="00D74114"/>
    <w:rsid w:val="00D7437C"/>
    <w:rsid w:val="00D743A2"/>
    <w:rsid w:val="00D7450F"/>
    <w:rsid w:val="00D74909"/>
    <w:rsid w:val="00D74A40"/>
    <w:rsid w:val="00D74F75"/>
    <w:rsid w:val="00D75144"/>
    <w:rsid w:val="00D75BAB"/>
    <w:rsid w:val="00D75C60"/>
    <w:rsid w:val="00D75CB2"/>
    <w:rsid w:val="00D75F69"/>
    <w:rsid w:val="00D75F79"/>
    <w:rsid w:val="00D76269"/>
    <w:rsid w:val="00D7643B"/>
    <w:rsid w:val="00D7653B"/>
    <w:rsid w:val="00D76552"/>
    <w:rsid w:val="00D76961"/>
    <w:rsid w:val="00D76AF9"/>
    <w:rsid w:val="00D76B1B"/>
    <w:rsid w:val="00D76E27"/>
    <w:rsid w:val="00D772E7"/>
    <w:rsid w:val="00D77476"/>
    <w:rsid w:val="00D77499"/>
    <w:rsid w:val="00D774CD"/>
    <w:rsid w:val="00D77529"/>
    <w:rsid w:val="00D777BE"/>
    <w:rsid w:val="00D77B17"/>
    <w:rsid w:val="00D77C2C"/>
    <w:rsid w:val="00D77D18"/>
    <w:rsid w:val="00D77E59"/>
    <w:rsid w:val="00D77F0F"/>
    <w:rsid w:val="00D8018C"/>
    <w:rsid w:val="00D805CC"/>
    <w:rsid w:val="00D80B6C"/>
    <w:rsid w:val="00D8105A"/>
    <w:rsid w:val="00D811E8"/>
    <w:rsid w:val="00D81356"/>
    <w:rsid w:val="00D81736"/>
    <w:rsid w:val="00D818E6"/>
    <w:rsid w:val="00D81B35"/>
    <w:rsid w:val="00D81EBC"/>
    <w:rsid w:val="00D827A4"/>
    <w:rsid w:val="00D8280E"/>
    <w:rsid w:val="00D8296A"/>
    <w:rsid w:val="00D82E05"/>
    <w:rsid w:val="00D83119"/>
    <w:rsid w:val="00D8322A"/>
    <w:rsid w:val="00D834A6"/>
    <w:rsid w:val="00D834AE"/>
    <w:rsid w:val="00D83617"/>
    <w:rsid w:val="00D838BE"/>
    <w:rsid w:val="00D839AD"/>
    <w:rsid w:val="00D83D0C"/>
    <w:rsid w:val="00D83DE9"/>
    <w:rsid w:val="00D83E99"/>
    <w:rsid w:val="00D84128"/>
    <w:rsid w:val="00D84474"/>
    <w:rsid w:val="00D8450D"/>
    <w:rsid w:val="00D84570"/>
    <w:rsid w:val="00D846D4"/>
    <w:rsid w:val="00D849F6"/>
    <w:rsid w:val="00D84A85"/>
    <w:rsid w:val="00D854EB"/>
    <w:rsid w:val="00D856AF"/>
    <w:rsid w:val="00D857B0"/>
    <w:rsid w:val="00D8594E"/>
    <w:rsid w:val="00D85A89"/>
    <w:rsid w:val="00D85B07"/>
    <w:rsid w:val="00D85BFA"/>
    <w:rsid w:val="00D85F88"/>
    <w:rsid w:val="00D85FF6"/>
    <w:rsid w:val="00D86150"/>
    <w:rsid w:val="00D86267"/>
    <w:rsid w:val="00D86864"/>
    <w:rsid w:val="00D86EAB"/>
    <w:rsid w:val="00D8779D"/>
    <w:rsid w:val="00D87880"/>
    <w:rsid w:val="00D87978"/>
    <w:rsid w:val="00D87EE7"/>
    <w:rsid w:val="00D901E5"/>
    <w:rsid w:val="00D90403"/>
    <w:rsid w:val="00D90B06"/>
    <w:rsid w:val="00D90C42"/>
    <w:rsid w:val="00D91192"/>
    <w:rsid w:val="00D91818"/>
    <w:rsid w:val="00D91CA3"/>
    <w:rsid w:val="00D91DE2"/>
    <w:rsid w:val="00D9215D"/>
    <w:rsid w:val="00D9237A"/>
    <w:rsid w:val="00D92832"/>
    <w:rsid w:val="00D929E4"/>
    <w:rsid w:val="00D9310D"/>
    <w:rsid w:val="00D931A2"/>
    <w:rsid w:val="00D9348A"/>
    <w:rsid w:val="00D93530"/>
    <w:rsid w:val="00D93990"/>
    <w:rsid w:val="00D93CA9"/>
    <w:rsid w:val="00D93D5C"/>
    <w:rsid w:val="00D94317"/>
    <w:rsid w:val="00D94405"/>
    <w:rsid w:val="00D94704"/>
    <w:rsid w:val="00D9475E"/>
    <w:rsid w:val="00D948EB"/>
    <w:rsid w:val="00D94A7E"/>
    <w:rsid w:val="00D94DF0"/>
    <w:rsid w:val="00D951AB"/>
    <w:rsid w:val="00D95797"/>
    <w:rsid w:val="00D95AF9"/>
    <w:rsid w:val="00D95B59"/>
    <w:rsid w:val="00D964A7"/>
    <w:rsid w:val="00D96786"/>
    <w:rsid w:val="00D96BC6"/>
    <w:rsid w:val="00D972E1"/>
    <w:rsid w:val="00D97712"/>
    <w:rsid w:val="00D9782A"/>
    <w:rsid w:val="00D97A90"/>
    <w:rsid w:val="00DA096D"/>
    <w:rsid w:val="00DA09C9"/>
    <w:rsid w:val="00DA0A39"/>
    <w:rsid w:val="00DA0AAC"/>
    <w:rsid w:val="00DA0D5D"/>
    <w:rsid w:val="00DA0DB0"/>
    <w:rsid w:val="00DA0E05"/>
    <w:rsid w:val="00DA0E66"/>
    <w:rsid w:val="00DA10B7"/>
    <w:rsid w:val="00DA1246"/>
    <w:rsid w:val="00DA131D"/>
    <w:rsid w:val="00DA1822"/>
    <w:rsid w:val="00DA186D"/>
    <w:rsid w:val="00DA19E7"/>
    <w:rsid w:val="00DA1C19"/>
    <w:rsid w:val="00DA1C90"/>
    <w:rsid w:val="00DA231E"/>
    <w:rsid w:val="00DA25AE"/>
    <w:rsid w:val="00DA2A48"/>
    <w:rsid w:val="00DA2A61"/>
    <w:rsid w:val="00DA2A7C"/>
    <w:rsid w:val="00DA2A94"/>
    <w:rsid w:val="00DA32FA"/>
    <w:rsid w:val="00DA3619"/>
    <w:rsid w:val="00DA3A6C"/>
    <w:rsid w:val="00DA404D"/>
    <w:rsid w:val="00DA4699"/>
    <w:rsid w:val="00DA469F"/>
    <w:rsid w:val="00DA4AF3"/>
    <w:rsid w:val="00DA4EFD"/>
    <w:rsid w:val="00DA4F3A"/>
    <w:rsid w:val="00DA53A3"/>
    <w:rsid w:val="00DA5525"/>
    <w:rsid w:val="00DA554C"/>
    <w:rsid w:val="00DA55A3"/>
    <w:rsid w:val="00DA575A"/>
    <w:rsid w:val="00DA5A03"/>
    <w:rsid w:val="00DA5DB2"/>
    <w:rsid w:val="00DA60A2"/>
    <w:rsid w:val="00DA6317"/>
    <w:rsid w:val="00DA63E4"/>
    <w:rsid w:val="00DA65E4"/>
    <w:rsid w:val="00DA66E3"/>
    <w:rsid w:val="00DA66FB"/>
    <w:rsid w:val="00DA67B0"/>
    <w:rsid w:val="00DA6EC6"/>
    <w:rsid w:val="00DA72A5"/>
    <w:rsid w:val="00DA73A3"/>
    <w:rsid w:val="00DA7696"/>
    <w:rsid w:val="00DA7EF9"/>
    <w:rsid w:val="00DA7FFC"/>
    <w:rsid w:val="00DB0269"/>
    <w:rsid w:val="00DB0561"/>
    <w:rsid w:val="00DB0722"/>
    <w:rsid w:val="00DB0828"/>
    <w:rsid w:val="00DB09E2"/>
    <w:rsid w:val="00DB0E3B"/>
    <w:rsid w:val="00DB0E96"/>
    <w:rsid w:val="00DB1044"/>
    <w:rsid w:val="00DB175A"/>
    <w:rsid w:val="00DB1AD1"/>
    <w:rsid w:val="00DB1C59"/>
    <w:rsid w:val="00DB1C89"/>
    <w:rsid w:val="00DB1CB5"/>
    <w:rsid w:val="00DB1F6F"/>
    <w:rsid w:val="00DB1FCD"/>
    <w:rsid w:val="00DB204A"/>
    <w:rsid w:val="00DB2135"/>
    <w:rsid w:val="00DB228F"/>
    <w:rsid w:val="00DB22FB"/>
    <w:rsid w:val="00DB252C"/>
    <w:rsid w:val="00DB2575"/>
    <w:rsid w:val="00DB279E"/>
    <w:rsid w:val="00DB29F6"/>
    <w:rsid w:val="00DB3001"/>
    <w:rsid w:val="00DB30A2"/>
    <w:rsid w:val="00DB30DD"/>
    <w:rsid w:val="00DB493E"/>
    <w:rsid w:val="00DB506F"/>
    <w:rsid w:val="00DB5147"/>
    <w:rsid w:val="00DB528E"/>
    <w:rsid w:val="00DB5593"/>
    <w:rsid w:val="00DB559B"/>
    <w:rsid w:val="00DB575C"/>
    <w:rsid w:val="00DB5848"/>
    <w:rsid w:val="00DB5ACB"/>
    <w:rsid w:val="00DB5E1F"/>
    <w:rsid w:val="00DB5E5C"/>
    <w:rsid w:val="00DB5E71"/>
    <w:rsid w:val="00DB61AB"/>
    <w:rsid w:val="00DB6641"/>
    <w:rsid w:val="00DB674B"/>
    <w:rsid w:val="00DB6A35"/>
    <w:rsid w:val="00DB6A39"/>
    <w:rsid w:val="00DB6B7F"/>
    <w:rsid w:val="00DB6B89"/>
    <w:rsid w:val="00DB703B"/>
    <w:rsid w:val="00DB7366"/>
    <w:rsid w:val="00DB7412"/>
    <w:rsid w:val="00DB74EA"/>
    <w:rsid w:val="00DB76D3"/>
    <w:rsid w:val="00DB7C74"/>
    <w:rsid w:val="00DB7D33"/>
    <w:rsid w:val="00DC004F"/>
    <w:rsid w:val="00DC024E"/>
    <w:rsid w:val="00DC03E5"/>
    <w:rsid w:val="00DC053F"/>
    <w:rsid w:val="00DC0648"/>
    <w:rsid w:val="00DC0A48"/>
    <w:rsid w:val="00DC17F2"/>
    <w:rsid w:val="00DC17FA"/>
    <w:rsid w:val="00DC19D8"/>
    <w:rsid w:val="00DC1AFE"/>
    <w:rsid w:val="00DC21A0"/>
    <w:rsid w:val="00DC22C8"/>
    <w:rsid w:val="00DC2384"/>
    <w:rsid w:val="00DC2613"/>
    <w:rsid w:val="00DC29E7"/>
    <w:rsid w:val="00DC2C28"/>
    <w:rsid w:val="00DC2CE6"/>
    <w:rsid w:val="00DC2D6E"/>
    <w:rsid w:val="00DC2D87"/>
    <w:rsid w:val="00DC3160"/>
    <w:rsid w:val="00DC32F2"/>
    <w:rsid w:val="00DC3567"/>
    <w:rsid w:val="00DC36F4"/>
    <w:rsid w:val="00DC375A"/>
    <w:rsid w:val="00DC40B6"/>
    <w:rsid w:val="00DC4474"/>
    <w:rsid w:val="00DC4512"/>
    <w:rsid w:val="00DC4A20"/>
    <w:rsid w:val="00DC4A70"/>
    <w:rsid w:val="00DC4D1B"/>
    <w:rsid w:val="00DC4DFF"/>
    <w:rsid w:val="00DC53F3"/>
    <w:rsid w:val="00DC5A2A"/>
    <w:rsid w:val="00DC6120"/>
    <w:rsid w:val="00DC61C2"/>
    <w:rsid w:val="00DC6295"/>
    <w:rsid w:val="00DC630E"/>
    <w:rsid w:val="00DC6461"/>
    <w:rsid w:val="00DC6466"/>
    <w:rsid w:val="00DC650A"/>
    <w:rsid w:val="00DC6646"/>
    <w:rsid w:val="00DC67C7"/>
    <w:rsid w:val="00DC6880"/>
    <w:rsid w:val="00DC69AB"/>
    <w:rsid w:val="00DC703D"/>
    <w:rsid w:val="00DC7285"/>
    <w:rsid w:val="00DC73D6"/>
    <w:rsid w:val="00DC74C7"/>
    <w:rsid w:val="00DC791A"/>
    <w:rsid w:val="00DC7FA5"/>
    <w:rsid w:val="00DD0200"/>
    <w:rsid w:val="00DD0280"/>
    <w:rsid w:val="00DD0AAF"/>
    <w:rsid w:val="00DD0B5E"/>
    <w:rsid w:val="00DD0E5A"/>
    <w:rsid w:val="00DD101F"/>
    <w:rsid w:val="00DD1356"/>
    <w:rsid w:val="00DD163F"/>
    <w:rsid w:val="00DD1871"/>
    <w:rsid w:val="00DD1D9C"/>
    <w:rsid w:val="00DD2891"/>
    <w:rsid w:val="00DD2AED"/>
    <w:rsid w:val="00DD2D0F"/>
    <w:rsid w:val="00DD31ED"/>
    <w:rsid w:val="00DD3691"/>
    <w:rsid w:val="00DD3893"/>
    <w:rsid w:val="00DD38D4"/>
    <w:rsid w:val="00DD3BB7"/>
    <w:rsid w:val="00DD3BBD"/>
    <w:rsid w:val="00DD3BFA"/>
    <w:rsid w:val="00DD3C90"/>
    <w:rsid w:val="00DD423E"/>
    <w:rsid w:val="00DD431F"/>
    <w:rsid w:val="00DD4423"/>
    <w:rsid w:val="00DD4530"/>
    <w:rsid w:val="00DD4A37"/>
    <w:rsid w:val="00DD4B55"/>
    <w:rsid w:val="00DD4DD1"/>
    <w:rsid w:val="00DD4E8E"/>
    <w:rsid w:val="00DD4EE7"/>
    <w:rsid w:val="00DD5170"/>
    <w:rsid w:val="00DD523C"/>
    <w:rsid w:val="00DD541E"/>
    <w:rsid w:val="00DD54C4"/>
    <w:rsid w:val="00DD5553"/>
    <w:rsid w:val="00DD55A3"/>
    <w:rsid w:val="00DD564D"/>
    <w:rsid w:val="00DD57B5"/>
    <w:rsid w:val="00DD5887"/>
    <w:rsid w:val="00DD5DD5"/>
    <w:rsid w:val="00DD6074"/>
    <w:rsid w:val="00DD60B6"/>
    <w:rsid w:val="00DD61CB"/>
    <w:rsid w:val="00DD6261"/>
    <w:rsid w:val="00DD6385"/>
    <w:rsid w:val="00DD63AB"/>
    <w:rsid w:val="00DD6A9B"/>
    <w:rsid w:val="00DD6CCF"/>
    <w:rsid w:val="00DD6E4A"/>
    <w:rsid w:val="00DD6EB0"/>
    <w:rsid w:val="00DD6F28"/>
    <w:rsid w:val="00DD73A2"/>
    <w:rsid w:val="00DD73C1"/>
    <w:rsid w:val="00DD740B"/>
    <w:rsid w:val="00DD7601"/>
    <w:rsid w:val="00DD77A0"/>
    <w:rsid w:val="00DD791F"/>
    <w:rsid w:val="00DD7A0F"/>
    <w:rsid w:val="00DD7C88"/>
    <w:rsid w:val="00DD7D09"/>
    <w:rsid w:val="00DD7D22"/>
    <w:rsid w:val="00DE009A"/>
    <w:rsid w:val="00DE0145"/>
    <w:rsid w:val="00DE0437"/>
    <w:rsid w:val="00DE04DC"/>
    <w:rsid w:val="00DE058B"/>
    <w:rsid w:val="00DE0878"/>
    <w:rsid w:val="00DE0C67"/>
    <w:rsid w:val="00DE0D64"/>
    <w:rsid w:val="00DE0E68"/>
    <w:rsid w:val="00DE0F9D"/>
    <w:rsid w:val="00DE107F"/>
    <w:rsid w:val="00DE1222"/>
    <w:rsid w:val="00DE1407"/>
    <w:rsid w:val="00DE1792"/>
    <w:rsid w:val="00DE18F3"/>
    <w:rsid w:val="00DE1AFF"/>
    <w:rsid w:val="00DE1E54"/>
    <w:rsid w:val="00DE1E90"/>
    <w:rsid w:val="00DE1FA7"/>
    <w:rsid w:val="00DE2118"/>
    <w:rsid w:val="00DE24E6"/>
    <w:rsid w:val="00DE254D"/>
    <w:rsid w:val="00DE25F7"/>
    <w:rsid w:val="00DE2667"/>
    <w:rsid w:val="00DE273F"/>
    <w:rsid w:val="00DE2787"/>
    <w:rsid w:val="00DE2896"/>
    <w:rsid w:val="00DE29A4"/>
    <w:rsid w:val="00DE2D13"/>
    <w:rsid w:val="00DE304D"/>
    <w:rsid w:val="00DE3173"/>
    <w:rsid w:val="00DE32DA"/>
    <w:rsid w:val="00DE33D2"/>
    <w:rsid w:val="00DE3674"/>
    <w:rsid w:val="00DE3B09"/>
    <w:rsid w:val="00DE3BEB"/>
    <w:rsid w:val="00DE4178"/>
    <w:rsid w:val="00DE44A8"/>
    <w:rsid w:val="00DE4506"/>
    <w:rsid w:val="00DE46A6"/>
    <w:rsid w:val="00DE46EE"/>
    <w:rsid w:val="00DE46F9"/>
    <w:rsid w:val="00DE4896"/>
    <w:rsid w:val="00DE4B5D"/>
    <w:rsid w:val="00DE4F69"/>
    <w:rsid w:val="00DE5048"/>
    <w:rsid w:val="00DE5064"/>
    <w:rsid w:val="00DE55C8"/>
    <w:rsid w:val="00DE5780"/>
    <w:rsid w:val="00DE5B3A"/>
    <w:rsid w:val="00DE5C8A"/>
    <w:rsid w:val="00DE6008"/>
    <w:rsid w:val="00DE66C2"/>
    <w:rsid w:val="00DE67BC"/>
    <w:rsid w:val="00DE6963"/>
    <w:rsid w:val="00DE6AC6"/>
    <w:rsid w:val="00DE6BEB"/>
    <w:rsid w:val="00DE71C2"/>
    <w:rsid w:val="00DE72E0"/>
    <w:rsid w:val="00DE7631"/>
    <w:rsid w:val="00DE785F"/>
    <w:rsid w:val="00DE7A21"/>
    <w:rsid w:val="00DE7BD1"/>
    <w:rsid w:val="00DE7F6F"/>
    <w:rsid w:val="00DF07AD"/>
    <w:rsid w:val="00DF07C4"/>
    <w:rsid w:val="00DF0A13"/>
    <w:rsid w:val="00DF0EC8"/>
    <w:rsid w:val="00DF125B"/>
    <w:rsid w:val="00DF12C9"/>
    <w:rsid w:val="00DF14B5"/>
    <w:rsid w:val="00DF1561"/>
    <w:rsid w:val="00DF1735"/>
    <w:rsid w:val="00DF1C5E"/>
    <w:rsid w:val="00DF22D5"/>
    <w:rsid w:val="00DF24A0"/>
    <w:rsid w:val="00DF2502"/>
    <w:rsid w:val="00DF2797"/>
    <w:rsid w:val="00DF2BD4"/>
    <w:rsid w:val="00DF2E69"/>
    <w:rsid w:val="00DF2F0A"/>
    <w:rsid w:val="00DF3364"/>
    <w:rsid w:val="00DF34C4"/>
    <w:rsid w:val="00DF376B"/>
    <w:rsid w:val="00DF390A"/>
    <w:rsid w:val="00DF3B27"/>
    <w:rsid w:val="00DF411E"/>
    <w:rsid w:val="00DF41DA"/>
    <w:rsid w:val="00DF4632"/>
    <w:rsid w:val="00DF46AA"/>
    <w:rsid w:val="00DF484A"/>
    <w:rsid w:val="00DF49AE"/>
    <w:rsid w:val="00DF4C50"/>
    <w:rsid w:val="00DF4DF5"/>
    <w:rsid w:val="00DF4EC0"/>
    <w:rsid w:val="00DF4F3E"/>
    <w:rsid w:val="00DF504C"/>
    <w:rsid w:val="00DF524A"/>
    <w:rsid w:val="00DF5501"/>
    <w:rsid w:val="00DF556C"/>
    <w:rsid w:val="00DF56B8"/>
    <w:rsid w:val="00DF56D3"/>
    <w:rsid w:val="00DF591B"/>
    <w:rsid w:val="00DF5AAF"/>
    <w:rsid w:val="00DF5C55"/>
    <w:rsid w:val="00DF5F13"/>
    <w:rsid w:val="00DF5FA7"/>
    <w:rsid w:val="00DF5FCD"/>
    <w:rsid w:val="00DF607E"/>
    <w:rsid w:val="00DF61A7"/>
    <w:rsid w:val="00DF67D1"/>
    <w:rsid w:val="00DF685B"/>
    <w:rsid w:val="00DF6A32"/>
    <w:rsid w:val="00DF6B8C"/>
    <w:rsid w:val="00DF6C11"/>
    <w:rsid w:val="00DF6CAB"/>
    <w:rsid w:val="00DF6EFD"/>
    <w:rsid w:val="00DF6F1F"/>
    <w:rsid w:val="00DF7008"/>
    <w:rsid w:val="00DF73E4"/>
    <w:rsid w:val="00DF754E"/>
    <w:rsid w:val="00DF7DC3"/>
    <w:rsid w:val="00E005FC"/>
    <w:rsid w:val="00E00853"/>
    <w:rsid w:val="00E0097A"/>
    <w:rsid w:val="00E00F61"/>
    <w:rsid w:val="00E01099"/>
    <w:rsid w:val="00E01456"/>
    <w:rsid w:val="00E01534"/>
    <w:rsid w:val="00E01660"/>
    <w:rsid w:val="00E0180A"/>
    <w:rsid w:val="00E02153"/>
    <w:rsid w:val="00E021A3"/>
    <w:rsid w:val="00E023C0"/>
    <w:rsid w:val="00E024CF"/>
    <w:rsid w:val="00E02608"/>
    <w:rsid w:val="00E02759"/>
    <w:rsid w:val="00E02792"/>
    <w:rsid w:val="00E02840"/>
    <w:rsid w:val="00E02E44"/>
    <w:rsid w:val="00E030FE"/>
    <w:rsid w:val="00E03330"/>
    <w:rsid w:val="00E03777"/>
    <w:rsid w:val="00E03834"/>
    <w:rsid w:val="00E0387B"/>
    <w:rsid w:val="00E0397F"/>
    <w:rsid w:val="00E03ADF"/>
    <w:rsid w:val="00E03FE4"/>
    <w:rsid w:val="00E042A7"/>
    <w:rsid w:val="00E045B9"/>
    <w:rsid w:val="00E047B6"/>
    <w:rsid w:val="00E0514A"/>
    <w:rsid w:val="00E05197"/>
    <w:rsid w:val="00E0529C"/>
    <w:rsid w:val="00E052BC"/>
    <w:rsid w:val="00E055BB"/>
    <w:rsid w:val="00E056E7"/>
    <w:rsid w:val="00E058D0"/>
    <w:rsid w:val="00E05A78"/>
    <w:rsid w:val="00E05B68"/>
    <w:rsid w:val="00E0602C"/>
    <w:rsid w:val="00E0609B"/>
    <w:rsid w:val="00E0676D"/>
    <w:rsid w:val="00E067BD"/>
    <w:rsid w:val="00E06885"/>
    <w:rsid w:val="00E068F9"/>
    <w:rsid w:val="00E0690E"/>
    <w:rsid w:val="00E06B12"/>
    <w:rsid w:val="00E06BC1"/>
    <w:rsid w:val="00E06CA9"/>
    <w:rsid w:val="00E06D6B"/>
    <w:rsid w:val="00E070AA"/>
    <w:rsid w:val="00E070C7"/>
    <w:rsid w:val="00E0712D"/>
    <w:rsid w:val="00E0749E"/>
    <w:rsid w:val="00E07971"/>
    <w:rsid w:val="00E07A55"/>
    <w:rsid w:val="00E07CB2"/>
    <w:rsid w:val="00E07EB8"/>
    <w:rsid w:val="00E102E0"/>
    <w:rsid w:val="00E105F4"/>
    <w:rsid w:val="00E108D2"/>
    <w:rsid w:val="00E10F36"/>
    <w:rsid w:val="00E11177"/>
    <w:rsid w:val="00E11840"/>
    <w:rsid w:val="00E11867"/>
    <w:rsid w:val="00E1196A"/>
    <w:rsid w:val="00E11988"/>
    <w:rsid w:val="00E11A60"/>
    <w:rsid w:val="00E11B95"/>
    <w:rsid w:val="00E11CE8"/>
    <w:rsid w:val="00E11F65"/>
    <w:rsid w:val="00E1206A"/>
    <w:rsid w:val="00E12408"/>
    <w:rsid w:val="00E12A9F"/>
    <w:rsid w:val="00E12B68"/>
    <w:rsid w:val="00E12D92"/>
    <w:rsid w:val="00E12EEB"/>
    <w:rsid w:val="00E12F86"/>
    <w:rsid w:val="00E1378A"/>
    <w:rsid w:val="00E13AD1"/>
    <w:rsid w:val="00E13B7F"/>
    <w:rsid w:val="00E13DA0"/>
    <w:rsid w:val="00E1405C"/>
    <w:rsid w:val="00E14061"/>
    <w:rsid w:val="00E1421F"/>
    <w:rsid w:val="00E14283"/>
    <w:rsid w:val="00E14306"/>
    <w:rsid w:val="00E14459"/>
    <w:rsid w:val="00E1448C"/>
    <w:rsid w:val="00E146B5"/>
    <w:rsid w:val="00E14874"/>
    <w:rsid w:val="00E14E50"/>
    <w:rsid w:val="00E14EFA"/>
    <w:rsid w:val="00E14F52"/>
    <w:rsid w:val="00E15070"/>
    <w:rsid w:val="00E150E1"/>
    <w:rsid w:val="00E152C3"/>
    <w:rsid w:val="00E1554E"/>
    <w:rsid w:val="00E1559E"/>
    <w:rsid w:val="00E15C44"/>
    <w:rsid w:val="00E15DA9"/>
    <w:rsid w:val="00E1664D"/>
    <w:rsid w:val="00E16835"/>
    <w:rsid w:val="00E16C1E"/>
    <w:rsid w:val="00E16D08"/>
    <w:rsid w:val="00E16DAC"/>
    <w:rsid w:val="00E170C1"/>
    <w:rsid w:val="00E171D6"/>
    <w:rsid w:val="00E172D7"/>
    <w:rsid w:val="00E17427"/>
    <w:rsid w:val="00E174AD"/>
    <w:rsid w:val="00E1778F"/>
    <w:rsid w:val="00E17A3F"/>
    <w:rsid w:val="00E17BEC"/>
    <w:rsid w:val="00E17E28"/>
    <w:rsid w:val="00E17FA5"/>
    <w:rsid w:val="00E17FCE"/>
    <w:rsid w:val="00E204CA"/>
    <w:rsid w:val="00E208E5"/>
    <w:rsid w:val="00E20932"/>
    <w:rsid w:val="00E2095D"/>
    <w:rsid w:val="00E20B12"/>
    <w:rsid w:val="00E20B7F"/>
    <w:rsid w:val="00E20CC4"/>
    <w:rsid w:val="00E20E0F"/>
    <w:rsid w:val="00E21103"/>
    <w:rsid w:val="00E2139E"/>
    <w:rsid w:val="00E2156E"/>
    <w:rsid w:val="00E21A5A"/>
    <w:rsid w:val="00E21BA0"/>
    <w:rsid w:val="00E21F45"/>
    <w:rsid w:val="00E22241"/>
    <w:rsid w:val="00E2234A"/>
    <w:rsid w:val="00E22409"/>
    <w:rsid w:val="00E224CF"/>
    <w:rsid w:val="00E22834"/>
    <w:rsid w:val="00E228A1"/>
    <w:rsid w:val="00E22BDE"/>
    <w:rsid w:val="00E22DE7"/>
    <w:rsid w:val="00E22E3D"/>
    <w:rsid w:val="00E233BD"/>
    <w:rsid w:val="00E235A5"/>
    <w:rsid w:val="00E23603"/>
    <w:rsid w:val="00E23BF2"/>
    <w:rsid w:val="00E23C49"/>
    <w:rsid w:val="00E23CB1"/>
    <w:rsid w:val="00E2430B"/>
    <w:rsid w:val="00E24474"/>
    <w:rsid w:val="00E249B5"/>
    <w:rsid w:val="00E24AB4"/>
    <w:rsid w:val="00E24B6F"/>
    <w:rsid w:val="00E24C79"/>
    <w:rsid w:val="00E252B1"/>
    <w:rsid w:val="00E25861"/>
    <w:rsid w:val="00E25A08"/>
    <w:rsid w:val="00E25E00"/>
    <w:rsid w:val="00E25FFC"/>
    <w:rsid w:val="00E2609B"/>
    <w:rsid w:val="00E260DC"/>
    <w:rsid w:val="00E26488"/>
    <w:rsid w:val="00E264BE"/>
    <w:rsid w:val="00E265CF"/>
    <w:rsid w:val="00E2671F"/>
    <w:rsid w:val="00E267CE"/>
    <w:rsid w:val="00E26B5D"/>
    <w:rsid w:val="00E26B8D"/>
    <w:rsid w:val="00E26D8A"/>
    <w:rsid w:val="00E26F5B"/>
    <w:rsid w:val="00E26FD4"/>
    <w:rsid w:val="00E2728A"/>
    <w:rsid w:val="00E27DBA"/>
    <w:rsid w:val="00E30030"/>
    <w:rsid w:val="00E300C0"/>
    <w:rsid w:val="00E30339"/>
    <w:rsid w:val="00E30414"/>
    <w:rsid w:val="00E304EF"/>
    <w:rsid w:val="00E3058A"/>
    <w:rsid w:val="00E30CAA"/>
    <w:rsid w:val="00E30DD7"/>
    <w:rsid w:val="00E30EA0"/>
    <w:rsid w:val="00E31081"/>
    <w:rsid w:val="00E310FF"/>
    <w:rsid w:val="00E315AD"/>
    <w:rsid w:val="00E31817"/>
    <w:rsid w:val="00E3185D"/>
    <w:rsid w:val="00E31AF3"/>
    <w:rsid w:val="00E31B50"/>
    <w:rsid w:val="00E31B7D"/>
    <w:rsid w:val="00E31B89"/>
    <w:rsid w:val="00E3207A"/>
    <w:rsid w:val="00E32432"/>
    <w:rsid w:val="00E3248D"/>
    <w:rsid w:val="00E326D5"/>
    <w:rsid w:val="00E328CD"/>
    <w:rsid w:val="00E32C03"/>
    <w:rsid w:val="00E32C6D"/>
    <w:rsid w:val="00E33097"/>
    <w:rsid w:val="00E331C8"/>
    <w:rsid w:val="00E33607"/>
    <w:rsid w:val="00E337C0"/>
    <w:rsid w:val="00E33982"/>
    <w:rsid w:val="00E339A7"/>
    <w:rsid w:val="00E33C8D"/>
    <w:rsid w:val="00E33F09"/>
    <w:rsid w:val="00E33F72"/>
    <w:rsid w:val="00E34607"/>
    <w:rsid w:val="00E3468F"/>
    <w:rsid w:val="00E34906"/>
    <w:rsid w:val="00E34B2B"/>
    <w:rsid w:val="00E34BD4"/>
    <w:rsid w:val="00E34F59"/>
    <w:rsid w:val="00E354F3"/>
    <w:rsid w:val="00E35572"/>
    <w:rsid w:val="00E35723"/>
    <w:rsid w:val="00E3579D"/>
    <w:rsid w:val="00E35ABE"/>
    <w:rsid w:val="00E35B76"/>
    <w:rsid w:val="00E35D2F"/>
    <w:rsid w:val="00E35E72"/>
    <w:rsid w:val="00E36362"/>
    <w:rsid w:val="00E364CC"/>
    <w:rsid w:val="00E36A5B"/>
    <w:rsid w:val="00E36E04"/>
    <w:rsid w:val="00E36E33"/>
    <w:rsid w:val="00E374E2"/>
    <w:rsid w:val="00E37CCB"/>
    <w:rsid w:val="00E37D3E"/>
    <w:rsid w:val="00E403CB"/>
    <w:rsid w:val="00E40430"/>
    <w:rsid w:val="00E404C7"/>
    <w:rsid w:val="00E4069A"/>
    <w:rsid w:val="00E40769"/>
    <w:rsid w:val="00E4094F"/>
    <w:rsid w:val="00E409FF"/>
    <w:rsid w:val="00E40B5E"/>
    <w:rsid w:val="00E40B89"/>
    <w:rsid w:val="00E40C6E"/>
    <w:rsid w:val="00E40CF5"/>
    <w:rsid w:val="00E40DDC"/>
    <w:rsid w:val="00E410D4"/>
    <w:rsid w:val="00E4130B"/>
    <w:rsid w:val="00E414AB"/>
    <w:rsid w:val="00E415B2"/>
    <w:rsid w:val="00E415E7"/>
    <w:rsid w:val="00E41716"/>
    <w:rsid w:val="00E4187C"/>
    <w:rsid w:val="00E42106"/>
    <w:rsid w:val="00E42134"/>
    <w:rsid w:val="00E425EA"/>
    <w:rsid w:val="00E42842"/>
    <w:rsid w:val="00E42A4C"/>
    <w:rsid w:val="00E42A4E"/>
    <w:rsid w:val="00E42BE4"/>
    <w:rsid w:val="00E42C90"/>
    <w:rsid w:val="00E42D04"/>
    <w:rsid w:val="00E42D1A"/>
    <w:rsid w:val="00E42D88"/>
    <w:rsid w:val="00E42DA4"/>
    <w:rsid w:val="00E42E8B"/>
    <w:rsid w:val="00E42ECA"/>
    <w:rsid w:val="00E42F13"/>
    <w:rsid w:val="00E42FF8"/>
    <w:rsid w:val="00E432EC"/>
    <w:rsid w:val="00E43809"/>
    <w:rsid w:val="00E43814"/>
    <w:rsid w:val="00E438EA"/>
    <w:rsid w:val="00E439DE"/>
    <w:rsid w:val="00E43E0E"/>
    <w:rsid w:val="00E43F67"/>
    <w:rsid w:val="00E441BB"/>
    <w:rsid w:val="00E442A3"/>
    <w:rsid w:val="00E44448"/>
    <w:rsid w:val="00E4474D"/>
    <w:rsid w:val="00E44967"/>
    <w:rsid w:val="00E449BA"/>
    <w:rsid w:val="00E44A7C"/>
    <w:rsid w:val="00E45146"/>
    <w:rsid w:val="00E45318"/>
    <w:rsid w:val="00E45336"/>
    <w:rsid w:val="00E4554B"/>
    <w:rsid w:val="00E456B2"/>
    <w:rsid w:val="00E456FD"/>
    <w:rsid w:val="00E4571B"/>
    <w:rsid w:val="00E45828"/>
    <w:rsid w:val="00E45C93"/>
    <w:rsid w:val="00E45E1C"/>
    <w:rsid w:val="00E460CF"/>
    <w:rsid w:val="00E462EB"/>
    <w:rsid w:val="00E4632A"/>
    <w:rsid w:val="00E4672A"/>
    <w:rsid w:val="00E46851"/>
    <w:rsid w:val="00E4692F"/>
    <w:rsid w:val="00E46D40"/>
    <w:rsid w:val="00E4714D"/>
    <w:rsid w:val="00E47382"/>
    <w:rsid w:val="00E477C4"/>
    <w:rsid w:val="00E477CC"/>
    <w:rsid w:val="00E47952"/>
    <w:rsid w:val="00E47B47"/>
    <w:rsid w:val="00E47B49"/>
    <w:rsid w:val="00E500F1"/>
    <w:rsid w:val="00E51300"/>
    <w:rsid w:val="00E5136E"/>
    <w:rsid w:val="00E51469"/>
    <w:rsid w:val="00E515A1"/>
    <w:rsid w:val="00E516B9"/>
    <w:rsid w:val="00E517CD"/>
    <w:rsid w:val="00E51B7C"/>
    <w:rsid w:val="00E51BE0"/>
    <w:rsid w:val="00E51D60"/>
    <w:rsid w:val="00E51F3E"/>
    <w:rsid w:val="00E52A21"/>
    <w:rsid w:val="00E52B2C"/>
    <w:rsid w:val="00E52E36"/>
    <w:rsid w:val="00E53729"/>
    <w:rsid w:val="00E54046"/>
    <w:rsid w:val="00E54646"/>
    <w:rsid w:val="00E549E5"/>
    <w:rsid w:val="00E54A0D"/>
    <w:rsid w:val="00E54A7E"/>
    <w:rsid w:val="00E54CE1"/>
    <w:rsid w:val="00E54DAB"/>
    <w:rsid w:val="00E54F10"/>
    <w:rsid w:val="00E54F32"/>
    <w:rsid w:val="00E54F9C"/>
    <w:rsid w:val="00E54FD8"/>
    <w:rsid w:val="00E5514C"/>
    <w:rsid w:val="00E55250"/>
    <w:rsid w:val="00E552B8"/>
    <w:rsid w:val="00E55481"/>
    <w:rsid w:val="00E55954"/>
    <w:rsid w:val="00E55C12"/>
    <w:rsid w:val="00E55C82"/>
    <w:rsid w:val="00E55CCD"/>
    <w:rsid w:val="00E55E1B"/>
    <w:rsid w:val="00E56078"/>
    <w:rsid w:val="00E560E3"/>
    <w:rsid w:val="00E561E5"/>
    <w:rsid w:val="00E563A3"/>
    <w:rsid w:val="00E56529"/>
    <w:rsid w:val="00E5666A"/>
    <w:rsid w:val="00E5681B"/>
    <w:rsid w:val="00E56A98"/>
    <w:rsid w:val="00E56E86"/>
    <w:rsid w:val="00E5778D"/>
    <w:rsid w:val="00E57CEA"/>
    <w:rsid w:val="00E57E7A"/>
    <w:rsid w:val="00E6002C"/>
    <w:rsid w:val="00E600EA"/>
    <w:rsid w:val="00E602AE"/>
    <w:rsid w:val="00E6037A"/>
    <w:rsid w:val="00E605DD"/>
    <w:rsid w:val="00E60F12"/>
    <w:rsid w:val="00E611D5"/>
    <w:rsid w:val="00E61520"/>
    <w:rsid w:val="00E617EB"/>
    <w:rsid w:val="00E619D3"/>
    <w:rsid w:val="00E61DDF"/>
    <w:rsid w:val="00E62129"/>
    <w:rsid w:val="00E6212E"/>
    <w:rsid w:val="00E627F9"/>
    <w:rsid w:val="00E62850"/>
    <w:rsid w:val="00E628A8"/>
    <w:rsid w:val="00E62F6A"/>
    <w:rsid w:val="00E62FCF"/>
    <w:rsid w:val="00E6359B"/>
    <w:rsid w:val="00E637DF"/>
    <w:rsid w:val="00E63FE6"/>
    <w:rsid w:val="00E64538"/>
    <w:rsid w:val="00E649E8"/>
    <w:rsid w:val="00E64AF1"/>
    <w:rsid w:val="00E64BB7"/>
    <w:rsid w:val="00E64BE5"/>
    <w:rsid w:val="00E652EC"/>
    <w:rsid w:val="00E652FB"/>
    <w:rsid w:val="00E65A32"/>
    <w:rsid w:val="00E65CC6"/>
    <w:rsid w:val="00E660E2"/>
    <w:rsid w:val="00E661BC"/>
    <w:rsid w:val="00E66214"/>
    <w:rsid w:val="00E66219"/>
    <w:rsid w:val="00E662A2"/>
    <w:rsid w:val="00E6653F"/>
    <w:rsid w:val="00E66576"/>
    <w:rsid w:val="00E66668"/>
    <w:rsid w:val="00E666C5"/>
    <w:rsid w:val="00E6676D"/>
    <w:rsid w:val="00E66A1C"/>
    <w:rsid w:val="00E66C10"/>
    <w:rsid w:val="00E66C20"/>
    <w:rsid w:val="00E67522"/>
    <w:rsid w:val="00E675E7"/>
    <w:rsid w:val="00E677C3"/>
    <w:rsid w:val="00E67955"/>
    <w:rsid w:val="00E67E55"/>
    <w:rsid w:val="00E67FA3"/>
    <w:rsid w:val="00E702CB"/>
    <w:rsid w:val="00E70392"/>
    <w:rsid w:val="00E705BC"/>
    <w:rsid w:val="00E707A6"/>
    <w:rsid w:val="00E70AB1"/>
    <w:rsid w:val="00E71258"/>
    <w:rsid w:val="00E718A8"/>
    <w:rsid w:val="00E719B6"/>
    <w:rsid w:val="00E71A5F"/>
    <w:rsid w:val="00E71C2C"/>
    <w:rsid w:val="00E71C46"/>
    <w:rsid w:val="00E71C62"/>
    <w:rsid w:val="00E721D1"/>
    <w:rsid w:val="00E72261"/>
    <w:rsid w:val="00E72824"/>
    <w:rsid w:val="00E7287F"/>
    <w:rsid w:val="00E728D1"/>
    <w:rsid w:val="00E72A57"/>
    <w:rsid w:val="00E72AD6"/>
    <w:rsid w:val="00E72CC0"/>
    <w:rsid w:val="00E72E1F"/>
    <w:rsid w:val="00E72F55"/>
    <w:rsid w:val="00E72F63"/>
    <w:rsid w:val="00E7307A"/>
    <w:rsid w:val="00E731B7"/>
    <w:rsid w:val="00E736EF"/>
    <w:rsid w:val="00E73C63"/>
    <w:rsid w:val="00E73DAE"/>
    <w:rsid w:val="00E73DE7"/>
    <w:rsid w:val="00E73EE8"/>
    <w:rsid w:val="00E740D5"/>
    <w:rsid w:val="00E74259"/>
    <w:rsid w:val="00E7436C"/>
    <w:rsid w:val="00E743C3"/>
    <w:rsid w:val="00E7441E"/>
    <w:rsid w:val="00E74529"/>
    <w:rsid w:val="00E745BD"/>
    <w:rsid w:val="00E74789"/>
    <w:rsid w:val="00E747C5"/>
    <w:rsid w:val="00E74D36"/>
    <w:rsid w:val="00E74EF8"/>
    <w:rsid w:val="00E74F74"/>
    <w:rsid w:val="00E754F7"/>
    <w:rsid w:val="00E7550C"/>
    <w:rsid w:val="00E75546"/>
    <w:rsid w:val="00E759DF"/>
    <w:rsid w:val="00E75AB0"/>
    <w:rsid w:val="00E75D6B"/>
    <w:rsid w:val="00E75ED2"/>
    <w:rsid w:val="00E75F8E"/>
    <w:rsid w:val="00E7605D"/>
    <w:rsid w:val="00E769AA"/>
    <w:rsid w:val="00E76B42"/>
    <w:rsid w:val="00E76D4E"/>
    <w:rsid w:val="00E76D6C"/>
    <w:rsid w:val="00E76DE3"/>
    <w:rsid w:val="00E77086"/>
    <w:rsid w:val="00E7758D"/>
    <w:rsid w:val="00E77712"/>
    <w:rsid w:val="00E77792"/>
    <w:rsid w:val="00E777BF"/>
    <w:rsid w:val="00E77A4F"/>
    <w:rsid w:val="00E77A7F"/>
    <w:rsid w:val="00E77B41"/>
    <w:rsid w:val="00E8001E"/>
    <w:rsid w:val="00E80309"/>
    <w:rsid w:val="00E805FF"/>
    <w:rsid w:val="00E807F5"/>
    <w:rsid w:val="00E80994"/>
    <w:rsid w:val="00E80CB1"/>
    <w:rsid w:val="00E81284"/>
    <w:rsid w:val="00E81554"/>
    <w:rsid w:val="00E8168F"/>
    <w:rsid w:val="00E816A9"/>
    <w:rsid w:val="00E81781"/>
    <w:rsid w:val="00E820C9"/>
    <w:rsid w:val="00E820F0"/>
    <w:rsid w:val="00E8214F"/>
    <w:rsid w:val="00E823CA"/>
    <w:rsid w:val="00E8280C"/>
    <w:rsid w:val="00E82A58"/>
    <w:rsid w:val="00E831AB"/>
    <w:rsid w:val="00E837CB"/>
    <w:rsid w:val="00E839AD"/>
    <w:rsid w:val="00E83C0C"/>
    <w:rsid w:val="00E83D1A"/>
    <w:rsid w:val="00E83D23"/>
    <w:rsid w:val="00E83E4C"/>
    <w:rsid w:val="00E83F7C"/>
    <w:rsid w:val="00E844A9"/>
    <w:rsid w:val="00E844F8"/>
    <w:rsid w:val="00E8487C"/>
    <w:rsid w:val="00E84A6F"/>
    <w:rsid w:val="00E84BD8"/>
    <w:rsid w:val="00E84CCE"/>
    <w:rsid w:val="00E84CD8"/>
    <w:rsid w:val="00E84DBF"/>
    <w:rsid w:val="00E84E25"/>
    <w:rsid w:val="00E84FCD"/>
    <w:rsid w:val="00E8506C"/>
    <w:rsid w:val="00E851B8"/>
    <w:rsid w:val="00E852D8"/>
    <w:rsid w:val="00E85311"/>
    <w:rsid w:val="00E85654"/>
    <w:rsid w:val="00E8612B"/>
    <w:rsid w:val="00E861BD"/>
    <w:rsid w:val="00E8662D"/>
    <w:rsid w:val="00E867FD"/>
    <w:rsid w:val="00E86B5A"/>
    <w:rsid w:val="00E871EE"/>
    <w:rsid w:val="00E877F9"/>
    <w:rsid w:val="00E87A0F"/>
    <w:rsid w:val="00E87E85"/>
    <w:rsid w:val="00E87F65"/>
    <w:rsid w:val="00E90134"/>
    <w:rsid w:val="00E90664"/>
    <w:rsid w:val="00E906FD"/>
    <w:rsid w:val="00E90EC7"/>
    <w:rsid w:val="00E91006"/>
    <w:rsid w:val="00E910EF"/>
    <w:rsid w:val="00E9120C"/>
    <w:rsid w:val="00E91602"/>
    <w:rsid w:val="00E9163E"/>
    <w:rsid w:val="00E91933"/>
    <w:rsid w:val="00E91A10"/>
    <w:rsid w:val="00E91CBD"/>
    <w:rsid w:val="00E91F5C"/>
    <w:rsid w:val="00E92047"/>
    <w:rsid w:val="00E923D5"/>
    <w:rsid w:val="00E92A3D"/>
    <w:rsid w:val="00E92A81"/>
    <w:rsid w:val="00E92D0F"/>
    <w:rsid w:val="00E92DB6"/>
    <w:rsid w:val="00E9316A"/>
    <w:rsid w:val="00E933F3"/>
    <w:rsid w:val="00E936AB"/>
    <w:rsid w:val="00E9399F"/>
    <w:rsid w:val="00E93B1E"/>
    <w:rsid w:val="00E93E7F"/>
    <w:rsid w:val="00E93E8B"/>
    <w:rsid w:val="00E93FE9"/>
    <w:rsid w:val="00E94396"/>
    <w:rsid w:val="00E9442F"/>
    <w:rsid w:val="00E946B6"/>
    <w:rsid w:val="00E9489E"/>
    <w:rsid w:val="00E94A8F"/>
    <w:rsid w:val="00E94ABB"/>
    <w:rsid w:val="00E94FC6"/>
    <w:rsid w:val="00E953BA"/>
    <w:rsid w:val="00E953C9"/>
    <w:rsid w:val="00E95CCA"/>
    <w:rsid w:val="00E95D07"/>
    <w:rsid w:val="00E95D4C"/>
    <w:rsid w:val="00E9604A"/>
    <w:rsid w:val="00E96269"/>
    <w:rsid w:val="00E96475"/>
    <w:rsid w:val="00E964B0"/>
    <w:rsid w:val="00E96902"/>
    <w:rsid w:val="00E969B1"/>
    <w:rsid w:val="00E969F5"/>
    <w:rsid w:val="00E96C30"/>
    <w:rsid w:val="00E96D8C"/>
    <w:rsid w:val="00E974B4"/>
    <w:rsid w:val="00E97521"/>
    <w:rsid w:val="00E97654"/>
    <w:rsid w:val="00E97FBE"/>
    <w:rsid w:val="00EA02A2"/>
    <w:rsid w:val="00EA04D8"/>
    <w:rsid w:val="00EA0D4A"/>
    <w:rsid w:val="00EA10BE"/>
    <w:rsid w:val="00EA12E4"/>
    <w:rsid w:val="00EA1518"/>
    <w:rsid w:val="00EA1660"/>
    <w:rsid w:val="00EA17BB"/>
    <w:rsid w:val="00EA17CB"/>
    <w:rsid w:val="00EA1823"/>
    <w:rsid w:val="00EA1D17"/>
    <w:rsid w:val="00EA1E03"/>
    <w:rsid w:val="00EA1E3E"/>
    <w:rsid w:val="00EA1F97"/>
    <w:rsid w:val="00EA2059"/>
    <w:rsid w:val="00EA27F9"/>
    <w:rsid w:val="00EA2E31"/>
    <w:rsid w:val="00EA2EF1"/>
    <w:rsid w:val="00EA34A4"/>
    <w:rsid w:val="00EA35D2"/>
    <w:rsid w:val="00EA3650"/>
    <w:rsid w:val="00EA366B"/>
    <w:rsid w:val="00EA3863"/>
    <w:rsid w:val="00EA3931"/>
    <w:rsid w:val="00EA40BD"/>
    <w:rsid w:val="00EA45BA"/>
    <w:rsid w:val="00EA4B95"/>
    <w:rsid w:val="00EA4D75"/>
    <w:rsid w:val="00EA530F"/>
    <w:rsid w:val="00EA59B7"/>
    <w:rsid w:val="00EA5C23"/>
    <w:rsid w:val="00EA6138"/>
    <w:rsid w:val="00EA671A"/>
    <w:rsid w:val="00EA6ADF"/>
    <w:rsid w:val="00EA6BEE"/>
    <w:rsid w:val="00EA6C2C"/>
    <w:rsid w:val="00EA70CF"/>
    <w:rsid w:val="00EA7CB0"/>
    <w:rsid w:val="00EA7E10"/>
    <w:rsid w:val="00EB0176"/>
    <w:rsid w:val="00EB0530"/>
    <w:rsid w:val="00EB066B"/>
    <w:rsid w:val="00EB0759"/>
    <w:rsid w:val="00EB0852"/>
    <w:rsid w:val="00EB0A91"/>
    <w:rsid w:val="00EB0BA8"/>
    <w:rsid w:val="00EB1116"/>
    <w:rsid w:val="00EB132E"/>
    <w:rsid w:val="00EB13AB"/>
    <w:rsid w:val="00EB1684"/>
    <w:rsid w:val="00EB17A3"/>
    <w:rsid w:val="00EB193D"/>
    <w:rsid w:val="00EB194C"/>
    <w:rsid w:val="00EB19F9"/>
    <w:rsid w:val="00EB1AB2"/>
    <w:rsid w:val="00EB1ADF"/>
    <w:rsid w:val="00EB1B3A"/>
    <w:rsid w:val="00EB1CE3"/>
    <w:rsid w:val="00EB1DA3"/>
    <w:rsid w:val="00EB1DBF"/>
    <w:rsid w:val="00EB1E97"/>
    <w:rsid w:val="00EB1FE0"/>
    <w:rsid w:val="00EB2062"/>
    <w:rsid w:val="00EB26B9"/>
    <w:rsid w:val="00EB2749"/>
    <w:rsid w:val="00EB2A09"/>
    <w:rsid w:val="00EB2B16"/>
    <w:rsid w:val="00EB2C8F"/>
    <w:rsid w:val="00EB2CA6"/>
    <w:rsid w:val="00EB2E19"/>
    <w:rsid w:val="00EB300B"/>
    <w:rsid w:val="00EB316A"/>
    <w:rsid w:val="00EB3476"/>
    <w:rsid w:val="00EB3610"/>
    <w:rsid w:val="00EB3688"/>
    <w:rsid w:val="00EB382A"/>
    <w:rsid w:val="00EB386D"/>
    <w:rsid w:val="00EB3937"/>
    <w:rsid w:val="00EB3B0C"/>
    <w:rsid w:val="00EB3E2A"/>
    <w:rsid w:val="00EB4162"/>
    <w:rsid w:val="00EB4365"/>
    <w:rsid w:val="00EB445A"/>
    <w:rsid w:val="00EB44B9"/>
    <w:rsid w:val="00EB4815"/>
    <w:rsid w:val="00EB497F"/>
    <w:rsid w:val="00EB4BB0"/>
    <w:rsid w:val="00EB4D6A"/>
    <w:rsid w:val="00EB4E47"/>
    <w:rsid w:val="00EB4F6B"/>
    <w:rsid w:val="00EB51DA"/>
    <w:rsid w:val="00EB5213"/>
    <w:rsid w:val="00EB52B2"/>
    <w:rsid w:val="00EB54B9"/>
    <w:rsid w:val="00EB56E1"/>
    <w:rsid w:val="00EB5714"/>
    <w:rsid w:val="00EB57C1"/>
    <w:rsid w:val="00EB5ABA"/>
    <w:rsid w:val="00EB5BD8"/>
    <w:rsid w:val="00EB5C4B"/>
    <w:rsid w:val="00EB5D03"/>
    <w:rsid w:val="00EB5F51"/>
    <w:rsid w:val="00EB5FD0"/>
    <w:rsid w:val="00EB6552"/>
    <w:rsid w:val="00EB67A5"/>
    <w:rsid w:val="00EB67EF"/>
    <w:rsid w:val="00EB6902"/>
    <w:rsid w:val="00EB6933"/>
    <w:rsid w:val="00EB6A24"/>
    <w:rsid w:val="00EB6A72"/>
    <w:rsid w:val="00EB6D48"/>
    <w:rsid w:val="00EB726B"/>
    <w:rsid w:val="00EB7433"/>
    <w:rsid w:val="00EB7BEF"/>
    <w:rsid w:val="00EB7DBA"/>
    <w:rsid w:val="00EB7F6B"/>
    <w:rsid w:val="00EC0353"/>
    <w:rsid w:val="00EC037D"/>
    <w:rsid w:val="00EC0647"/>
    <w:rsid w:val="00EC0855"/>
    <w:rsid w:val="00EC0952"/>
    <w:rsid w:val="00EC0A8D"/>
    <w:rsid w:val="00EC0D0B"/>
    <w:rsid w:val="00EC1066"/>
    <w:rsid w:val="00EC1238"/>
    <w:rsid w:val="00EC1436"/>
    <w:rsid w:val="00EC15AE"/>
    <w:rsid w:val="00EC162D"/>
    <w:rsid w:val="00EC16F6"/>
    <w:rsid w:val="00EC18E6"/>
    <w:rsid w:val="00EC1984"/>
    <w:rsid w:val="00EC1D56"/>
    <w:rsid w:val="00EC2019"/>
    <w:rsid w:val="00EC213F"/>
    <w:rsid w:val="00EC21F1"/>
    <w:rsid w:val="00EC234C"/>
    <w:rsid w:val="00EC2729"/>
    <w:rsid w:val="00EC2794"/>
    <w:rsid w:val="00EC2AE9"/>
    <w:rsid w:val="00EC2C15"/>
    <w:rsid w:val="00EC3215"/>
    <w:rsid w:val="00EC3F0D"/>
    <w:rsid w:val="00EC3F9B"/>
    <w:rsid w:val="00EC4384"/>
    <w:rsid w:val="00EC44CC"/>
    <w:rsid w:val="00EC4680"/>
    <w:rsid w:val="00EC477D"/>
    <w:rsid w:val="00EC48B7"/>
    <w:rsid w:val="00EC4A4C"/>
    <w:rsid w:val="00EC50F7"/>
    <w:rsid w:val="00EC5117"/>
    <w:rsid w:val="00EC52EE"/>
    <w:rsid w:val="00EC5448"/>
    <w:rsid w:val="00EC557B"/>
    <w:rsid w:val="00EC560B"/>
    <w:rsid w:val="00EC5EE8"/>
    <w:rsid w:val="00EC62BA"/>
    <w:rsid w:val="00EC671C"/>
    <w:rsid w:val="00EC6B19"/>
    <w:rsid w:val="00EC6CDD"/>
    <w:rsid w:val="00EC6DDD"/>
    <w:rsid w:val="00EC6FBA"/>
    <w:rsid w:val="00EC6FC1"/>
    <w:rsid w:val="00EC703E"/>
    <w:rsid w:val="00EC70C1"/>
    <w:rsid w:val="00EC7180"/>
    <w:rsid w:val="00EC7228"/>
    <w:rsid w:val="00EC732F"/>
    <w:rsid w:val="00EC745B"/>
    <w:rsid w:val="00EC7732"/>
    <w:rsid w:val="00EC79CF"/>
    <w:rsid w:val="00EC7A09"/>
    <w:rsid w:val="00EC7D0C"/>
    <w:rsid w:val="00ED02A4"/>
    <w:rsid w:val="00ED0AA3"/>
    <w:rsid w:val="00ED0BCF"/>
    <w:rsid w:val="00ED113E"/>
    <w:rsid w:val="00ED11C9"/>
    <w:rsid w:val="00ED1471"/>
    <w:rsid w:val="00ED1547"/>
    <w:rsid w:val="00ED18F5"/>
    <w:rsid w:val="00ED1D7D"/>
    <w:rsid w:val="00ED1EA9"/>
    <w:rsid w:val="00ED20FD"/>
    <w:rsid w:val="00ED222F"/>
    <w:rsid w:val="00ED238F"/>
    <w:rsid w:val="00ED2484"/>
    <w:rsid w:val="00ED265F"/>
    <w:rsid w:val="00ED26AB"/>
    <w:rsid w:val="00ED2807"/>
    <w:rsid w:val="00ED3529"/>
    <w:rsid w:val="00ED3550"/>
    <w:rsid w:val="00ED3737"/>
    <w:rsid w:val="00ED3794"/>
    <w:rsid w:val="00ED3A99"/>
    <w:rsid w:val="00ED3BEB"/>
    <w:rsid w:val="00ED3E83"/>
    <w:rsid w:val="00ED3FE2"/>
    <w:rsid w:val="00ED4045"/>
    <w:rsid w:val="00ED4075"/>
    <w:rsid w:val="00ED4144"/>
    <w:rsid w:val="00ED4362"/>
    <w:rsid w:val="00ED4650"/>
    <w:rsid w:val="00ED47A2"/>
    <w:rsid w:val="00ED48FC"/>
    <w:rsid w:val="00ED4AE3"/>
    <w:rsid w:val="00ED4B4B"/>
    <w:rsid w:val="00ED4BF7"/>
    <w:rsid w:val="00ED4D17"/>
    <w:rsid w:val="00ED517A"/>
    <w:rsid w:val="00ED527B"/>
    <w:rsid w:val="00ED5407"/>
    <w:rsid w:val="00ED564B"/>
    <w:rsid w:val="00ED5764"/>
    <w:rsid w:val="00ED59BF"/>
    <w:rsid w:val="00ED5E67"/>
    <w:rsid w:val="00ED5EA4"/>
    <w:rsid w:val="00ED60A5"/>
    <w:rsid w:val="00ED620A"/>
    <w:rsid w:val="00ED623C"/>
    <w:rsid w:val="00ED697E"/>
    <w:rsid w:val="00ED6FE2"/>
    <w:rsid w:val="00ED703D"/>
    <w:rsid w:val="00ED714E"/>
    <w:rsid w:val="00ED7233"/>
    <w:rsid w:val="00ED749B"/>
    <w:rsid w:val="00ED7539"/>
    <w:rsid w:val="00ED7615"/>
    <w:rsid w:val="00ED7839"/>
    <w:rsid w:val="00ED7B67"/>
    <w:rsid w:val="00ED7DB1"/>
    <w:rsid w:val="00EE00C4"/>
    <w:rsid w:val="00EE01F8"/>
    <w:rsid w:val="00EE0465"/>
    <w:rsid w:val="00EE0816"/>
    <w:rsid w:val="00EE0847"/>
    <w:rsid w:val="00EE0999"/>
    <w:rsid w:val="00EE0BAB"/>
    <w:rsid w:val="00EE0C81"/>
    <w:rsid w:val="00EE0E72"/>
    <w:rsid w:val="00EE0ED9"/>
    <w:rsid w:val="00EE0F78"/>
    <w:rsid w:val="00EE11B3"/>
    <w:rsid w:val="00EE1642"/>
    <w:rsid w:val="00EE1AEB"/>
    <w:rsid w:val="00EE1B14"/>
    <w:rsid w:val="00EE1D8C"/>
    <w:rsid w:val="00EE1EAA"/>
    <w:rsid w:val="00EE206E"/>
    <w:rsid w:val="00EE2151"/>
    <w:rsid w:val="00EE2B53"/>
    <w:rsid w:val="00EE3072"/>
    <w:rsid w:val="00EE379A"/>
    <w:rsid w:val="00EE3CC8"/>
    <w:rsid w:val="00EE3E06"/>
    <w:rsid w:val="00EE3E10"/>
    <w:rsid w:val="00EE3E29"/>
    <w:rsid w:val="00EE3E2D"/>
    <w:rsid w:val="00EE428C"/>
    <w:rsid w:val="00EE47D5"/>
    <w:rsid w:val="00EE497F"/>
    <w:rsid w:val="00EE4BC1"/>
    <w:rsid w:val="00EE4BF6"/>
    <w:rsid w:val="00EE4D01"/>
    <w:rsid w:val="00EE500B"/>
    <w:rsid w:val="00EE5175"/>
    <w:rsid w:val="00EE528C"/>
    <w:rsid w:val="00EE52AC"/>
    <w:rsid w:val="00EE5BF2"/>
    <w:rsid w:val="00EE5D82"/>
    <w:rsid w:val="00EE5E2A"/>
    <w:rsid w:val="00EE66BA"/>
    <w:rsid w:val="00EE66ED"/>
    <w:rsid w:val="00EE67FE"/>
    <w:rsid w:val="00EE6B9E"/>
    <w:rsid w:val="00EE6CD3"/>
    <w:rsid w:val="00EE6D95"/>
    <w:rsid w:val="00EE6E96"/>
    <w:rsid w:val="00EE71E2"/>
    <w:rsid w:val="00EE780F"/>
    <w:rsid w:val="00EE7BB0"/>
    <w:rsid w:val="00EE7D64"/>
    <w:rsid w:val="00EF0537"/>
    <w:rsid w:val="00EF0557"/>
    <w:rsid w:val="00EF06B6"/>
    <w:rsid w:val="00EF0A86"/>
    <w:rsid w:val="00EF0E42"/>
    <w:rsid w:val="00EF117E"/>
    <w:rsid w:val="00EF1239"/>
    <w:rsid w:val="00EF1A8B"/>
    <w:rsid w:val="00EF1D8E"/>
    <w:rsid w:val="00EF200A"/>
    <w:rsid w:val="00EF20D7"/>
    <w:rsid w:val="00EF2281"/>
    <w:rsid w:val="00EF2505"/>
    <w:rsid w:val="00EF265F"/>
    <w:rsid w:val="00EF2AC5"/>
    <w:rsid w:val="00EF2BD2"/>
    <w:rsid w:val="00EF3419"/>
    <w:rsid w:val="00EF3629"/>
    <w:rsid w:val="00EF38CF"/>
    <w:rsid w:val="00EF41D6"/>
    <w:rsid w:val="00EF41DC"/>
    <w:rsid w:val="00EF4536"/>
    <w:rsid w:val="00EF497E"/>
    <w:rsid w:val="00EF49DA"/>
    <w:rsid w:val="00EF4D4D"/>
    <w:rsid w:val="00EF512E"/>
    <w:rsid w:val="00EF5218"/>
    <w:rsid w:val="00EF5379"/>
    <w:rsid w:val="00EF540F"/>
    <w:rsid w:val="00EF54F6"/>
    <w:rsid w:val="00EF55C0"/>
    <w:rsid w:val="00EF55E1"/>
    <w:rsid w:val="00EF57F0"/>
    <w:rsid w:val="00EF5AD7"/>
    <w:rsid w:val="00EF5B15"/>
    <w:rsid w:val="00EF5D88"/>
    <w:rsid w:val="00EF61A5"/>
    <w:rsid w:val="00EF6232"/>
    <w:rsid w:val="00EF6556"/>
    <w:rsid w:val="00EF6592"/>
    <w:rsid w:val="00EF6632"/>
    <w:rsid w:val="00EF6B73"/>
    <w:rsid w:val="00EF6C8C"/>
    <w:rsid w:val="00EF6CE4"/>
    <w:rsid w:val="00EF7341"/>
    <w:rsid w:val="00EF75F8"/>
    <w:rsid w:val="00EF76A6"/>
    <w:rsid w:val="00EF76EE"/>
    <w:rsid w:val="00EF7864"/>
    <w:rsid w:val="00F00696"/>
    <w:rsid w:val="00F00822"/>
    <w:rsid w:val="00F0083B"/>
    <w:rsid w:val="00F00B24"/>
    <w:rsid w:val="00F00D10"/>
    <w:rsid w:val="00F00DD8"/>
    <w:rsid w:val="00F0119C"/>
    <w:rsid w:val="00F012F8"/>
    <w:rsid w:val="00F013F2"/>
    <w:rsid w:val="00F01501"/>
    <w:rsid w:val="00F01675"/>
    <w:rsid w:val="00F0172C"/>
    <w:rsid w:val="00F01759"/>
    <w:rsid w:val="00F01870"/>
    <w:rsid w:val="00F01884"/>
    <w:rsid w:val="00F01887"/>
    <w:rsid w:val="00F018B2"/>
    <w:rsid w:val="00F01A41"/>
    <w:rsid w:val="00F01AAA"/>
    <w:rsid w:val="00F01DDB"/>
    <w:rsid w:val="00F0237C"/>
    <w:rsid w:val="00F02472"/>
    <w:rsid w:val="00F02815"/>
    <w:rsid w:val="00F02A21"/>
    <w:rsid w:val="00F02BDB"/>
    <w:rsid w:val="00F02D4F"/>
    <w:rsid w:val="00F0333A"/>
    <w:rsid w:val="00F033B9"/>
    <w:rsid w:val="00F036B0"/>
    <w:rsid w:val="00F037D9"/>
    <w:rsid w:val="00F03B74"/>
    <w:rsid w:val="00F03B78"/>
    <w:rsid w:val="00F03C0F"/>
    <w:rsid w:val="00F03D93"/>
    <w:rsid w:val="00F03F86"/>
    <w:rsid w:val="00F03F8F"/>
    <w:rsid w:val="00F04031"/>
    <w:rsid w:val="00F040BF"/>
    <w:rsid w:val="00F0440A"/>
    <w:rsid w:val="00F04411"/>
    <w:rsid w:val="00F0441B"/>
    <w:rsid w:val="00F045C1"/>
    <w:rsid w:val="00F0468A"/>
    <w:rsid w:val="00F04950"/>
    <w:rsid w:val="00F04ACF"/>
    <w:rsid w:val="00F04BEB"/>
    <w:rsid w:val="00F04D79"/>
    <w:rsid w:val="00F0517B"/>
    <w:rsid w:val="00F05A06"/>
    <w:rsid w:val="00F05FF9"/>
    <w:rsid w:val="00F0606C"/>
    <w:rsid w:val="00F0618B"/>
    <w:rsid w:val="00F06299"/>
    <w:rsid w:val="00F062CC"/>
    <w:rsid w:val="00F067E5"/>
    <w:rsid w:val="00F0691E"/>
    <w:rsid w:val="00F06C0F"/>
    <w:rsid w:val="00F06CBD"/>
    <w:rsid w:val="00F06E38"/>
    <w:rsid w:val="00F070E5"/>
    <w:rsid w:val="00F071C6"/>
    <w:rsid w:val="00F07232"/>
    <w:rsid w:val="00F07473"/>
    <w:rsid w:val="00F07623"/>
    <w:rsid w:val="00F07A58"/>
    <w:rsid w:val="00F07ACA"/>
    <w:rsid w:val="00F07C16"/>
    <w:rsid w:val="00F07C97"/>
    <w:rsid w:val="00F07CAA"/>
    <w:rsid w:val="00F07D0B"/>
    <w:rsid w:val="00F07F8B"/>
    <w:rsid w:val="00F10108"/>
    <w:rsid w:val="00F1016F"/>
    <w:rsid w:val="00F10335"/>
    <w:rsid w:val="00F1051A"/>
    <w:rsid w:val="00F10833"/>
    <w:rsid w:val="00F1085F"/>
    <w:rsid w:val="00F10ADA"/>
    <w:rsid w:val="00F10D65"/>
    <w:rsid w:val="00F10E15"/>
    <w:rsid w:val="00F10F96"/>
    <w:rsid w:val="00F1108E"/>
    <w:rsid w:val="00F11227"/>
    <w:rsid w:val="00F11629"/>
    <w:rsid w:val="00F117BA"/>
    <w:rsid w:val="00F118D6"/>
    <w:rsid w:val="00F1207A"/>
    <w:rsid w:val="00F12967"/>
    <w:rsid w:val="00F12B44"/>
    <w:rsid w:val="00F12D81"/>
    <w:rsid w:val="00F12FFF"/>
    <w:rsid w:val="00F13014"/>
    <w:rsid w:val="00F1302A"/>
    <w:rsid w:val="00F13050"/>
    <w:rsid w:val="00F130FA"/>
    <w:rsid w:val="00F13478"/>
    <w:rsid w:val="00F138A4"/>
    <w:rsid w:val="00F13F21"/>
    <w:rsid w:val="00F140FE"/>
    <w:rsid w:val="00F14120"/>
    <w:rsid w:val="00F141A2"/>
    <w:rsid w:val="00F141AE"/>
    <w:rsid w:val="00F14247"/>
    <w:rsid w:val="00F14256"/>
    <w:rsid w:val="00F142B4"/>
    <w:rsid w:val="00F149E1"/>
    <w:rsid w:val="00F14AF2"/>
    <w:rsid w:val="00F14DEF"/>
    <w:rsid w:val="00F14F08"/>
    <w:rsid w:val="00F152A8"/>
    <w:rsid w:val="00F15341"/>
    <w:rsid w:val="00F15471"/>
    <w:rsid w:val="00F15688"/>
    <w:rsid w:val="00F158BD"/>
    <w:rsid w:val="00F15A5C"/>
    <w:rsid w:val="00F15CBE"/>
    <w:rsid w:val="00F15D06"/>
    <w:rsid w:val="00F15EF5"/>
    <w:rsid w:val="00F160E0"/>
    <w:rsid w:val="00F161D2"/>
    <w:rsid w:val="00F1648E"/>
    <w:rsid w:val="00F1657C"/>
    <w:rsid w:val="00F16CDB"/>
    <w:rsid w:val="00F16E85"/>
    <w:rsid w:val="00F16E9E"/>
    <w:rsid w:val="00F172D6"/>
    <w:rsid w:val="00F1731C"/>
    <w:rsid w:val="00F17430"/>
    <w:rsid w:val="00F176B4"/>
    <w:rsid w:val="00F17A6F"/>
    <w:rsid w:val="00F17A8A"/>
    <w:rsid w:val="00F17CF4"/>
    <w:rsid w:val="00F17DFD"/>
    <w:rsid w:val="00F2022E"/>
    <w:rsid w:val="00F202AE"/>
    <w:rsid w:val="00F2073E"/>
    <w:rsid w:val="00F20C0B"/>
    <w:rsid w:val="00F21528"/>
    <w:rsid w:val="00F2180A"/>
    <w:rsid w:val="00F219DC"/>
    <w:rsid w:val="00F21C67"/>
    <w:rsid w:val="00F21E52"/>
    <w:rsid w:val="00F2250B"/>
    <w:rsid w:val="00F22B9F"/>
    <w:rsid w:val="00F22CEB"/>
    <w:rsid w:val="00F230E1"/>
    <w:rsid w:val="00F23AA1"/>
    <w:rsid w:val="00F23EBB"/>
    <w:rsid w:val="00F2435B"/>
    <w:rsid w:val="00F24421"/>
    <w:rsid w:val="00F2452A"/>
    <w:rsid w:val="00F24786"/>
    <w:rsid w:val="00F24914"/>
    <w:rsid w:val="00F24C01"/>
    <w:rsid w:val="00F24DE5"/>
    <w:rsid w:val="00F24E1D"/>
    <w:rsid w:val="00F24F0D"/>
    <w:rsid w:val="00F24FCB"/>
    <w:rsid w:val="00F251B8"/>
    <w:rsid w:val="00F2544E"/>
    <w:rsid w:val="00F257DD"/>
    <w:rsid w:val="00F2599E"/>
    <w:rsid w:val="00F25D67"/>
    <w:rsid w:val="00F25DE2"/>
    <w:rsid w:val="00F25FC5"/>
    <w:rsid w:val="00F26503"/>
    <w:rsid w:val="00F266C4"/>
    <w:rsid w:val="00F26712"/>
    <w:rsid w:val="00F26B02"/>
    <w:rsid w:val="00F26E45"/>
    <w:rsid w:val="00F27257"/>
    <w:rsid w:val="00F2739A"/>
    <w:rsid w:val="00F27742"/>
    <w:rsid w:val="00F277B8"/>
    <w:rsid w:val="00F277FA"/>
    <w:rsid w:val="00F2787B"/>
    <w:rsid w:val="00F27FA2"/>
    <w:rsid w:val="00F30138"/>
    <w:rsid w:val="00F306AF"/>
    <w:rsid w:val="00F307B9"/>
    <w:rsid w:val="00F30A79"/>
    <w:rsid w:val="00F30A7E"/>
    <w:rsid w:val="00F30BE9"/>
    <w:rsid w:val="00F30E54"/>
    <w:rsid w:val="00F30EA5"/>
    <w:rsid w:val="00F30FC9"/>
    <w:rsid w:val="00F31185"/>
    <w:rsid w:val="00F31218"/>
    <w:rsid w:val="00F3136B"/>
    <w:rsid w:val="00F314F1"/>
    <w:rsid w:val="00F3156E"/>
    <w:rsid w:val="00F319A2"/>
    <w:rsid w:val="00F31DA5"/>
    <w:rsid w:val="00F32380"/>
    <w:rsid w:val="00F3240F"/>
    <w:rsid w:val="00F324A8"/>
    <w:rsid w:val="00F32580"/>
    <w:rsid w:val="00F32731"/>
    <w:rsid w:val="00F327A1"/>
    <w:rsid w:val="00F327EA"/>
    <w:rsid w:val="00F33544"/>
    <w:rsid w:val="00F33641"/>
    <w:rsid w:val="00F339D0"/>
    <w:rsid w:val="00F33AD7"/>
    <w:rsid w:val="00F33D5B"/>
    <w:rsid w:val="00F33E3A"/>
    <w:rsid w:val="00F343AE"/>
    <w:rsid w:val="00F34A30"/>
    <w:rsid w:val="00F34A88"/>
    <w:rsid w:val="00F34AB7"/>
    <w:rsid w:val="00F34B98"/>
    <w:rsid w:val="00F34BF6"/>
    <w:rsid w:val="00F34F58"/>
    <w:rsid w:val="00F357E0"/>
    <w:rsid w:val="00F35D4B"/>
    <w:rsid w:val="00F35D64"/>
    <w:rsid w:val="00F35D7E"/>
    <w:rsid w:val="00F3625F"/>
    <w:rsid w:val="00F362EC"/>
    <w:rsid w:val="00F36665"/>
    <w:rsid w:val="00F3668C"/>
    <w:rsid w:val="00F367FC"/>
    <w:rsid w:val="00F36AF1"/>
    <w:rsid w:val="00F36E56"/>
    <w:rsid w:val="00F36E5C"/>
    <w:rsid w:val="00F3702E"/>
    <w:rsid w:val="00F37986"/>
    <w:rsid w:val="00F37AFF"/>
    <w:rsid w:val="00F40ACB"/>
    <w:rsid w:val="00F40B2C"/>
    <w:rsid w:val="00F40BA0"/>
    <w:rsid w:val="00F40D0C"/>
    <w:rsid w:val="00F413B3"/>
    <w:rsid w:val="00F41573"/>
    <w:rsid w:val="00F41704"/>
    <w:rsid w:val="00F41C4E"/>
    <w:rsid w:val="00F41F6E"/>
    <w:rsid w:val="00F42097"/>
    <w:rsid w:val="00F424C7"/>
    <w:rsid w:val="00F42842"/>
    <w:rsid w:val="00F42AB0"/>
    <w:rsid w:val="00F42D35"/>
    <w:rsid w:val="00F42E84"/>
    <w:rsid w:val="00F43230"/>
    <w:rsid w:val="00F433EB"/>
    <w:rsid w:val="00F4342A"/>
    <w:rsid w:val="00F43589"/>
    <w:rsid w:val="00F436B7"/>
    <w:rsid w:val="00F436ED"/>
    <w:rsid w:val="00F4378B"/>
    <w:rsid w:val="00F437A9"/>
    <w:rsid w:val="00F437AC"/>
    <w:rsid w:val="00F43A1D"/>
    <w:rsid w:val="00F43EE0"/>
    <w:rsid w:val="00F43F9F"/>
    <w:rsid w:val="00F4430E"/>
    <w:rsid w:val="00F444AA"/>
    <w:rsid w:val="00F447FB"/>
    <w:rsid w:val="00F44815"/>
    <w:rsid w:val="00F44A54"/>
    <w:rsid w:val="00F44AD0"/>
    <w:rsid w:val="00F44AD9"/>
    <w:rsid w:val="00F44C48"/>
    <w:rsid w:val="00F44CDE"/>
    <w:rsid w:val="00F44DC1"/>
    <w:rsid w:val="00F44EB2"/>
    <w:rsid w:val="00F45A18"/>
    <w:rsid w:val="00F45A1D"/>
    <w:rsid w:val="00F45C0E"/>
    <w:rsid w:val="00F45C52"/>
    <w:rsid w:val="00F45FCF"/>
    <w:rsid w:val="00F45FF3"/>
    <w:rsid w:val="00F45FFE"/>
    <w:rsid w:val="00F461AE"/>
    <w:rsid w:val="00F462AB"/>
    <w:rsid w:val="00F464F0"/>
    <w:rsid w:val="00F46791"/>
    <w:rsid w:val="00F46C66"/>
    <w:rsid w:val="00F46E40"/>
    <w:rsid w:val="00F46EC2"/>
    <w:rsid w:val="00F46ED4"/>
    <w:rsid w:val="00F46F64"/>
    <w:rsid w:val="00F46F65"/>
    <w:rsid w:val="00F46FBF"/>
    <w:rsid w:val="00F47264"/>
    <w:rsid w:val="00F473CB"/>
    <w:rsid w:val="00F474C4"/>
    <w:rsid w:val="00F4760A"/>
    <w:rsid w:val="00F4769C"/>
    <w:rsid w:val="00F476D7"/>
    <w:rsid w:val="00F47AA2"/>
    <w:rsid w:val="00F47B73"/>
    <w:rsid w:val="00F47E42"/>
    <w:rsid w:val="00F50586"/>
    <w:rsid w:val="00F509AB"/>
    <w:rsid w:val="00F50DBC"/>
    <w:rsid w:val="00F50F8D"/>
    <w:rsid w:val="00F5131C"/>
    <w:rsid w:val="00F51690"/>
    <w:rsid w:val="00F516DB"/>
    <w:rsid w:val="00F51BEA"/>
    <w:rsid w:val="00F51D0E"/>
    <w:rsid w:val="00F51E5E"/>
    <w:rsid w:val="00F51F30"/>
    <w:rsid w:val="00F52026"/>
    <w:rsid w:val="00F529FE"/>
    <w:rsid w:val="00F52B8E"/>
    <w:rsid w:val="00F53192"/>
    <w:rsid w:val="00F5322D"/>
    <w:rsid w:val="00F53410"/>
    <w:rsid w:val="00F53CFD"/>
    <w:rsid w:val="00F53D9A"/>
    <w:rsid w:val="00F53E38"/>
    <w:rsid w:val="00F5416C"/>
    <w:rsid w:val="00F541E0"/>
    <w:rsid w:val="00F5450C"/>
    <w:rsid w:val="00F5460D"/>
    <w:rsid w:val="00F546F8"/>
    <w:rsid w:val="00F54AF5"/>
    <w:rsid w:val="00F54C51"/>
    <w:rsid w:val="00F54DF0"/>
    <w:rsid w:val="00F5524A"/>
    <w:rsid w:val="00F55471"/>
    <w:rsid w:val="00F557E3"/>
    <w:rsid w:val="00F55818"/>
    <w:rsid w:val="00F5581C"/>
    <w:rsid w:val="00F55946"/>
    <w:rsid w:val="00F55B11"/>
    <w:rsid w:val="00F56616"/>
    <w:rsid w:val="00F5681A"/>
    <w:rsid w:val="00F5682B"/>
    <w:rsid w:val="00F568A0"/>
    <w:rsid w:val="00F56994"/>
    <w:rsid w:val="00F56EC2"/>
    <w:rsid w:val="00F57117"/>
    <w:rsid w:val="00F57121"/>
    <w:rsid w:val="00F571D7"/>
    <w:rsid w:val="00F577E4"/>
    <w:rsid w:val="00F579FF"/>
    <w:rsid w:val="00F57BB5"/>
    <w:rsid w:val="00F57C07"/>
    <w:rsid w:val="00F57C2A"/>
    <w:rsid w:val="00F60129"/>
    <w:rsid w:val="00F603FC"/>
    <w:rsid w:val="00F60A47"/>
    <w:rsid w:val="00F60C07"/>
    <w:rsid w:val="00F60C45"/>
    <w:rsid w:val="00F611C2"/>
    <w:rsid w:val="00F612AD"/>
    <w:rsid w:val="00F612BC"/>
    <w:rsid w:val="00F618D8"/>
    <w:rsid w:val="00F61A60"/>
    <w:rsid w:val="00F61C20"/>
    <w:rsid w:val="00F61E2A"/>
    <w:rsid w:val="00F61E78"/>
    <w:rsid w:val="00F61E9E"/>
    <w:rsid w:val="00F61F19"/>
    <w:rsid w:val="00F620E3"/>
    <w:rsid w:val="00F62242"/>
    <w:rsid w:val="00F62353"/>
    <w:rsid w:val="00F62504"/>
    <w:rsid w:val="00F627B2"/>
    <w:rsid w:val="00F62F6D"/>
    <w:rsid w:val="00F63115"/>
    <w:rsid w:val="00F632A7"/>
    <w:rsid w:val="00F633A2"/>
    <w:rsid w:val="00F635C5"/>
    <w:rsid w:val="00F63B20"/>
    <w:rsid w:val="00F63B81"/>
    <w:rsid w:val="00F6405A"/>
    <w:rsid w:val="00F640F8"/>
    <w:rsid w:val="00F6424A"/>
    <w:rsid w:val="00F64456"/>
    <w:rsid w:val="00F64892"/>
    <w:rsid w:val="00F648B1"/>
    <w:rsid w:val="00F64ED7"/>
    <w:rsid w:val="00F64FC4"/>
    <w:rsid w:val="00F650BD"/>
    <w:rsid w:val="00F6525A"/>
    <w:rsid w:val="00F658CF"/>
    <w:rsid w:val="00F6596D"/>
    <w:rsid w:val="00F65A08"/>
    <w:rsid w:val="00F6697B"/>
    <w:rsid w:val="00F669E2"/>
    <w:rsid w:val="00F66DD7"/>
    <w:rsid w:val="00F66E83"/>
    <w:rsid w:val="00F66F57"/>
    <w:rsid w:val="00F67249"/>
    <w:rsid w:val="00F6725C"/>
    <w:rsid w:val="00F67713"/>
    <w:rsid w:val="00F6772E"/>
    <w:rsid w:val="00F677A3"/>
    <w:rsid w:val="00F677C6"/>
    <w:rsid w:val="00F67B4E"/>
    <w:rsid w:val="00F67D25"/>
    <w:rsid w:val="00F70009"/>
    <w:rsid w:val="00F70117"/>
    <w:rsid w:val="00F70301"/>
    <w:rsid w:val="00F70621"/>
    <w:rsid w:val="00F706F1"/>
    <w:rsid w:val="00F70E00"/>
    <w:rsid w:val="00F71132"/>
    <w:rsid w:val="00F712A5"/>
    <w:rsid w:val="00F713AB"/>
    <w:rsid w:val="00F71659"/>
    <w:rsid w:val="00F71ACB"/>
    <w:rsid w:val="00F71E99"/>
    <w:rsid w:val="00F72081"/>
    <w:rsid w:val="00F7241A"/>
    <w:rsid w:val="00F7245A"/>
    <w:rsid w:val="00F726CB"/>
    <w:rsid w:val="00F72923"/>
    <w:rsid w:val="00F736E3"/>
    <w:rsid w:val="00F73BFD"/>
    <w:rsid w:val="00F73E82"/>
    <w:rsid w:val="00F73F37"/>
    <w:rsid w:val="00F7440C"/>
    <w:rsid w:val="00F748A4"/>
    <w:rsid w:val="00F74962"/>
    <w:rsid w:val="00F74966"/>
    <w:rsid w:val="00F74A3B"/>
    <w:rsid w:val="00F74A75"/>
    <w:rsid w:val="00F74BDE"/>
    <w:rsid w:val="00F75177"/>
    <w:rsid w:val="00F7527E"/>
    <w:rsid w:val="00F7535A"/>
    <w:rsid w:val="00F75541"/>
    <w:rsid w:val="00F7557F"/>
    <w:rsid w:val="00F755C8"/>
    <w:rsid w:val="00F75A1A"/>
    <w:rsid w:val="00F75AA7"/>
    <w:rsid w:val="00F75CCD"/>
    <w:rsid w:val="00F75D98"/>
    <w:rsid w:val="00F75F1A"/>
    <w:rsid w:val="00F75F30"/>
    <w:rsid w:val="00F75F82"/>
    <w:rsid w:val="00F764D8"/>
    <w:rsid w:val="00F767E8"/>
    <w:rsid w:val="00F76933"/>
    <w:rsid w:val="00F76967"/>
    <w:rsid w:val="00F76B03"/>
    <w:rsid w:val="00F76C4D"/>
    <w:rsid w:val="00F76DE9"/>
    <w:rsid w:val="00F76FCB"/>
    <w:rsid w:val="00F770FA"/>
    <w:rsid w:val="00F772AD"/>
    <w:rsid w:val="00F7738B"/>
    <w:rsid w:val="00F77D63"/>
    <w:rsid w:val="00F80281"/>
    <w:rsid w:val="00F804BB"/>
    <w:rsid w:val="00F804CC"/>
    <w:rsid w:val="00F805C3"/>
    <w:rsid w:val="00F807FF"/>
    <w:rsid w:val="00F80A55"/>
    <w:rsid w:val="00F80AB3"/>
    <w:rsid w:val="00F80B26"/>
    <w:rsid w:val="00F80C06"/>
    <w:rsid w:val="00F80C87"/>
    <w:rsid w:val="00F80D15"/>
    <w:rsid w:val="00F80F9A"/>
    <w:rsid w:val="00F81034"/>
    <w:rsid w:val="00F810CA"/>
    <w:rsid w:val="00F811BB"/>
    <w:rsid w:val="00F811CA"/>
    <w:rsid w:val="00F8131E"/>
    <w:rsid w:val="00F813E4"/>
    <w:rsid w:val="00F8147D"/>
    <w:rsid w:val="00F81818"/>
    <w:rsid w:val="00F8196D"/>
    <w:rsid w:val="00F81A0D"/>
    <w:rsid w:val="00F82122"/>
    <w:rsid w:val="00F8285A"/>
    <w:rsid w:val="00F82B45"/>
    <w:rsid w:val="00F82CC5"/>
    <w:rsid w:val="00F82F9E"/>
    <w:rsid w:val="00F8338E"/>
    <w:rsid w:val="00F835BC"/>
    <w:rsid w:val="00F83748"/>
    <w:rsid w:val="00F839A7"/>
    <w:rsid w:val="00F83B7F"/>
    <w:rsid w:val="00F840E8"/>
    <w:rsid w:val="00F840E9"/>
    <w:rsid w:val="00F8443A"/>
    <w:rsid w:val="00F845D3"/>
    <w:rsid w:val="00F84EFB"/>
    <w:rsid w:val="00F85598"/>
    <w:rsid w:val="00F8564D"/>
    <w:rsid w:val="00F8594F"/>
    <w:rsid w:val="00F85B35"/>
    <w:rsid w:val="00F85DA5"/>
    <w:rsid w:val="00F85E9D"/>
    <w:rsid w:val="00F85E9F"/>
    <w:rsid w:val="00F85FD6"/>
    <w:rsid w:val="00F8616E"/>
    <w:rsid w:val="00F862CD"/>
    <w:rsid w:val="00F86325"/>
    <w:rsid w:val="00F86A3F"/>
    <w:rsid w:val="00F86BCC"/>
    <w:rsid w:val="00F86DAC"/>
    <w:rsid w:val="00F8778E"/>
    <w:rsid w:val="00F878E8"/>
    <w:rsid w:val="00F901B1"/>
    <w:rsid w:val="00F904E5"/>
    <w:rsid w:val="00F90586"/>
    <w:rsid w:val="00F90649"/>
    <w:rsid w:val="00F90722"/>
    <w:rsid w:val="00F90DEC"/>
    <w:rsid w:val="00F91297"/>
    <w:rsid w:val="00F91339"/>
    <w:rsid w:val="00F9133B"/>
    <w:rsid w:val="00F91BC2"/>
    <w:rsid w:val="00F921F3"/>
    <w:rsid w:val="00F9225C"/>
    <w:rsid w:val="00F922C5"/>
    <w:rsid w:val="00F922C9"/>
    <w:rsid w:val="00F925BE"/>
    <w:rsid w:val="00F92951"/>
    <w:rsid w:val="00F92A34"/>
    <w:rsid w:val="00F92BF4"/>
    <w:rsid w:val="00F9312C"/>
    <w:rsid w:val="00F93131"/>
    <w:rsid w:val="00F93151"/>
    <w:rsid w:val="00F9359A"/>
    <w:rsid w:val="00F93934"/>
    <w:rsid w:val="00F93C29"/>
    <w:rsid w:val="00F93D29"/>
    <w:rsid w:val="00F9417D"/>
    <w:rsid w:val="00F9457C"/>
    <w:rsid w:val="00F945F0"/>
    <w:rsid w:val="00F94755"/>
    <w:rsid w:val="00F948B2"/>
    <w:rsid w:val="00F94979"/>
    <w:rsid w:val="00F94B9D"/>
    <w:rsid w:val="00F95057"/>
    <w:rsid w:val="00F950A6"/>
    <w:rsid w:val="00F951E1"/>
    <w:rsid w:val="00F9576C"/>
    <w:rsid w:val="00F958C3"/>
    <w:rsid w:val="00F95D93"/>
    <w:rsid w:val="00F960FB"/>
    <w:rsid w:val="00F9638E"/>
    <w:rsid w:val="00F96868"/>
    <w:rsid w:val="00F96965"/>
    <w:rsid w:val="00F9701D"/>
    <w:rsid w:val="00F97200"/>
    <w:rsid w:val="00F9721D"/>
    <w:rsid w:val="00F97730"/>
    <w:rsid w:val="00F97904"/>
    <w:rsid w:val="00F97B45"/>
    <w:rsid w:val="00F97E38"/>
    <w:rsid w:val="00F97F01"/>
    <w:rsid w:val="00FA039F"/>
    <w:rsid w:val="00FA069A"/>
    <w:rsid w:val="00FA0779"/>
    <w:rsid w:val="00FA084A"/>
    <w:rsid w:val="00FA0A96"/>
    <w:rsid w:val="00FA0B8F"/>
    <w:rsid w:val="00FA0CF5"/>
    <w:rsid w:val="00FA10DA"/>
    <w:rsid w:val="00FA1792"/>
    <w:rsid w:val="00FA1B71"/>
    <w:rsid w:val="00FA261E"/>
    <w:rsid w:val="00FA31D4"/>
    <w:rsid w:val="00FA3219"/>
    <w:rsid w:val="00FA3684"/>
    <w:rsid w:val="00FA3703"/>
    <w:rsid w:val="00FA3784"/>
    <w:rsid w:val="00FA39E8"/>
    <w:rsid w:val="00FA39FE"/>
    <w:rsid w:val="00FA3A94"/>
    <w:rsid w:val="00FA42DB"/>
    <w:rsid w:val="00FA4364"/>
    <w:rsid w:val="00FA4434"/>
    <w:rsid w:val="00FA48E0"/>
    <w:rsid w:val="00FA4A1A"/>
    <w:rsid w:val="00FA4B81"/>
    <w:rsid w:val="00FA4D19"/>
    <w:rsid w:val="00FA52AD"/>
    <w:rsid w:val="00FA550B"/>
    <w:rsid w:val="00FA581C"/>
    <w:rsid w:val="00FA5A87"/>
    <w:rsid w:val="00FA5B6E"/>
    <w:rsid w:val="00FA5BD6"/>
    <w:rsid w:val="00FA5CCC"/>
    <w:rsid w:val="00FA5CE9"/>
    <w:rsid w:val="00FA629A"/>
    <w:rsid w:val="00FA66ED"/>
    <w:rsid w:val="00FA696E"/>
    <w:rsid w:val="00FA6ACD"/>
    <w:rsid w:val="00FA6B6E"/>
    <w:rsid w:val="00FA6BC0"/>
    <w:rsid w:val="00FA6BD5"/>
    <w:rsid w:val="00FA6F28"/>
    <w:rsid w:val="00FA6F55"/>
    <w:rsid w:val="00FA6FDD"/>
    <w:rsid w:val="00FA7143"/>
    <w:rsid w:val="00FA75F0"/>
    <w:rsid w:val="00FB055D"/>
    <w:rsid w:val="00FB073F"/>
    <w:rsid w:val="00FB08A5"/>
    <w:rsid w:val="00FB097E"/>
    <w:rsid w:val="00FB0D55"/>
    <w:rsid w:val="00FB0D6F"/>
    <w:rsid w:val="00FB14DD"/>
    <w:rsid w:val="00FB16CF"/>
    <w:rsid w:val="00FB17BD"/>
    <w:rsid w:val="00FB226C"/>
    <w:rsid w:val="00FB26B1"/>
    <w:rsid w:val="00FB2959"/>
    <w:rsid w:val="00FB2B14"/>
    <w:rsid w:val="00FB3043"/>
    <w:rsid w:val="00FB309A"/>
    <w:rsid w:val="00FB32A4"/>
    <w:rsid w:val="00FB37D0"/>
    <w:rsid w:val="00FB3A6A"/>
    <w:rsid w:val="00FB3B4A"/>
    <w:rsid w:val="00FB4459"/>
    <w:rsid w:val="00FB44D2"/>
    <w:rsid w:val="00FB468F"/>
    <w:rsid w:val="00FB47D6"/>
    <w:rsid w:val="00FB4A02"/>
    <w:rsid w:val="00FB4A22"/>
    <w:rsid w:val="00FB4A8D"/>
    <w:rsid w:val="00FB4AAE"/>
    <w:rsid w:val="00FB4BC1"/>
    <w:rsid w:val="00FB4DFD"/>
    <w:rsid w:val="00FB4F60"/>
    <w:rsid w:val="00FB4F79"/>
    <w:rsid w:val="00FB4FDA"/>
    <w:rsid w:val="00FB523C"/>
    <w:rsid w:val="00FB5247"/>
    <w:rsid w:val="00FB568A"/>
    <w:rsid w:val="00FB594D"/>
    <w:rsid w:val="00FB5979"/>
    <w:rsid w:val="00FB59E6"/>
    <w:rsid w:val="00FB5A68"/>
    <w:rsid w:val="00FB5ACA"/>
    <w:rsid w:val="00FB5E78"/>
    <w:rsid w:val="00FB5ECA"/>
    <w:rsid w:val="00FB6052"/>
    <w:rsid w:val="00FB618A"/>
    <w:rsid w:val="00FB6386"/>
    <w:rsid w:val="00FB68D3"/>
    <w:rsid w:val="00FB692B"/>
    <w:rsid w:val="00FB6965"/>
    <w:rsid w:val="00FB6A59"/>
    <w:rsid w:val="00FB6AFD"/>
    <w:rsid w:val="00FB6CF6"/>
    <w:rsid w:val="00FB6F50"/>
    <w:rsid w:val="00FB7494"/>
    <w:rsid w:val="00FB7813"/>
    <w:rsid w:val="00FB796D"/>
    <w:rsid w:val="00FB79AC"/>
    <w:rsid w:val="00FB7B7B"/>
    <w:rsid w:val="00FB7E9F"/>
    <w:rsid w:val="00FC0031"/>
    <w:rsid w:val="00FC027E"/>
    <w:rsid w:val="00FC0583"/>
    <w:rsid w:val="00FC0717"/>
    <w:rsid w:val="00FC0A6C"/>
    <w:rsid w:val="00FC1211"/>
    <w:rsid w:val="00FC12FF"/>
    <w:rsid w:val="00FC158C"/>
    <w:rsid w:val="00FC1ECB"/>
    <w:rsid w:val="00FC1F61"/>
    <w:rsid w:val="00FC1F7A"/>
    <w:rsid w:val="00FC235F"/>
    <w:rsid w:val="00FC2671"/>
    <w:rsid w:val="00FC26B3"/>
    <w:rsid w:val="00FC2845"/>
    <w:rsid w:val="00FC28A2"/>
    <w:rsid w:val="00FC28D2"/>
    <w:rsid w:val="00FC2EE6"/>
    <w:rsid w:val="00FC35EA"/>
    <w:rsid w:val="00FC3800"/>
    <w:rsid w:val="00FC39D3"/>
    <w:rsid w:val="00FC4273"/>
    <w:rsid w:val="00FC49BB"/>
    <w:rsid w:val="00FC4E8D"/>
    <w:rsid w:val="00FC5428"/>
    <w:rsid w:val="00FC546E"/>
    <w:rsid w:val="00FC54B1"/>
    <w:rsid w:val="00FC5899"/>
    <w:rsid w:val="00FC59E1"/>
    <w:rsid w:val="00FC5DA1"/>
    <w:rsid w:val="00FC6251"/>
    <w:rsid w:val="00FC64A3"/>
    <w:rsid w:val="00FC64F5"/>
    <w:rsid w:val="00FC6E6D"/>
    <w:rsid w:val="00FC6E80"/>
    <w:rsid w:val="00FC72A7"/>
    <w:rsid w:val="00FC736F"/>
    <w:rsid w:val="00FC764B"/>
    <w:rsid w:val="00FC76EA"/>
    <w:rsid w:val="00FC7718"/>
    <w:rsid w:val="00FC79A3"/>
    <w:rsid w:val="00FC7B74"/>
    <w:rsid w:val="00FC7C46"/>
    <w:rsid w:val="00FD00B0"/>
    <w:rsid w:val="00FD02E9"/>
    <w:rsid w:val="00FD042F"/>
    <w:rsid w:val="00FD0450"/>
    <w:rsid w:val="00FD074A"/>
    <w:rsid w:val="00FD091C"/>
    <w:rsid w:val="00FD0FBD"/>
    <w:rsid w:val="00FD1041"/>
    <w:rsid w:val="00FD1070"/>
    <w:rsid w:val="00FD1263"/>
    <w:rsid w:val="00FD1442"/>
    <w:rsid w:val="00FD1B13"/>
    <w:rsid w:val="00FD1B72"/>
    <w:rsid w:val="00FD1F76"/>
    <w:rsid w:val="00FD20D1"/>
    <w:rsid w:val="00FD224B"/>
    <w:rsid w:val="00FD22DA"/>
    <w:rsid w:val="00FD2397"/>
    <w:rsid w:val="00FD28D8"/>
    <w:rsid w:val="00FD2AAE"/>
    <w:rsid w:val="00FD2E54"/>
    <w:rsid w:val="00FD305F"/>
    <w:rsid w:val="00FD3072"/>
    <w:rsid w:val="00FD3252"/>
    <w:rsid w:val="00FD3EFD"/>
    <w:rsid w:val="00FD416C"/>
    <w:rsid w:val="00FD41AD"/>
    <w:rsid w:val="00FD47EC"/>
    <w:rsid w:val="00FD48CD"/>
    <w:rsid w:val="00FD4B8C"/>
    <w:rsid w:val="00FD4E4A"/>
    <w:rsid w:val="00FD513E"/>
    <w:rsid w:val="00FD53AF"/>
    <w:rsid w:val="00FD544D"/>
    <w:rsid w:val="00FD591E"/>
    <w:rsid w:val="00FD5952"/>
    <w:rsid w:val="00FD598B"/>
    <w:rsid w:val="00FD5CC3"/>
    <w:rsid w:val="00FD616B"/>
    <w:rsid w:val="00FD62CC"/>
    <w:rsid w:val="00FD6327"/>
    <w:rsid w:val="00FD6634"/>
    <w:rsid w:val="00FD6755"/>
    <w:rsid w:val="00FD6777"/>
    <w:rsid w:val="00FD6AC2"/>
    <w:rsid w:val="00FD7151"/>
    <w:rsid w:val="00FD723D"/>
    <w:rsid w:val="00FD72C0"/>
    <w:rsid w:val="00FD731E"/>
    <w:rsid w:val="00FD733E"/>
    <w:rsid w:val="00FD7436"/>
    <w:rsid w:val="00FD7474"/>
    <w:rsid w:val="00FD749D"/>
    <w:rsid w:val="00FD771F"/>
    <w:rsid w:val="00FD77A5"/>
    <w:rsid w:val="00FD7AAC"/>
    <w:rsid w:val="00FD7BE5"/>
    <w:rsid w:val="00FE0015"/>
    <w:rsid w:val="00FE0163"/>
    <w:rsid w:val="00FE044D"/>
    <w:rsid w:val="00FE07C2"/>
    <w:rsid w:val="00FE0B95"/>
    <w:rsid w:val="00FE0EC1"/>
    <w:rsid w:val="00FE10B9"/>
    <w:rsid w:val="00FE1203"/>
    <w:rsid w:val="00FE12B7"/>
    <w:rsid w:val="00FE18A9"/>
    <w:rsid w:val="00FE18D4"/>
    <w:rsid w:val="00FE1C4F"/>
    <w:rsid w:val="00FE1D5D"/>
    <w:rsid w:val="00FE2031"/>
    <w:rsid w:val="00FE2252"/>
    <w:rsid w:val="00FE23CB"/>
    <w:rsid w:val="00FE23E7"/>
    <w:rsid w:val="00FE243C"/>
    <w:rsid w:val="00FE29A6"/>
    <w:rsid w:val="00FE2A17"/>
    <w:rsid w:val="00FE2C9E"/>
    <w:rsid w:val="00FE2E11"/>
    <w:rsid w:val="00FE3035"/>
    <w:rsid w:val="00FE30B1"/>
    <w:rsid w:val="00FE3256"/>
    <w:rsid w:val="00FE325A"/>
    <w:rsid w:val="00FE331B"/>
    <w:rsid w:val="00FE3349"/>
    <w:rsid w:val="00FE3648"/>
    <w:rsid w:val="00FE367F"/>
    <w:rsid w:val="00FE3AF2"/>
    <w:rsid w:val="00FE3B6A"/>
    <w:rsid w:val="00FE422B"/>
    <w:rsid w:val="00FE461B"/>
    <w:rsid w:val="00FE468F"/>
    <w:rsid w:val="00FE499F"/>
    <w:rsid w:val="00FE4DAA"/>
    <w:rsid w:val="00FE4FF2"/>
    <w:rsid w:val="00FE5574"/>
    <w:rsid w:val="00FE55C7"/>
    <w:rsid w:val="00FE5B2F"/>
    <w:rsid w:val="00FE5D22"/>
    <w:rsid w:val="00FE5D3A"/>
    <w:rsid w:val="00FE5DBC"/>
    <w:rsid w:val="00FE6349"/>
    <w:rsid w:val="00FE648E"/>
    <w:rsid w:val="00FE6746"/>
    <w:rsid w:val="00FE678D"/>
    <w:rsid w:val="00FE6822"/>
    <w:rsid w:val="00FE68F1"/>
    <w:rsid w:val="00FE6A13"/>
    <w:rsid w:val="00FE6A53"/>
    <w:rsid w:val="00FE6CE3"/>
    <w:rsid w:val="00FE6D59"/>
    <w:rsid w:val="00FE6E1A"/>
    <w:rsid w:val="00FE6E46"/>
    <w:rsid w:val="00FE70E9"/>
    <w:rsid w:val="00FE75DF"/>
    <w:rsid w:val="00FE7A58"/>
    <w:rsid w:val="00FE7D4D"/>
    <w:rsid w:val="00FF009A"/>
    <w:rsid w:val="00FF0446"/>
    <w:rsid w:val="00FF0548"/>
    <w:rsid w:val="00FF0556"/>
    <w:rsid w:val="00FF0A15"/>
    <w:rsid w:val="00FF0A5E"/>
    <w:rsid w:val="00FF0AD6"/>
    <w:rsid w:val="00FF0BD3"/>
    <w:rsid w:val="00FF0DAE"/>
    <w:rsid w:val="00FF0DEF"/>
    <w:rsid w:val="00FF0EC6"/>
    <w:rsid w:val="00FF14DD"/>
    <w:rsid w:val="00FF150D"/>
    <w:rsid w:val="00FF16E2"/>
    <w:rsid w:val="00FF1F5B"/>
    <w:rsid w:val="00FF2310"/>
    <w:rsid w:val="00FF2501"/>
    <w:rsid w:val="00FF2692"/>
    <w:rsid w:val="00FF29DC"/>
    <w:rsid w:val="00FF2AAE"/>
    <w:rsid w:val="00FF2B2A"/>
    <w:rsid w:val="00FF2C5F"/>
    <w:rsid w:val="00FF2D89"/>
    <w:rsid w:val="00FF2E41"/>
    <w:rsid w:val="00FF30B7"/>
    <w:rsid w:val="00FF320B"/>
    <w:rsid w:val="00FF348E"/>
    <w:rsid w:val="00FF354C"/>
    <w:rsid w:val="00FF3859"/>
    <w:rsid w:val="00FF3A11"/>
    <w:rsid w:val="00FF3C98"/>
    <w:rsid w:val="00FF3FBB"/>
    <w:rsid w:val="00FF3FBF"/>
    <w:rsid w:val="00FF4BE0"/>
    <w:rsid w:val="00FF4F7C"/>
    <w:rsid w:val="00FF5095"/>
    <w:rsid w:val="00FF5101"/>
    <w:rsid w:val="00FF5135"/>
    <w:rsid w:val="00FF5518"/>
    <w:rsid w:val="00FF5857"/>
    <w:rsid w:val="00FF58A1"/>
    <w:rsid w:val="00FF5F4E"/>
    <w:rsid w:val="00FF6034"/>
    <w:rsid w:val="00FF622C"/>
    <w:rsid w:val="00FF64F5"/>
    <w:rsid w:val="00FF661B"/>
    <w:rsid w:val="00FF66E6"/>
    <w:rsid w:val="00FF68BC"/>
    <w:rsid w:val="00FF7193"/>
    <w:rsid w:val="00FF7BCD"/>
    <w:rsid w:val="00FF7E4A"/>
    <w:rsid w:val="00FF7EBF"/>
    <w:rsid w:val="05C0C75E"/>
    <w:rsid w:val="09BE0FCE"/>
    <w:rsid w:val="0B1FC467"/>
    <w:rsid w:val="22205532"/>
    <w:rsid w:val="2988238A"/>
    <w:rsid w:val="2FBDEA84"/>
    <w:rsid w:val="30886C28"/>
    <w:rsid w:val="3780DCD3"/>
    <w:rsid w:val="412D7189"/>
    <w:rsid w:val="4D0A9A2D"/>
    <w:rsid w:val="5521610F"/>
    <w:rsid w:val="5CD82BE0"/>
    <w:rsid w:val="73575856"/>
    <w:rsid w:val="7E8CC8A5"/>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C18419"/>
  <w15:docId w15:val="{EF6D213D-7B5B-4A5D-982A-48544C4E1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6CE8"/>
    <w:rPr>
      <w:rFonts w:ascii="Cambria" w:hAnsi="Cambria"/>
      <w:lang w:eastAsia="en-US"/>
    </w:rPr>
  </w:style>
  <w:style w:type="paragraph" w:styleId="Heading1">
    <w:name w:val="heading 1"/>
    <w:next w:val="DJCSbody"/>
    <w:link w:val="Heading1Char"/>
    <w:uiPriority w:val="1"/>
    <w:qFormat/>
    <w:rsid w:val="00AC24F5"/>
    <w:pPr>
      <w:keepNext/>
      <w:keepLines/>
      <w:numPr>
        <w:numId w:val="15"/>
      </w:numPr>
      <w:spacing w:before="360" w:after="240" w:line="260" w:lineRule="atLeast"/>
      <w:outlineLvl w:val="0"/>
    </w:pPr>
    <w:rPr>
      <w:rFonts w:ascii="Arial" w:eastAsia="MS Gothic" w:hAnsi="Arial" w:cs="Arial"/>
      <w:b/>
      <w:bCs/>
      <w:color w:val="16145F" w:themeColor="accent3"/>
      <w:kern w:val="32"/>
      <w:sz w:val="32"/>
      <w:szCs w:val="40"/>
      <w:lang w:eastAsia="en-US"/>
    </w:rPr>
  </w:style>
  <w:style w:type="paragraph" w:styleId="Heading2">
    <w:name w:val="heading 2"/>
    <w:next w:val="DJCSbody"/>
    <w:link w:val="Heading2Char"/>
    <w:uiPriority w:val="1"/>
    <w:qFormat/>
    <w:rsid w:val="00AC24F5"/>
    <w:pPr>
      <w:keepNext/>
      <w:keepLines/>
      <w:numPr>
        <w:ilvl w:val="1"/>
        <w:numId w:val="15"/>
      </w:numPr>
      <w:spacing w:before="240" w:after="120" w:line="320" w:lineRule="atLeast"/>
      <w:outlineLvl w:val="1"/>
    </w:pPr>
    <w:rPr>
      <w:rFonts w:ascii="Arial" w:eastAsiaTheme="majorEastAsia" w:hAnsi="Arial" w:cstheme="majorBidi"/>
      <w:b/>
      <w:color w:val="16145F" w:themeColor="accent3"/>
      <w:sz w:val="28"/>
      <w:szCs w:val="28"/>
      <w:lang w:eastAsia="en-US"/>
    </w:rPr>
  </w:style>
  <w:style w:type="paragraph" w:styleId="Heading3">
    <w:name w:val="heading 3"/>
    <w:next w:val="DJCSbody"/>
    <w:link w:val="Heading3Char"/>
    <w:uiPriority w:val="1"/>
    <w:unhideWhenUsed/>
    <w:qFormat/>
    <w:rsid w:val="00BA5A04"/>
    <w:pPr>
      <w:keepNext/>
      <w:keepLines/>
      <w:numPr>
        <w:ilvl w:val="2"/>
        <w:numId w:val="15"/>
      </w:numPr>
      <w:spacing w:before="280" w:after="120" w:line="200" w:lineRule="atLeast"/>
      <w:outlineLvl w:val="2"/>
    </w:pPr>
    <w:rPr>
      <w:rFonts w:ascii="Arial" w:eastAsia="MS Gothic" w:hAnsi="Arial" w:cstheme="majorBidi"/>
      <w:b/>
      <w:bCs/>
      <w:color w:val="808080" w:themeColor="background1" w:themeShade="80"/>
      <w:sz w:val="24"/>
      <w:szCs w:val="26"/>
      <w:lang w:eastAsia="en-US"/>
    </w:rPr>
  </w:style>
  <w:style w:type="paragraph" w:styleId="Heading4">
    <w:name w:val="heading 4"/>
    <w:next w:val="DJCSbody"/>
    <w:link w:val="Heading4Char"/>
    <w:uiPriority w:val="1"/>
    <w:unhideWhenUsed/>
    <w:qFormat/>
    <w:rsid w:val="00BA5A04"/>
    <w:pPr>
      <w:keepNext/>
      <w:keepLines/>
      <w:spacing w:before="240" w:after="120" w:line="240" w:lineRule="atLeast"/>
      <w:ind w:left="851"/>
      <w:outlineLvl w:val="3"/>
    </w:pPr>
    <w:rPr>
      <w:rFonts w:ascii="Arial" w:eastAsia="MS Mincho" w:hAnsi="Arial" w:cstheme="majorBidi"/>
      <w:b/>
      <w:bCs/>
      <w:color w:val="808080" w:themeColor="background1" w:themeShade="80"/>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C24F5"/>
    <w:rPr>
      <w:rFonts w:ascii="Arial" w:eastAsia="MS Gothic" w:hAnsi="Arial" w:cs="Arial"/>
      <w:b/>
      <w:bCs/>
      <w:color w:val="16145F" w:themeColor="accent3"/>
      <w:kern w:val="32"/>
      <w:sz w:val="32"/>
      <w:szCs w:val="40"/>
      <w:lang w:eastAsia="en-US"/>
    </w:rPr>
  </w:style>
  <w:style w:type="character" w:customStyle="1" w:styleId="Heading2Char">
    <w:name w:val="Heading 2 Char"/>
    <w:link w:val="Heading2"/>
    <w:uiPriority w:val="1"/>
    <w:rsid w:val="00AC24F5"/>
    <w:rPr>
      <w:rFonts w:ascii="Arial" w:eastAsiaTheme="majorEastAsia" w:hAnsi="Arial" w:cstheme="majorBidi"/>
      <w:b/>
      <w:color w:val="16145F" w:themeColor="accent3"/>
      <w:sz w:val="28"/>
      <w:szCs w:val="28"/>
      <w:lang w:eastAsia="en-US"/>
    </w:rPr>
  </w:style>
  <w:style w:type="character" w:customStyle="1" w:styleId="Heading3Char">
    <w:name w:val="Heading 3 Char"/>
    <w:link w:val="Heading3"/>
    <w:uiPriority w:val="1"/>
    <w:rsid w:val="00BA5A04"/>
    <w:rPr>
      <w:rFonts w:ascii="Arial" w:eastAsia="MS Gothic" w:hAnsi="Arial" w:cstheme="majorBidi"/>
      <w:b/>
      <w:bCs/>
      <w:color w:val="808080" w:themeColor="background1" w:themeShade="80"/>
      <w:sz w:val="24"/>
      <w:szCs w:val="26"/>
      <w:lang w:eastAsia="en-US"/>
    </w:rPr>
  </w:style>
  <w:style w:type="character" w:customStyle="1" w:styleId="Heading4Char">
    <w:name w:val="Heading 4 Char"/>
    <w:link w:val="Heading4"/>
    <w:uiPriority w:val="1"/>
    <w:rsid w:val="00BA5A04"/>
    <w:rPr>
      <w:rFonts w:ascii="Arial" w:eastAsia="MS Mincho" w:hAnsi="Arial" w:cstheme="majorBidi"/>
      <w:b/>
      <w:bCs/>
      <w:color w:val="808080" w:themeColor="background1" w:themeShade="80"/>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Basic Table,McLL Table General Text"/>
    <w:basedOn w:val="TableNormal"/>
    <w:uiPriority w:val="59"/>
    <w:rsid w:val="002310FF"/>
    <w:rPr>
      <w:rFonts w:ascii="Arial" w:hAnsi="Arial"/>
    </w:rPr>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AC24F5"/>
    <w:pPr>
      <w:spacing w:after="120" w:line="380" w:lineRule="atLeast"/>
    </w:pPr>
    <w:rPr>
      <w:rFonts w:ascii="Arial" w:hAnsi="Arial"/>
      <w:color w:val="808080" w:themeColor="background1" w:themeShade="80"/>
      <w:sz w:val="32"/>
      <w:szCs w:val="30"/>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JCSreportmaintitlecover">
    <w:name w:val="DJCS report main title cover"/>
    <w:uiPriority w:val="4"/>
    <w:rsid w:val="00AC24F5"/>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qFormat/>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CSTOCheadingreport">
    <w:name w:val="DJCS TOC heading report"/>
    <w:link w:val="DJCSTOCheadingreportChar"/>
    <w:uiPriority w:val="5"/>
    <w:rsid w:val="00BA5A04"/>
    <w:rPr>
      <w:rFonts w:ascii="Arial" w:eastAsia="MS Gothic" w:hAnsi="Arial" w:cs="Arial"/>
      <w:b/>
      <w:bCs/>
      <w:color w:val="808080" w:themeColor="background1" w:themeShade="80"/>
      <w:kern w:val="32"/>
      <w:sz w:val="40"/>
      <w:szCs w:val="40"/>
      <w:lang w:eastAsia="en-US"/>
    </w:rPr>
  </w:style>
  <w:style w:type="character" w:customStyle="1" w:styleId="DJCSTOCheadingreportChar">
    <w:name w:val="DJCS TOC heading report Char"/>
    <w:link w:val="DJCSTOCheadingreport"/>
    <w:uiPriority w:val="5"/>
    <w:rsid w:val="00BA5A04"/>
    <w:rPr>
      <w:rFonts w:ascii="Arial" w:eastAsia="MS Gothic" w:hAnsi="Arial" w:cs="Arial"/>
      <w:b/>
      <w:bCs/>
      <w:color w:val="808080" w:themeColor="background1" w:themeShade="80"/>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DJCSbody"/>
    <w:qFormat/>
    <w:rsid w:val="00BE6A62"/>
    <w:pPr>
      <w:numPr>
        <w:numId w:val="16"/>
      </w:numPr>
      <w:tabs>
        <w:tab w:val="clear" w:pos="680"/>
        <w:tab w:val="num" w:pos="1134"/>
      </w:tabs>
      <w:spacing w:after="40"/>
      <w:ind w:left="1134"/>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numPr>
        <w:ilvl w:val="1"/>
        <w:numId w:val="16"/>
      </w:numPr>
      <w:spacing w:after="40"/>
      <w:ind w:left="1701"/>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14"/>
      </w:numPr>
      <w:tabs>
        <w:tab w:val="clear" w:pos="227"/>
        <w:tab w:val="num" w:pos="369"/>
      </w:tabs>
      <w:ind w:left="596"/>
    </w:pPr>
  </w:style>
  <w:style w:type="paragraph" w:customStyle="1" w:styleId="DJCStablebullet1">
    <w:name w:val="DJCS table bullet 1"/>
    <w:basedOn w:val="DJCStabletext"/>
    <w:uiPriority w:val="3"/>
    <w:qFormat/>
    <w:rsid w:val="00BE6A62"/>
    <w:pPr>
      <w:numPr>
        <w:numId w:val="17"/>
      </w:numPr>
      <w:ind w:left="312" w:hanging="283"/>
    </w:pPr>
  </w:style>
  <w:style w:type="paragraph" w:customStyle="1" w:styleId="DJCSlist-bulletsafterlevel1numberromanoralpha">
    <w:name w:val="DJCS list - bullets after level 1 number roman or alpha"/>
    <w:basedOn w:val="DJCSbody"/>
    <w:uiPriority w:val="4"/>
    <w:rsid w:val="00BE6A62"/>
    <w:pPr>
      <w:numPr>
        <w:numId w:val="2"/>
      </w:numPr>
      <w:ind w:left="1560"/>
    </w:pPr>
  </w:style>
  <w:style w:type="character" w:customStyle="1" w:styleId="FootnoteTextChar">
    <w:name w:val="Footnote Text Char"/>
    <w:link w:val="FootnoteText"/>
    <w:uiPriority w:val="99"/>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2"/>
      </w:numPr>
      <w:tabs>
        <w:tab w:val="clear" w:pos="680"/>
        <w:tab w:val="num" w:pos="1276"/>
      </w:tabs>
      <w:ind w:left="1276"/>
    </w:pPr>
  </w:style>
  <w:style w:type="paragraph" w:customStyle="1" w:styleId="DJCSlist-loweralphalevel2">
    <w:name w:val="DJCS list - lower alpha level 2"/>
    <w:basedOn w:val="DJCSbody"/>
    <w:uiPriority w:val="3"/>
    <w:rsid w:val="00BE6A62"/>
    <w:pPr>
      <w:numPr>
        <w:numId w:val="9"/>
      </w:numPr>
      <w:ind w:left="1701"/>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ind w:left="1276"/>
    </w:pPr>
  </w:style>
  <w:style w:type="paragraph" w:customStyle="1" w:styleId="DJCSlist-lowerromanlevel1">
    <w:name w:val="DJCS list - lower roman level 1"/>
    <w:basedOn w:val="DJCSbody"/>
    <w:uiPriority w:val="3"/>
    <w:rsid w:val="00BE6A62"/>
    <w:pPr>
      <w:numPr>
        <w:numId w:val="11"/>
      </w:numPr>
      <w:ind w:left="1276"/>
    </w:pPr>
  </w:style>
  <w:style w:type="paragraph" w:customStyle="1" w:styleId="DJCSlist-lowerromanlevel2">
    <w:name w:val="DJCS list - lower roman level 2"/>
    <w:basedOn w:val="DJCSbody"/>
    <w:uiPriority w:val="3"/>
    <w:rsid w:val="00BE6A62"/>
    <w:pPr>
      <w:numPr>
        <w:numId w:val="4"/>
      </w:numPr>
      <w:ind w:left="1701"/>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2"/>
      </w:numPr>
      <w:ind w:left="1985"/>
    </w:pPr>
  </w:style>
  <w:style w:type="paragraph" w:customStyle="1" w:styleId="DJCSquotebullet1">
    <w:name w:val="DJCS quote bullet 1"/>
    <w:basedOn w:val="DJCSquote"/>
    <w:rsid w:val="00BE6A62"/>
    <w:pPr>
      <w:numPr>
        <w:numId w:val="5"/>
      </w:numPr>
      <w:tabs>
        <w:tab w:val="clear" w:pos="1304"/>
        <w:tab w:val="num" w:pos="1701"/>
      </w:tabs>
      <w:ind w:left="1701"/>
    </w:pPr>
  </w:style>
  <w:style w:type="paragraph" w:customStyle="1" w:styleId="DJCSquotebullet2">
    <w:name w:val="DJCS quote bullet 2"/>
    <w:basedOn w:val="DJCSquote"/>
    <w:rsid w:val="00BE6A62"/>
    <w:pPr>
      <w:numPr>
        <w:ilvl w:val="1"/>
        <w:numId w:val="5"/>
      </w:numPr>
      <w:ind w:left="2127"/>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cPr>
      <w:shd w:val="clear" w:color="auto" w:fill="auto"/>
    </w:tcPr>
  </w:style>
  <w:style w:type="table" w:customStyle="1" w:styleId="DJRReporttablestyleNavy">
    <w:name w:val="DJR Report table style Navy"/>
    <w:basedOn w:val="TableNormal"/>
    <w:uiPriority w:val="99"/>
    <w:rsid w:val="00BE6A62"/>
    <w:pPr>
      <w:spacing w:before="80" w:after="60"/>
    </w:pPr>
    <w:rPr>
      <w:rFonts w:ascii="Arial" w:hAnsi="Arial"/>
    </w:rPr>
    <w:tblPr/>
    <w:tcPr>
      <w:shd w:val="clear" w:color="auto" w:fill="16145F" w:themeFill="text2"/>
    </w:tcPr>
    <w:tblStylePr w:type="firstRow">
      <w:rPr>
        <w:rFonts w:ascii="Arial" w:hAnsi="Arial"/>
        <w:b/>
        <w:sz w:val="22"/>
      </w:r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DJCSbody"/>
    <w:qFormat/>
    <w:rsid w:val="00BA5A04"/>
    <w:pPr>
      <w:spacing w:before="160" w:after="120"/>
      <w:ind w:left="851"/>
    </w:pPr>
    <w:rPr>
      <w:rFonts w:ascii="Arial" w:hAnsi="Arial"/>
      <w:b/>
      <w:color w:val="808080" w:themeColor="background1" w:themeShade="80"/>
      <w:sz w:val="28"/>
      <w:szCs w:val="28"/>
      <w:lang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semiHidden/>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71"/>
    <w:semiHidden/>
    <w:unhideWhenUsed/>
    <w:qFormat/>
    <w:rsid w:val="00C40BFD"/>
    <w:pPr>
      <w:numPr>
        <w:numId w:val="0"/>
      </w:num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BE6A62"/>
    <w:pPr>
      <w:tabs>
        <w:tab w:val="left" w:pos="567"/>
        <w:tab w:val="right" w:leader="dot" w:pos="10206"/>
      </w:tabs>
      <w:spacing w:after="100"/>
      <w:ind w:right="142"/>
    </w:pPr>
    <w:rPr>
      <w:rFonts w:ascii="Arial" w:hAnsi="Arial" w:cs="Arial"/>
      <w:noProof/>
    </w:rPr>
  </w:style>
  <w:style w:type="paragraph" w:customStyle="1" w:styleId="DJCSguidancetext">
    <w:name w:val="DJCS guidance text"/>
    <w:basedOn w:val="DJCSbody"/>
    <w:link w:val="DJCSguidancetextChar"/>
    <w:qFormat/>
    <w:rsid w:val="00695C29"/>
    <w:pPr>
      <w:spacing w:before="60" w:after="60"/>
    </w:pPr>
    <w:rPr>
      <w:i/>
      <w:vanish/>
      <w:color w:val="000000" w:themeColor="text1"/>
      <w:sz w:val="20"/>
    </w:rPr>
  </w:style>
  <w:style w:type="paragraph" w:customStyle="1" w:styleId="DJCStablebullet3">
    <w:name w:val="DJCS table bullet 3"/>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216CE8"/>
    <w:rPr>
      <w:rFonts w:ascii="Arial" w:eastAsia="Times" w:hAnsi="Arial"/>
      <w:sz w:val="22"/>
      <w:lang w:eastAsia="en-US"/>
    </w:rPr>
  </w:style>
  <w:style w:type="character" w:customStyle="1" w:styleId="DJCSguidancetextChar">
    <w:name w:val="DJCS guidance text Char"/>
    <w:basedOn w:val="DJCSbodyChar"/>
    <w:link w:val="DJCSguidancetext"/>
    <w:rsid w:val="00695C29"/>
    <w:rPr>
      <w:rFonts w:ascii="Arial" w:eastAsia="Times" w:hAnsi="Arial"/>
      <w:i/>
      <w:vanish/>
      <w:color w:val="000000" w:themeColor="text1"/>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character" w:styleId="FootnoteReference">
    <w:name w:val="footnote reference"/>
    <w:basedOn w:val="DefaultParagraphFont"/>
    <w:uiPriority w:val="99"/>
    <w:semiHidden/>
    <w:unhideWhenUsed/>
    <w:qFormat/>
    <w:rsid w:val="00744DA2"/>
    <w:rPr>
      <w:vertAlign w:val="superscript"/>
    </w:rPr>
  </w:style>
  <w:style w:type="character" w:styleId="CommentReference">
    <w:name w:val="annotation reference"/>
    <w:basedOn w:val="DefaultParagraphFont"/>
    <w:uiPriority w:val="99"/>
    <w:semiHidden/>
    <w:unhideWhenUsed/>
    <w:rsid w:val="00C27376"/>
    <w:rPr>
      <w:sz w:val="16"/>
      <w:szCs w:val="16"/>
    </w:rPr>
  </w:style>
  <w:style w:type="paragraph" w:styleId="CommentText">
    <w:name w:val="annotation text"/>
    <w:basedOn w:val="Normal"/>
    <w:link w:val="CommentTextChar"/>
    <w:uiPriority w:val="99"/>
    <w:unhideWhenUsed/>
    <w:rsid w:val="00C27376"/>
  </w:style>
  <w:style w:type="character" w:customStyle="1" w:styleId="CommentTextChar">
    <w:name w:val="Comment Text Char"/>
    <w:basedOn w:val="DefaultParagraphFont"/>
    <w:link w:val="CommentText"/>
    <w:uiPriority w:val="99"/>
    <w:rsid w:val="00C2737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C27376"/>
    <w:rPr>
      <w:b/>
      <w:bCs/>
    </w:rPr>
  </w:style>
  <w:style w:type="character" w:customStyle="1" w:styleId="CommentSubjectChar">
    <w:name w:val="Comment Subject Char"/>
    <w:basedOn w:val="CommentTextChar"/>
    <w:link w:val="CommentSubject"/>
    <w:uiPriority w:val="99"/>
    <w:semiHidden/>
    <w:rsid w:val="00C27376"/>
    <w:rPr>
      <w:rFonts w:ascii="Cambria" w:hAnsi="Cambria"/>
      <w:b/>
      <w:bCs/>
      <w:lang w:eastAsia="en-US"/>
    </w:rPr>
  </w:style>
  <w:style w:type="paragraph" w:styleId="ListParagraph">
    <w:name w:val="List Paragraph"/>
    <w:basedOn w:val="Normal"/>
    <w:uiPriority w:val="34"/>
    <w:qFormat/>
    <w:rsid w:val="006240E8"/>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Mention">
    <w:name w:val="Mention"/>
    <w:basedOn w:val="DefaultParagraphFont"/>
    <w:uiPriority w:val="99"/>
    <w:unhideWhenUsed/>
    <w:rsid w:val="001B7F96"/>
    <w:rPr>
      <w:color w:val="2B579A"/>
      <w:shd w:val="clear" w:color="auto" w:fill="E1DFDD"/>
    </w:rPr>
  </w:style>
  <w:style w:type="paragraph" w:customStyle="1" w:styleId="DJCSbulletafternumbers1">
    <w:name w:val="DJCS bullet after numbers 1"/>
    <w:basedOn w:val="DJCSbody"/>
    <w:uiPriority w:val="4"/>
    <w:rsid w:val="007E0DD7"/>
    <w:pPr>
      <w:ind w:left="624" w:hanging="227"/>
    </w:pPr>
  </w:style>
  <w:style w:type="paragraph" w:customStyle="1" w:styleId="DJCSnumberdigitindent">
    <w:name w:val="DJCS number digit indent"/>
    <w:basedOn w:val="Normal"/>
    <w:uiPriority w:val="3"/>
    <w:rsid w:val="007E0DD7"/>
    <w:pPr>
      <w:tabs>
        <w:tab w:val="num" w:pos="794"/>
      </w:tabs>
      <w:spacing w:after="120" w:line="250" w:lineRule="atLeast"/>
      <w:ind w:left="794" w:hanging="397"/>
    </w:pPr>
    <w:rPr>
      <w:rFonts w:ascii="Arial" w:eastAsia="Times" w:hAnsi="Arial"/>
      <w:sz w:val="22"/>
    </w:rPr>
  </w:style>
  <w:style w:type="paragraph" w:customStyle="1" w:styleId="DJCSbulletafternumbers2">
    <w:name w:val="DJCS bullet after numbers 2"/>
    <w:basedOn w:val="DJCSbody"/>
    <w:rsid w:val="007E0DD7"/>
    <w:pPr>
      <w:ind w:left="964" w:hanging="284"/>
    </w:pPr>
  </w:style>
  <w:style w:type="character" w:styleId="UnresolvedMention">
    <w:name w:val="Unresolved Mention"/>
    <w:basedOn w:val="DefaultParagraphFont"/>
    <w:uiPriority w:val="99"/>
    <w:semiHidden/>
    <w:unhideWhenUsed/>
    <w:rsid w:val="003B42BE"/>
    <w:rPr>
      <w:color w:val="605E5C"/>
      <w:shd w:val="clear" w:color="auto" w:fill="E1DFDD"/>
    </w:rPr>
  </w:style>
  <w:style w:type="paragraph" w:customStyle="1" w:styleId="DJRbody">
    <w:name w:val="DJR body"/>
    <w:qFormat/>
    <w:rsid w:val="00E22834"/>
    <w:pPr>
      <w:spacing w:after="120" w:line="250" w:lineRule="atLeast"/>
      <w:ind w:left="851"/>
    </w:pPr>
    <w:rPr>
      <w:rFonts w:ascii="Arial" w:eastAsia="Times" w:hAnsi="Arial"/>
      <w:sz w:val="22"/>
      <w:lang w:eastAsia="en-US"/>
    </w:rPr>
  </w:style>
  <w:style w:type="paragraph" w:customStyle="1" w:styleId="msonormal0">
    <w:name w:val="msonormal"/>
    <w:basedOn w:val="Normal"/>
    <w:rsid w:val="00444D61"/>
    <w:pPr>
      <w:spacing w:before="100" w:beforeAutospacing="1" w:after="100" w:afterAutospacing="1"/>
    </w:pPr>
    <w:rPr>
      <w:rFonts w:ascii="Times New Roman" w:hAnsi="Times New Roman"/>
      <w:sz w:val="24"/>
      <w:szCs w:val="24"/>
      <w:lang w:eastAsia="ko-KR"/>
    </w:rPr>
  </w:style>
  <w:style w:type="paragraph" w:customStyle="1" w:styleId="font5">
    <w:name w:val="font5"/>
    <w:basedOn w:val="Normal"/>
    <w:rsid w:val="00444D61"/>
    <w:pPr>
      <w:spacing w:before="100" w:beforeAutospacing="1" w:after="100" w:afterAutospacing="1"/>
    </w:pPr>
    <w:rPr>
      <w:rFonts w:ascii="Arial" w:hAnsi="Arial" w:cs="Arial"/>
      <w:b/>
      <w:bCs/>
      <w:color w:val="000000"/>
      <w:sz w:val="18"/>
      <w:szCs w:val="18"/>
      <w:lang w:eastAsia="ko-KR"/>
    </w:rPr>
  </w:style>
  <w:style w:type="paragraph" w:customStyle="1" w:styleId="font6">
    <w:name w:val="font6"/>
    <w:basedOn w:val="Normal"/>
    <w:rsid w:val="00444D61"/>
    <w:pPr>
      <w:spacing w:before="100" w:beforeAutospacing="1" w:after="100" w:afterAutospacing="1"/>
    </w:pPr>
    <w:rPr>
      <w:rFonts w:ascii="Arial" w:hAnsi="Arial" w:cs="Arial"/>
      <w:color w:val="000000"/>
      <w:sz w:val="18"/>
      <w:szCs w:val="18"/>
      <w:lang w:eastAsia="ko-KR"/>
    </w:rPr>
  </w:style>
  <w:style w:type="paragraph" w:customStyle="1" w:styleId="xl72">
    <w:name w:val="xl72"/>
    <w:basedOn w:val="Normal"/>
    <w:rsid w:val="00444D61"/>
    <w:pPr>
      <w:spacing w:before="100" w:beforeAutospacing="1" w:after="100" w:afterAutospacing="1"/>
      <w:jc w:val="center"/>
    </w:pPr>
    <w:rPr>
      <w:rFonts w:ascii="Arial" w:hAnsi="Arial" w:cs="Arial"/>
      <w:sz w:val="24"/>
      <w:szCs w:val="24"/>
      <w:lang w:eastAsia="ko-KR"/>
    </w:rPr>
  </w:style>
  <w:style w:type="paragraph" w:customStyle="1" w:styleId="xl73">
    <w:name w:val="xl73"/>
    <w:basedOn w:val="Normal"/>
    <w:rsid w:val="00444D61"/>
    <w:pPr>
      <w:spacing w:before="100" w:beforeAutospacing="1" w:after="100" w:afterAutospacing="1"/>
      <w:jc w:val="center"/>
    </w:pPr>
    <w:rPr>
      <w:rFonts w:ascii="Arial" w:hAnsi="Arial" w:cs="Arial"/>
      <w:sz w:val="24"/>
      <w:szCs w:val="24"/>
      <w:lang w:eastAsia="ko-KR"/>
    </w:rPr>
  </w:style>
  <w:style w:type="paragraph" w:customStyle="1" w:styleId="xl74">
    <w:name w:val="xl74"/>
    <w:basedOn w:val="Normal"/>
    <w:rsid w:val="00444D61"/>
    <w:pPr>
      <w:pBdr>
        <w:top w:val="single" w:sz="4" w:space="0" w:color="auto"/>
        <w:left w:val="single" w:sz="4" w:space="0" w:color="auto"/>
        <w:right w:val="single" w:sz="4" w:space="0" w:color="auto"/>
      </w:pBdr>
      <w:shd w:val="clear" w:color="000000" w:fill="16145F"/>
      <w:spacing w:before="100" w:beforeAutospacing="1" w:after="100" w:afterAutospacing="1"/>
      <w:jc w:val="center"/>
      <w:textAlignment w:val="center"/>
    </w:pPr>
    <w:rPr>
      <w:rFonts w:ascii="Arial" w:hAnsi="Arial" w:cs="Arial"/>
      <w:b/>
      <w:bCs/>
      <w:color w:val="FFFFFF"/>
      <w:sz w:val="18"/>
      <w:szCs w:val="18"/>
      <w:lang w:eastAsia="ko-KR"/>
    </w:rPr>
  </w:style>
  <w:style w:type="paragraph" w:customStyle="1" w:styleId="xl75">
    <w:name w:val="xl75"/>
    <w:basedOn w:val="Normal"/>
    <w:rsid w:val="00444D61"/>
    <w:pPr>
      <w:pBdr>
        <w:top w:val="single" w:sz="4" w:space="0" w:color="auto"/>
        <w:left w:val="single" w:sz="4" w:space="0" w:color="auto"/>
        <w:right w:val="single" w:sz="4" w:space="0" w:color="auto"/>
      </w:pBdr>
      <w:shd w:val="clear" w:color="000000" w:fill="16145F"/>
      <w:spacing w:before="100" w:beforeAutospacing="1" w:after="100" w:afterAutospacing="1"/>
      <w:textAlignment w:val="center"/>
    </w:pPr>
    <w:rPr>
      <w:rFonts w:ascii="Arial" w:hAnsi="Arial" w:cs="Arial"/>
      <w:b/>
      <w:bCs/>
      <w:color w:val="FFFFFF"/>
      <w:sz w:val="18"/>
      <w:szCs w:val="18"/>
      <w:lang w:eastAsia="ko-KR"/>
    </w:rPr>
  </w:style>
  <w:style w:type="paragraph" w:customStyle="1" w:styleId="xl76">
    <w:name w:val="xl76"/>
    <w:basedOn w:val="Normal"/>
    <w:rsid w:val="00444D61"/>
    <w:pPr>
      <w:pBdr>
        <w:top w:val="single" w:sz="4" w:space="0" w:color="auto"/>
        <w:left w:val="single" w:sz="4" w:space="0" w:color="auto"/>
        <w:right w:val="single" w:sz="4" w:space="0" w:color="auto"/>
      </w:pBdr>
      <w:shd w:val="clear" w:color="000000" w:fill="16145F"/>
      <w:spacing w:before="100" w:beforeAutospacing="1" w:after="100" w:afterAutospacing="1"/>
      <w:jc w:val="center"/>
      <w:textAlignment w:val="center"/>
    </w:pPr>
    <w:rPr>
      <w:rFonts w:ascii="Arial" w:hAnsi="Arial" w:cs="Arial"/>
      <w:b/>
      <w:bCs/>
      <w:color w:val="FFFFFF"/>
      <w:sz w:val="18"/>
      <w:szCs w:val="18"/>
      <w:lang w:eastAsia="ko-KR"/>
    </w:rPr>
  </w:style>
  <w:style w:type="paragraph" w:customStyle="1" w:styleId="xl77">
    <w:name w:val="xl77"/>
    <w:basedOn w:val="Normal"/>
    <w:rsid w:val="00444D61"/>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78">
    <w:name w:val="xl78"/>
    <w:basedOn w:val="Normal"/>
    <w:rsid w:val="00444D61"/>
    <w:pPr>
      <w:pBdr>
        <w:left w:val="single" w:sz="4" w:space="18" w:color="auto"/>
        <w:right w:val="single" w:sz="4" w:space="0" w:color="auto"/>
      </w:pBdr>
      <w:spacing w:before="100" w:beforeAutospacing="1" w:after="100" w:afterAutospacing="1"/>
      <w:ind w:firstLineChars="200" w:firstLine="200"/>
      <w:textAlignment w:val="center"/>
    </w:pPr>
    <w:rPr>
      <w:rFonts w:ascii="Arial" w:hAnsi="Arial" w:cs="Arial"/>
      <w:b/>
      <w:bCs/>
      <w:sz w:val="18"/>
      <w:szCs w:val="18"/>
      <w:lang w:eastAsia="ko-KR"/>
    </w:rPr>
  </w:style>
  <w:style w:type="paragraph" w:customStyle="1" w:styleId="xl79">
    <w:name w:val="xl79"/>
    <w:basedOn w:val="Normal"/>
    <w:rsid w:val="00444D61"/>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80">
    <w:name w:val="xl80"/>
    <w:basedOn w:val="Normal"/>
    <w:rsid w:val="00444D61"/>
    <w:pPr>
      <w:pBdr>
        <w:left w:val="single" w:sz="4" w:space="18" w:color="auto"/>
        <w:right w:val="single" w:sz="4" w:space="0" w:color="auto"/>
      </w:pBdr>
      <w:spacing w:before="100" w:beforeAutospacing="1" w:after="100" w:afterAutospacing="1"/>
      <w:ind w:firstLineChars="200" w:firstLine="200"/>
      <w:textAlignment w:val="center"/>
    </w:pPr>
    <w:rPr>
      <w:rFonts w:ascii="Arial" w:hAnsi="Arial" w:cs="Arial"/>
      <w:sz w:val="18"/>
      <w:szCs w:val="18"/>
      <w:lang w:eastAsia="ko-KR"/>
    </w:rPr>
  </w:style>
  <w:style w:type="paragraph" w:customStyle="1" w:styleId="xl81">
    <w:name w:val="xl81"/>
    <w:basedOn w:val="Normal"/>
    <w:rsid w:val="00444D61"/>
    <w:pPr>
      <w:pBdr>
        <w:top w:val="single" w:sz="4" w:space="0" w:color="auto"/>
        <w:lef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82">
    <w:name w:val="xl82"/>
    <w:basedOn w:val="Normal"/>
    <w:rsid w:val="00444D6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83">
    <w:name w:val="xl83"/>
    <w:basedOn w:val="Normal"/>
    <w:rsid w:val="00444D61"/>
    <w:pPr>
      <w:pBdr>
        <w:left w:val="single" w:sz="4" w:space="18" w:color="auto"/>
      </w:pBdr>
      <w:spacing w:before="100" w:beforeAutospacing="1" w:after="100" w:afterAutospacing="1"/>
      <w:ind w:firstLineChars="200" w:firstLine="200"/>
      <w:textAlignment w:val="center"/>
    </w:pPr>
    <w:rPr>
      <w:rFonts w:ascii="Arial" w:hAnsi="Arial" w:cs="Arial"/>
      <w:sz w:val="18"/>
      <w:szCs w:val="18"/>
      <w:lang w:eastAsia="ko-KR"/>
    </w:rPr>
  </w:style>
  <w:style w:type="paragraph" w:customStyle="1" w:styleId="xl84">
    <w:name w:val="xl84"/>
    <w:basedOn w:val="Normal"/>
    <w:rsid w:val="00444D61"/>
    <w:pPr>
      <w:pBdr>
        <w:left w:val="single" w:sz="4" w:space="9" w:color="auto"/>
      </w:pBdr>
      <w:spacing w:before="100" w:beforeAutospacing="1" w:after="100" w:afterAutospacing="1"/>
      <w:ind w:firstLineChars="100" w:firstLine="100"/>
      <w:textAlignment w:val="center"/>
    </w:pPr>
    <w:rPr>
      <w:rFonts w:ascii="Arial" w:hAnsi="Arial" w:cs="Arial"/>
      <w:sz w:val="18"/>
      <w:szCs w:val="18"/>
      <w:lang w:eastAsia="ko-KR"/>
    </w:rPr>
  </w:style>
  <w:style w:type="paragraph" w:customStyle="1" w:styleId="xl85">
    <w:name w:val="xl85"/>
    <w:basedOn w:val="Normal"/>
    <w:rsid w:val="00444D61"/>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86">
    <w:name w:val="xl86"/>
    <w:basedOn w:val="Normal"/>
    <w:rsid w:val="00444D61"/>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87">
    <w:name w:val="xl87"/>
    <w:basedOn w:val="Normal"/>
    <w:rsid w:val="00444D61"/>
    <w:pPr>
      <w:pBdr>
        <w:left w:val="single" w:sz="4" w:space="27" w:color="auto"/>
        <w:right w:val="single" w:sz="4" w:space="0" w:color="auto"/>
      </w:pBdr>
      <w:spacing w:before="100" w:beforeAutospacing="1" w:after="100" w:afterAutospacing="1"/>
      <w:ind w:firstLineChars="300" w:firstLine="300"/>
      <w:textAlignment w:val="center"/>
    </w:pPr>
    <w:rPr>
      <w:rFonts w:ascii="Arial" w:hAnsi="Arial" w:cs="Arial"/>
      <w:sz w:val="18"/>
      <w:szCs w:val="18"/>
      <w:lang w:eastAsia="ko-KR"/>
    </w:rPr>
  </w:style>
  <w:style w:type="paragraph" w:customStyle="1" w:styleId="xl88">
    <w:name w:val="xl88"/>
    <w:basedOn w:val="Normal"/>
    <w:rsid w:val="00444D61"/>
    <w:pPr>
      <w:pBdr>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89">
    <w:name w:val="xl89"/>
    <w:basedOn w:val="Normal"/>
    <w:rsid w:val="00444D61"/>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90">
    <w:name w:val="xl90"/>
    <w:basedOn w:val="Normal"/>
    <w:rsid w:val="00444D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91">
    <w:name w:val="xl91"/>
    <w:basedOn w:val="Normal"/>
    <w:rsid w:val="00444D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92">
    <w:name w:val="xl92"/>
    <w:basedOn w:val="Normal"/>
    <w:rsid w:val="00444D61"/>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93">
    <w:name w:val="xl93"/>
    <w:basedOn w:val="Normal"/>
    <w:rsid w:val="00444D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94">
    <w:name w:val="xl94"/>
    <w:basedOn w:val="Normal"/>
    <w:rsid w:val="00444D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95">
    <w:name w:val="xl95"/>
    <w:basedOn w:val="Normal"/>
    <w:rsid w:val="00444D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96">
    <w:name w:val="xl96"/>
    <w:basedOn w:val="Normal"/>
    <w:rsid w:val="00444D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97">
    <w:name w:val="xl97"/>
    <w:basedOn w:val="Normal"/>
    <w:rsid w:val="00444D61"/>
    <w:pPr>
      <w:pBdr>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98">
    <w:name w:val="xl98"/>
    <w:basedOn w:val="Normal"/>
    <w:rsid w:val="00444D61"/>
    <w:pPr>
      <w:pBdr>
        <w:lef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99">
    <w:name w:val="xl99"/>
    <w:basedOn w:val="Normal"/>
    <w:rsid w:val="00444D61"/>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00">
    <w:name w:val="xl100"/>
    <w:basedOn w:val="Normal"/>
    <w:rsid w:val="00444D61"/>
    <w:pPr>
      <w:pBdr>
        <w:left w:val="single" w:sz="4" w:space="18"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b/>
      <w:bCs/>
      <w:sz w:val="18"/>
      <w:szCs w:val="18"/>
      <w:lang w:eastAsia="ko-KR"/>
    </w:rPr>
  </w:style>
  <w:style w:type="paragraph" w:customStyle="1" w:styleId="xl101">
    <w:name w:val="xl101"/>
    <w:basedOn w:val="Normal"/>
    <w:rsid w:val="00444D61"/>
    <w:pPr>
      <w:pBdr>
        <w:left w:val="single" w:sz="4" w:space="31" w:color="auto"/>
      </w:pBdr>
      <w:spacing w:before="100" w:beforeAutospacing="1" w:after="100" w:afterAutospacing="1"/>
      <w:ind w:firstLineChars="600" w:firstLine="600"/>
      <w:textAlignment w:val="center"/>
    </w:pPr>
    <w:rPr>
      <w:rFonts w:ascii="Arial" w:hAnsi="Arial" w:cs="Arial"/>
      <w:sz w:val="18"/>
      <w:szCs w:val="18"/>
      <w:lang w:eastAsia="ko-KR"/>
    </w:rPr>
  </w:style>
  <w:style w:type="paragraph" w:customStyle="1" w:styleId="xl102">
    <w:name w:val="xl102"/>
    <w:basedOn w:val="Normal"/>
    <w:rsid w:val="00444D61"/>
    <w:pPr>
      <w:pBdr>
        <w:left w:val="single" w:sz="4" w:space="31" w:color="auto"/>
      </w:pBdr>
      <w:spacing w:before="100" w:beforeAutospacing="1" w:after="100" w:afterAutospacing="1"/>
      <w:ind w:firstLineChars="400" w:firstLine="400"/>
      <w:textAlignment w:val="center"/>
    </w:pPr>
    <w:rPr>
      <w:rFonts w:ascii="Arial" w:hAnsi="Arial" w:cs="Arial"/>
      <w:sz w:val="18"/>
      <w:szCs w:val="18"/>
      <w:lang w:eastAsia="ko-KR"/>
    </w:rPr>
  </w:style>
  <w:style w:type="paragraph" w:customStyle="1" w:styleId="xl103">
    <w:name w:val="xl103"/>
    <w:basedOn w:val="Normal"/>
    <w:rsid w:val="00444D61"/>
    <w:pPr>
      <w:pBdr>
        <w:left w:val="single" w:sz="4" w:space="18" w:color="auto"/>
        <w:bottom w:val="single" w:sz="4" w:space="0" w:color="auto"/>
      </w:pBdr>
      <w:spacing w:before="100" w:beforeAutospacing="1" w:after="100" w:afterAutospacing="1"/>
      <w:ind w:firstLineChars="200" w:firstLine="200"/>
      <w:textAlignment w:val="center"/>
    </w:pPr>
    <w:rPr>
      <w:rFonts w:ascii="Arial" w:hAnsi="Arial" w:cs="Arial"/>
      <w:sz w:val="18"/>
      <w:szCs w:val="18"/>
      <w:lang w:eastAsia="ko-KR"/>
    </w:rPr>
  </w:style>
  <w:style w:type="paragraph" w:customStyle="1" w:styleId="xl104">
    <w:name w:val="xl104"/>
    <w:basedOn w:val="Normal"/>
    <w:rsid w:val="00444D61"/>
    <w:pPr>
      <w:pBdr>
        <w:left w:val="single" w:sz="4" w:space="18" w:color="auto"/>
        <w:bottom w:val="single" w:sz="4" w:space="0" w:color="auto"/>
        <w:right w:val="single" w:sz="4" w:space="0" w:color="auto"/>
      </w:pBdr>
      <w:spacing w:before="100" w:beforeAutospacing="1" w:after="100" w:afterAutospacing="1"/>
      <w:ind w:firstLineChars="200" w:firstLine="200"/>
      <w:textAlignment w:val="center"/>
    </w:pPr>
    <w:rPr>
      <w:rFonts w:ascii="Arial" w:hAnsi="Arial" w:cs="Arial"/>
      <w:sz w:val="18"/>
      <w:szCs w:val="18"/>
      <w:lang w:eastAsia="ko-KR"/>
    </w:rPr>
  </w:style>
  <w:style w:type="paragraph" w:customStyle="1" w:styleId="xl105">
    <w:name w:val="xl105"/>
    <w:basedOn w:val="Normal"/>
    <w:rsid w:val="00444D61"/>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06">
    <w:name w:val="xl106"/>
    <w:basedOn w:val="Normal"/>
    <w:rsid w:val="00444D61"/>
    <w:pPr>
      <w:pBdr>
        <w:left w:val="single" w:sz="4" w:space="31" w:color="auto"/>
        <w:bottom w:val="single" w:sz="4" w:space="0" w:color="auto"/>
      </w:pBdr>
      <w:spacing w:before="100" w:beforeAutospacing="1" w:after="100" w:afterAutospacing="1"/>
      <w:ind w:firstLineChars="400" w:firstLine="400"/>
      <w:textAlignment w:val="center"/>
    </w:pPr>
    <w:rPr>
      <w:rFonts w:ascii="Arial" w:hAnsi="Arial" w:cs="Arial"/>
      <w:sz w:val="18"/>
      <w:szCs w:val="18"/>
      <w:lang w:eastAsia="ko-KR"/>
    </w:rPr>
  </w:style>
  <w:style w:type="paragraph" w:customStyle="1" w:styleId="xl107">
    <w:name w:val="xl107"/>
    <w:basedOn w:val="Normal"/>
    <w:rsid w:val="00444D61"/>
    <w:pPr>
      <w:pBdr>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108">
    <w:name w:val="xl108"/>
    <w:basedOn w:val="Normal"/>
    <w:rsid w:val="00444D6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109">
    <w:name w:val="xl109"/>
    <w:basedOn w:val="Normal"/>
    <w:rsid w:val="00444D61"/>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8"/>
      <w:szCs w:val="18"/>
      <w:lang w:eastAsia="ko-KR"/>
    </w:rPr>
  </w:style>
  <w:style w:type="paragraph" w:customStyle="1" w:styleId="xl110">
    <w:name w:val="xl110"/>
    <w:basedOn w:val="Normal"/>
    <w:rsid w:val="00444D61"/>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8"/>
      <w:szCs w:val="18"/>
      <w:lang w:eastAsia="ko-KR"/>
    </w:rPr>
  </w:style>
  <w:style w:type="paragraph" w:customStyle="1" w:styleId="xl111">
    <w:name w:val="xl111"/>
    <w:basedOn w:val="Normal"/>
    <w:rsid w:val="00444D61"/>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lang w:eastAsia="ko-KR"/>
    </w:rPr>
  </w:style>
  <w:style w:type="paragraph" w:customStyle="1" w:styleId="xl112">
    <w:name w:val="xl112"/>
    <w:basedOn w:val="Normal"/>
    <w:rsid w:val="00444D61"/>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113">
    <w:name w:val="xl113"/>
    <w:basedOn w:val="Normal"/>
    <w:rsid w:val="00444D61"/>
    <w:pPr>
      <w:pBdr>
        <w:top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114">
    <w:name w:val="xl114"/>
    <w:basedOn w:val="Normal"/>
    <w:rsid w:val="00444D6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15">
    <w:name w:val="xl115"/>
    <w:basedOn w:val="Normal"/>
    <w:rsid w:val="00444D61"/>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16">
    <w:name w:val="xl116"/>
    <w:basedOn w:val="Normal"/>
    <w:rsid w:val="00444D61"/>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117">
    <w:name w:val="xl117"/>
    <w:basedOn w:val="Normal"/>
    <w:rsid w:val="00444D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18">
    <w:name w:val="xl118"/>
    <w:basedOn w:val="Normal"/>
    <w:rsid w:val="00444D61"/>
    <w:pPr>
      <w:pBdr>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19">
    <w:name w:val="xl119"/>
    <w:basedOn w:val="Normal"/>
    <w:rsid w:val="00444D61"/>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20">
    <w:name w:val="xl120"/>
    <w:basedOn w:val="Normal"/>
    <w:rsid w:val="00444D61"/>
    <w:pPr>
      <w:pBdr>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121">
    <w:name w:val="xl121"/>
    <w:basedOn w:val="Normal"/>
    <w:rsid w:val="00444D61"/>
    <w:pPr>
      <w:pBdr>
        <w:bottom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122">
    <w:name w:val="xl122"/>
    <w:basedOn w:val="Normal"/>
    <w:rsid w:val="00444D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123">
    <w:name w:val="xl123"/>
    <w:basedOn w:val="Normal"/>
    <w:rsid w:val="00444D61"/>
    <w:pPr>
      <w:pBdr>
        <w:left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124">
    <w:name w:val="xl124"/>
    <w:basedOn w:val="Normal"/>
    <w:rsid w:val="00444D6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125">
    <w:name w:val="xl125"/>
    <w:basedOn w:val="Normal"/>
    <w:rsid w:val="00444D61"/>
    <w:pPr>
      <w:pBdr>
        <w:top w:val="single" w:sz="4" w:space="0" w:color="auto"/>
        <w:right w:val="single" w:sz="4" w:space="0" w:color="auto"/>
      </w:pBdr>
      <w:spacing w:before="100" w:beforeAutospacing="1" w:after="100" w:afterAutospacing="1"/>
      <w:textAlignment w:val="top"/>
    </w:pPr>
    <w:rPr>
      <w:rFonts w:ascii="Arial" w:hAnsi="Arial" w:cs="Arial"/>
      <w:sz w:val="18"/>
      <w:szCs w:val="18"/>
      <w:lang w:eastAsia="ko-KR"/>
    </w:rPr>
  </w:style>
  <w:style w:type="paragraph" w:customStyle="1" w:styleId="xl126">
    <w:name w:val="xl126"/>
    <w:basedOn w:val="Normal"/>
    <w:rsid w:val="00444D61"/>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127">
    <w:name w:val="xl127"/>
    <w:basedOn w:val="Normal"/>
    <w:rsid w:val="00444D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styleId="Revision">
    <w:name w:val="Revision"/>
    <w:hidden/>
    <w:uiPriority w:val="71"/>
    <w:semiHidden/>
    <w:rsid w:val="00CA03A4"/>
    <w:rPr>
      <w:rFonts w:ascii="Cambria" w:hAnsi="Cambria"/>
      <w:lang w:eastAsia="en-US"/>
    </w:rPr>
  </w:style>
  <w:style w:type="paragraph" w:styleId="NormalWeb">
    <w:name w:val="Normal (Web)"/>
    <w:basedOn w:val="Normal"/>
    <w:uiPriority w:val="99"/>
    <w:unhideWhenUsed/>
    <w:rsid w:val="00CA03A4"/>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20"/>
    <w:qFormat/>
    <w:rsid w:val="00454E48"/>
    <w:rPr>
      <w:i/>
      <w:iCs/>
    </w:rPr>
  </w:style>
  <w:style w:type="paragraph" w:customStyle="1" w:styleId="xl65">
    <w:name w:val="xl65"/>
    <w:basedOn w:val="Normal"/>
    <w:rsid w:val="0045437F"/>
    <w:pPr>
      <w:spacing w:before="100" w:beforeAutospacing="1" w:after="100" w:afterAutospacing="1"/>
      <w:jc w:val="center"/>
    </w:pPr>
    <w:rPr>
      <w:rFonts w:ascii="Arial" w:hAnsi="Arial" w:cs="Arial"/>
      <w:sz w:val="24"/>
      <w:szCs w:val="24"/>
      <w:lang w:eastAsia="ko-KR"/>
    </w:rPr>
  </w:style>
  <w:style w:type="paragraph" w:customStyle="1" w:styleId="xl66">
    <w:name w:val="xl66"/>
    <w:basedOn w:val="Normal"/>
    <w:rsid w:val="0045437F"/>
    <w:pPr>
      <w:spacing w:before="100" w:beforeAutospacing="1" w:after="100" w:afterAutospacing="1"/>
      <w:jc w:val="center"/>
    </w:pPr>
    <w:rPr>
      <w:rFonts w:ascii="Arial" w:hAnsi="Arial" w:cs="Arial"/>
      <w:sz w:val="24"/>
      <w:szCs w:val="24"/>
      <w:lang w:eastAsia="ko-KR"/>
    </w:rPr>
  </w:style>
  <w:style w:type="paragraph" w:customStyle="1" w:styleId="xl67">
    <w:name w:val="xl67"/>
    <w:basedOn w:val="Normal"/>
    <w:rsid w:val="0045437F"/>
    <w:pPr>
      <w:pBdr>
        <w:top w:val="single" w:sz="4" w:space="0" w:color="auto"/>
        <w:left w:val="single" w:sz="4" w:space="0" w:color="auto"/>
        <w:right w:val="single" w:sz="4" w:space="0" w:color="auto"/>
      </w:pBdr>
      <w:shd w:val="clear" w:color="000000" w:fill="16145F"/>
      <w:spacing w:before="100" w:beforeAutospacing="1" w:after="100" w:afterAutospacing="1"/>
      <w:jc w:val="center"/>
      <w:textAlignment w:val="center"/>
    </w:pPr>
    <w:rPr>
      <w:rFonts w:ascii="Arial" w:hAnsi="Arial" w:cs="Arial"/>
      <w:b/>
      <w:bCs/>
      <w:color w:val="FFFFFF"/>
      <w:sz w:val="18"/>
      <w:szCs w:val="18"/>
      <w:lang w:eastAsia="ko-KR"/>
    </w:rPr>
  </w:style>
  <w:style w:type="paragraph" w:customStyle="1" w:styleId="xl68">
    <w:name w:val="xl68"/>
    <w:basedOn w:val="Normal"/>
    <w:rsid w:val="0045437F"/>
    <w:pPr>
      <w:pBdr>
        <w:top w:val="single" w:sz="4" w:space="0" w:color="auto"/>
        <w:left w:val="single" w:sz="4" w:space="0" w:color="auto"/>
        <w:right w:val="single" w:sz="4" w:space="0" w:color="auto"/>
      </w:pBdr>
      <w:shd w:val="clear" w:color="000000" w:fill="16145F"/>
      <w:spacing w:before="100" w:beforeAutospacing="1" w:after="100" w:afterAutospacing="1"/>
      <w:textAlignment w:val="center"/>
    </w:pPr>
    <w:rPr>
      <w:rFonts w:ascii="Arial" w:hAnsi="Arial" w:cs="Arial"/>
      <w:b/>
      <w:bCs/>
      <w:color w:val="FFFFFF"/>
      <w:sz w:val="18"/>
      <w:szCs w:val="18"/>
      <w:lang w:eastAsia="ko-KR"/>
    </w:rPr>
  </w:style>
  <w:style w:type="paragraph" w:customStyle="1" w:styleId="xl69">
    <w:name w:val="xl69"/>
    <w:basedOn w:val="Normal"/>
    <w:rsid w:val="0045437F"/>
    <w:pPr>
      <w:pBdr>
        <w:top w:val="single" w:sz="4" w:space="0" w:color="auto"/>
        <w:left w:val="single" w:sz="4" w:space="0" w:color="auto"/>
        <w:right w:val="single" w:sz="4" w:space="0" w:color="auto"/>
      </w:pBdr>
      <w:shd w:val="clear" w:color="000000" w:fill="16145F"/>
      <w:spacing w:before="100" w:beforeAutospacing="1" w:after="100" w:afterAutospacing="1"/>
      <w:jc w:val="center"/>
      <w:textAlignment w:val="center"/>
    </w:pPr>
    <w:rPr>
      <w:rFonts w:ascii="Arial" w:hAnsi="Arial" w:cs="Arial"/>
      <w:b/>
      <w:bCs/>
      <w:color w:val="FFFFFF"/>
      <w:sz w:val="18"/>
      <w:szCs w:val="18"/>
      <w:lang w:eastAsia="ko-KR"/>
    </w:rPr>
  </w:style>
  <w:style w:type="paragraph" w:customStyle="1" w:styleId="xl70">
    <w:name w:val="xl70"/>
    <w:basedOn w:val="Normal"/>
    <w:rsid w:val="0045437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71">
    <w:name w:val="xl71"/>
    <w:basedOn w:val="Normal"/>
    <w:rsid w:val="0045437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128">
    <w:name w:val="xl128"/>
    <w:basedOn w:val="Normal"/>
    <w:rsid w:val="0045437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129">
    <w:name w:val="xl129"/>
    <w:basedOn w:val="Normal"/>
    <w:rsid w:val="0045437F"/>
    <w:pPr>
      <w:pBdr>
        <w:top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8"/>
      <w:szCs w:val="18"/>
      <w:lang w:eastAsia="ko-KR"/>
    </w:rPr>
  </w:style>
  <w:style w:type="paragraph" w:customStyle="1" w:styleId="xl130">
    <w:name w:val="xl130"/>
    <w:basedOn w:val="Normal"/>
    <w:rsid w:val="0045437F"/>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31">
    <w:name w:val="xl131"/>
    <w:basedOn w:val="Normal"/>
    <w:rsid w:val="0045437F"/>
    <w:pPr>
      <w:pBdr>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32">
    <w:name w:val="xl132"/>
    <w:basedOn w:val="Normal"/>
    <w:rsid w:val="0045437F"/>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33">
    <w:name w:val="xl133"/>
    <w:basedOn w:val="Normal"/>
    <w:rsid w:val="004543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34">
    <w:name w:val="xl134"/>
    <w:basedOn w:val="Normal"/>
    <w:rsid w:val="0045437F"/>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35">
    <w:name w:val="xl135"/>
    <w:basedOn w:val="Normal"/>
    <w:rsid w:val="004543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36">
    <w:name w:val="xl136"/>
    <w:basedOn w:val="Normal"/>
    <w:rsid w:val="004543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37">
    <w:name w:val="xl137"/>
    <w:basedOn w:val="Normal"/>
    <w:rsid w:val="0045437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8"/>
      <w:szCs w:val="18"/>
      <w:lang w:eastAsia="ko-KR"/>
    </w:rPr>
  </w:style>
  <w:style w:type="paragraph" w:customStyle="1" w:styleId="xl138">
    <w:name w:val="xl138"/>
    <w:basedOn w:val="Normal"/>
    <w:rsid w:val="0045437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39">
    <w:name w:val="xl139"/>
    <w:basedOn w:val="Normal"/>
    <w:rsid w:val="0045437F"/>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40">
    <w:name w:val="xl140"/>
    <w:basedOn w:val="Normal"/>
    <w:rsid w:val="0045437F"/>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sz w:val="18"/>
      <w:szCs w:val="18"/>
      <w:lang w:eastAsia="ko-KR"/>
    </w:rPr>
  </w:style>
  <w:style w:type="paragraph" w:customStyle="1" w:styleId="xl141">
    <w:name w:val="xl141"/>
    <w:basedOn w:val="Normal"/>
    <w:rsid w:val="004543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42">
    <w:name w:val="xl142"/>
    <w:basedOn w:val="Normal"/>
    <w:rsid w:val="0045437F"/>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font7">
    <w:name w:val="font7"/>
    <w:basedOn w:val="Normal"/>
    <w:rsid w:val="0045437F"/>
    <w:pPr>
      <w:spacing w:before="100" w:beforeAutospacing="1" w:after="100" w:afterAutospacing="1"/>
    </w:pPr>
    <w:rPr>
      <w:rFonts w:ascii="Arial" w:hAnsi="Arial" w:cs="Arial"/>
      <w:b/>
      <w:bCs/>
      <w:color w:val="000000"/>
      <w:sz w:val="24"/>
      <w:szCs w:val="24"/>
      <w:lang w:eastAsia="ko-KR"/>
    </w:rPr>
  </w:style>
  <w:style w:type="paragraph" w:customStyle="1" w:styleId="xl143">
    <w:name w:val="xl143"/>
    <w:basedOn w:val="Normal"/>
    <w:rsid w:val="0045437F"/>
    <w:pPr>
      <w:pBdr>
        <w:bottom w:val="single" w:sz="4" w:space="0" w:color="auto"/>
        <w:right w:val="single" w:sz="4" w:space="0" w:color="auto"/>
      </w:pBdr>
      <w:spacing w:before="100" w:beforeAutospacing="1" w:after="100" w:afterAutospacing="1"/>
      <w:textAlignment w:val="top"/>
    </w:pPr>
    <w:rPr>
      <w:rFonts w:ascii="Arial" w:hAnsi="Arial" w:cs="Arial"/>
      <w:sz w:val="24"/>
      <w:szCs w:val="24"/>
      <w:lang w:eastAsia="ko-KR"/>
    </w:rPr>
  </w:style>
  <w:style w:type="paragraph" w:customStyle="1" w:styleId="xl144">
    <w:name w:val="xl144"/>
    <w:basedOn w:val="Normal"/>
    <w:rsid w:val="0045437F"/>
    <w:pPr>
      <w:pBdr>
        <w:top w:val="single" w:sz="4" w:space="0" w:color="auto"/>
        <w:left w:val="single" w:sz="4" w:space="9" w:color="auto"/>
        <w:right w:val="single" w:sz="4" w:space="0" w:color="auto"/>
      </w:pBdr>
      <w:spacing w:before="100" w:beforeAutospacing="1" w:after="100" w:afterAutospacing="1"/>
      <w:ind w:firstLineChars="100" w:firstLine="100"/>
      <w:textAlignment w:val="center"/>
    </w:pPr>
    <w:rPr>
      <w:rFonts w:ascii="Arial" w:hAnsi="Arial" w:cs="Arial"/>
      <w:i/>
      <w:iCs/>
      <w:lang w:eastAsia="ko-KR"/>
    </w:rPr>
  </w:style>
  <w:style w:type="paragraph" w:customStyle="1" w:styleId="xl145">
    <w:name w:val="xl145"/>
    <w:basedOn w:val="Normal"/>
    <w:rsid w:val="0045437F"/>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i/>
      <w:iCs/>
      <w:lang w:eastAsia="ko-KR"/>
    </w:rPr>
  </w:style>
  <w:style w:type="paragraph" w:customStyle="1" w:styleId="xl146">
    <w:name w:val="xl146"/>
    <w:basedOn w:val="Normal"/>
    <w:rsid w:val="0045437F"/>
    <w:pPr>
      <w:pBdr>
        <w:top w:val="single" w:sz="4" w:space="0" w:color="auto"/>
        <w:left w:val="single" w:sz="4" w:space="0" w:color="auto"/>
      </w:pBdr>
      <w:spacing w:before="100" w:beforeAutospacing="1" w:after="100" w:afterAutospacing="1"/>
      <w:jc w:val="center"/>
    </w:pPr>
    <w:rPr>
      <w:rFonts w:ascii="Arial" w:hAnsi="Arial" w:cs="Arial"/>
      <w:sz w:val="18"/>
      <w:szCs w:val="18"/>
      <w:lang w:eastAsia="ko-KR"/>
    </w:rPr>
  </w:style>
  <w:style w:type="paragraph" w:customStyle="1" w:styleId="xl147">
    <w:name w:val="xl147"/>
    <w:basedOn w:val="Normal"/>
    <w:rsid w:val="0045437F"/>
    <w:pPr>
      <w:pBdr>
        <w:left w:val="single" w:sz="4" w:space="0" w:color="auto"/>
      </w:pBdr>
      <w:spacing w:before="100" w:beforeAutospacing="1" w:after="100" w:afterAutospacing="1"/>
      <w:jc w:val="center"/>
    </w:pPr>
    <w:rPr>
      <w:rFonts w:ascii="Arial" w:hAnsi="Arial" w:cs="Arial"/>
      <w:sz w:val="18"/>
      <w:szCs w:val="18"/>
      <w:lang w:eastAsia="ko-KR"/>
    </w:rPr>
  </w:style>
  <w:style w:type="paragraph" w:customStyle="1" w:styleId="xl148">
    <w:name w:val="xl148"/>
    <w:basedOn w:val="Normal"/>
    <w:rsid w:val="0045437F"/>
    <w:pPr>
      <w:spacing w:before="100" w:beforeAutospacing="1" w:after="100" w:afterAutospacing="1"/>
      <w:textAlignment w:val="center"/>
    </w:pPr>
    <w:rPr>
      <w:rFonts w:ascii="Arial" w:hAnsi="Arial" w:cs="Arial"/>
      <w:b/>
      <w:bCs/>
      <w:sz w:val="18"/>
      <w:szCs w:val="18"/>
      <w:lang w:eastAsia="ko-KR"/>
    </w:rPr>
  </w:style>
  <w:style w:type="paragraph" w:customStyle="1" w:styleId="xl149">
    <w:name w:val="xl149"/>
    <w:basedOn w:val="Normal"/>
    <w:rsid w:val="0045437F"/>
    <w:pPr>
      <w:spacing w:before="100" w:beforeAutospacing="1" w:after="100" w:afterAutospacing="1"/>
      <w:textAlignment w:val="center"/>
    </w:pPr>
    <w:rPr>
      <w:rFonts w:ascii="Arial" w:hAnsi="Arial" w:cs="Arial"/>
      <w:sz w:val="18"/>
      <w:szCs w:val="18"/>
      <w:lang w:eastAsia="ko-KR"/>
    </w:rPr>
  </w:style>
  <w:style w:type="paragraph" w:customStyle="1" w:styleId="xl150">
    <w:name w:val="xl150"/>
    <w:basedOn w:val="Normal"/>
    <w:rsid w:val="0045437F"/>
    <w:pPr>
      <w:pBdr>
        <w:left w:val="single" w:sz="4" w:space="0" w:color="auto"/>
        <w:bottom w:val="single" w:sz="4" w:space="0" w:color="auto"/>
      </w:pBdr>
      <w:spacing w:before="100" w:beforeAutospacing="1" w:after="100" w:afterAutospacing="1"/>
      <w:jc w:val="center"/>
    </w:pPr>
    <w:rPr>
      <w:rFonts w:ascii="Arial" w:hAnsi="Arial" w:cs="Arial"/>
      <w:sz w:val="18"/>
      <w:szCs w:val="18"/>
      <w:lang w:eastAsia="ko-KR"/>
    </w:rPr>
  </w:style>
  <w:style w:type="paragraph" w:customStyle="1" w:styleId="xl151">
    <w:name w:val="xl151"/>
    <w:basedOn w:val="Normal"/>
    <w:rsid w:val="0045437F"/>
    <w:pPr>
      <w:pBdr>
        <w:bottom w:val="single" w:sz="4" w:space="0" w:color="auto"/>
      </w:pBdr>
      <w:spacing w:before="100" w:beforeAutospacing="1" w:after="100" w:afterAutospacing="1"/>
      <w:textAlignment w:val="center"/>
    </w:pPr>
    <w:rPr>
      <w:rFonts w:ascii="Arial" w:hAnsi="Arial" w:cs="Arial"/>
      <w:b/>
      <w:bCs/>
      <w:sz w:val="18"/>
      <w:szCs w:val="18"/>
      <w:lang w:eastAsia="ko-KR"/>
    </w:rPr>
  </w:style>
  <w:style w:type="paragraph" w:customStyle="1" w:styleId="xl152">
    <w:name w:val="xl152"/>
    <w:basedOn w:val="Normal"/>
    <w:rsid w:val="0045437F"/>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53">
    <w:name w:val="xl153"/>
    <w:basedOn w:val="Normal"/>
    <w:rsid w:val="0045437F"/>
    <w:pPr>
      <w:pBdr>
        <w:top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54">
    <w:name w:val="xl154"/>
    <w:basedOn w:val="Normal"/>
    <w:rsid w:val="0045437F"/>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155">
    <w:name w:val="xl155"/>
    <w:basedOn w:val="Normal"/>
    <w:rsid w:val="0045437F"/>
    <w:pPr>
      <w:pBdr>
        <w:left w:val="single" w:sz="4" w:space="0" w:color="auto"/>
        <w:bottom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156">
    <w:name w:val="xl156"/>
    <w:basedOn w:val="Normal"/>
    <w:rsid w:val="0045437F"/>
    <w:pPr>
      <w:pBdr>
        <w:bottom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157">
    <w:name w:val="xl157"/>
    <w:basedOn w:val="Normal"/>
    <w:rsid w:val="0045437F"/>
    <w:pPr>
      <w:pBdr>
        <w:top w:val="single" w:sz="4"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lang w:eastAsia="ko-KR"/>
    </w:rPr>
  </w:style>
  <w:style w:type="paragraph" w:customStyle="1" w:styleId="DJCSbullet1">
    <w:name w:val="DJCS bullet 1"/>
    <w:basedOn w:val="DJCSbody"/>
    <w:qFormat/>
    <w:rsid w:val="00896A15"/>
    <w:pPr>
      <w:numPr>
        <w:numId w:val="48"/>
      </w:numPr>
      <w:spacing w:after="40"/>
    </w:pPr>
  </w:style>
  <w:style w:type="paragraph" w:customStyle="1" w:styleId="DJCSbullet2">
    <w:name w:val="DJCS bullet 2"/>
    <w:basedOn w:val="DJCSbody"/>
    <w:uiPriority w:val="2"/>
    <w:rsid w:val="00C71DDF"/>
    <w:pPr>
      <w:numPr>
        <w:ilvl w:val="1"/>
        <w:numId w:val="48"/>
      </w:numPr>
      <w:spacing w:after="40"/>
    </w:pPr>
  </w:style>
  <w:style w:type="paragraph" w:customStyle="1" w:styleId="font12">
    <w:name w:val="font12"/>
    <w:basedOn w:val="Normal"/>
    <w:rsid w:val="00DA554C"/>
    <w:pPr>
      <w:spacing w:before="100" w:beforeAutospacing="1" w:after="100" w:afterAutospacing="1"/>
    </w:pPr>
    <w:rPr>
      <w:rFonts w:ascii="Arial" w:hAnsi="Arial" w:cs="Arial"/>
      <w:b/>
      <w:bCs/>
      <w:color w:val="000000"/>
      <w:sz w:val="18"/>
      <w:szCs w:val="18"/>
      <w:lang w:eastAsia="ko-KR"/>
    </w:rPr>
  </w:style>
  <w:style w:type="paragraph" w:customStyle="1" w:styleId="font13">
    <w:name w:val="font13"/>
    <w:basedOn w:val="Normal"/>
    <w:rsid w:val="00DA554C"/>
    <w:pPr>
      <w:spacing w:before="100" w:beforeAutospacing="1" w:after="100" w:afterAutospacing="1"/>
    </w:pPr>
    <w:rPr>
      <w:rFonts w:ascii="Arial" w:hAnsi="Arial" w:cs="Arial"/>
      <w:color w:val="000000"/>
      <w:sz w:val="18"/>
      <w:szCs w:val="18"/>
      <w:lang w:eastAsia="ko-KR"/>
    </w:rPr>
  </w:style>
  <w:style w:type="paragraph" w:customStyle="1" w:styleId="xl37">
    <w:name w:val="xl37"/>
    <w:basedOn w:val="Normal"/>
    <w:rsid w:val="00DA554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40">
    <w:name w:val="xl40"/>
    <w:basedOn w:val="Normal"/>
    <w:rsid w:val="00DA554C"/>
    <w:pPr>
      <w:pBdr>
        <w:left w:val="single" w:sz="4" w:space="20" w:color="auto"/>
        <w:right w:val="single" w:sz="4" w:space="0" w:color="auto"/>
      </w:pBdr>
      <w:spacing w:before="100" w:beforeAutospacing="1" w:after="100" w:afterAutospacing="1"/>
      <w:ind w:firstLineChars="300" w:firstLine="300"/>
      <w:textAlignment w:val="center"/>
    </w:pPr>
    <w:rPr>
      <w:rFonts w:ascii="Arial" w:hAnsi="Arial" w:cs="Arial"/>
      <w:sz w:val="18"/>
      <w:szCs w:val="18"/>
      <w:lang w:eastAsia="ko-KR"/>
    </w:rPr>
  </w:style>
  <w:style w:type="paragraph" w:customStyle="1" w:styleId="xl43">
    <w:name w:val="xl43"/>
    <w:basedOn w:val="Normal"/>
    <w:rsid w:val="00DA554C"/>
    <w:pPr>
      <w:pBdr>
        <w:top w:val="single" w:sz="4" w:space="0" w:color="auto"/>
        <w:lef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169">
    <w:name w:val="xl169"/>
    <w:basedOn w:val="Normal"/>
    <w:rsid w:val="00DA554C"/>
    <w:pPr>
      <w:shd w:val="clear" w:color="000000" w:fill="F2F2F2"/>
      <w:spacing w:before="100" w:beforeAutospacing="1" w:after="100" w:afterAutospacing="1"/>
      <w:jc w:val="center"/>
      <w:textAlignment w:val="center"/>
    </w:pPr>
    <w:rPr>
      <w:rFonts w:ascii="Arial" w:hAnsi="Arial" w:cs="Arial"/>
      <w:b/>
      <w:bCs/>
      <w:sz w:val="24"/>
      <w:szCs w:val="24"/>
      <w:lang w:eastAsia="ko-KR"/>
    </w:rPr>
  </w:style>
  <w:style w:type="paragraph" w:customStyle="1" w:styleId="xl170">
    <w:name w:val="xl170"/>
    <w:basedOn w:val="Normal"/>
    <w:rsid w:val="00DA554C"/>
    <w:pPr>
      <w:pBdr>
        <w:top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24"/>
      <w:szCs w:val="24"/>
      <w:lang w:eastAsia="ko-KR"/>
    </w:rPr>
  </w:style>
  <w:style w:type="paragraph" w:customStyle="1" w:styleId="xl171">
    <w:name w:val="xl171"/>
    <w:basedOn w:val="Normal"/>
    <w:rsid w:val="00DA554C"/>
    <w:pPr>
      <w:pBdr>
        <w:top w:val="single" w:sz="4" w:space="0" w:color="auto"/>
      </w:pBdr>
      <w:shd w:val="clear" w:color="000000" w:fill="F2F2F2"/>
      <w:spacing w:before="100" w:beforeAutospacing="1" w:after="100" w:afterAutospacing="1"/>
      <w:textAlignment w:val="center"/>
    </w:pPr>
    <w:rPr>
      <w:rFonts w:ascii="Arial" w:hAnsi="Arial" w:cs="Arial"/>
      <w:b/>
      <w:bCs/>
      <w:sz w:val="24"/>
      <w:szCs w:val="24"/>
      <w:lang w:eastAsia="ko-KR"/>
    </w:rPr>
  </w:style>
  <w:style w:type="paragraph" w:customStyle="1" w:styleId="xl175">
    <w:name w:val="xl175"/>
    <w:basedOn w:val="Normal"/>
    <w:rsid w:val="00DA554C"/>
    <w:pPr>
      <w:shd w:val="clear" w:color="000000" w:fill="F2F2F2"/>
      <w:spacing w:before="100" w:beforeAutospacing="1" w:after="100" w:afterAutospacing="1"/>
      <w:jc w:val="center"/>
      <w:textAlignment w:val="center"/>
    </w:pPr>
    <w:rPr>
      <w:rFonts w:ascii="Arial" w:hAnsi="Arial" w:cs="Arial"/>
      <w:sz w:val="16"/>
      <w:szCs w:val="16"/>
      <w:lang w:eastAsia="ko-KR"/>
    </w:rPr>
  </w:style>
  <w:style w:type="paragraph" w:customStyle="1" w:styleId="xl176">
    <w:name w:val="xl176"/>
    <w:basedOn w:val="Normal"/>
    <w:rsid w:val="00DA554C"/>
    <w:pPr>
      <w:shd w:val="clear" w:color="000000" w:fill="F2F2F2"/>
      <w:spacing w:before="100" w:beforeAutospacing="1" w:after="100" w:afterAutospacing="1"/>
      <w:jc w:val="center"/>
      <w:textAlignment w:val="center"/>
    </w:pPr>
    <w:rPr>
      <w:rFonts w:ascii="Arial" w:hAnsi="Arial" w:cs="Arial"/>
      <w:sz w:val="24"/>
      <w:szCs w:val="24"/>
      <w:lang w:eastAsia="ko-KR"/>
    </w:rPr>
  </w:style>
  <w:style w:type="paragraph" w:customStyle="1" w:styleId="xl177">
    <w:name w:val="xl177"/>
    <w:basedOn w:val="Normal"/>
    <w:rsid w:val="00DA554C"/>
    <w:pPr>
      <w:pBdr>
        <w:right w:val="single" w:sz="4" w:space="0" w:color="auto"/>
      </w:pBdr>
      <w:shd w:val="clear" w:color="000000" w:fill="F2F2F2"/>
      <w:spacing w:before="100" w:beforeAutospacing="1" w:after="100" w:afterAutospacing="1"/>
      <w:jc w:val="center"/>
      <w:textAlignment w:val="center"/>
    </w:pPr>
    <w:rPr>
      <w:rFonts w:ascii="Arial" w:hAnsi="Arial" w:cs="Arial"/>
      <w:sz w:val="24"/>
      <w:szCs w:val="24"/>
      <w:lang w:eastAsia="ko-KR"/>
    </w:rPr>
  </w:style>
  <w:style w:type="paragraph" w:customStyle="1" w:styleId="xl178">
    <w:name w:val="xl178"/>
    <w:basedOn w:val="Normal"/>
    <w:rsid w:val="00DA554C"/>
    <w:pPr>
      <w:pBdr>
        <w:left w:val="single" w:sz="4" w:space="0" w:color="auto"/>
      </w:pBdr>
      <w:shd w:val="clear" w:color="000000" w:fill="F2F2F2"/>
      <w:spacing w:before="100" w:beforeAutospacing="1" w:after="100" w:afterAutospacing="1"/>
      <w:jc w:val="center"/>
    </w:pPr>
    <w:rPr>
      <w:rFonts w:ascii="Arial" w:hAnsi="Arial" w:cs="Arial"/>
      <w:sz w:val="24"/>
      <w:szCs w:val="24"/>
      <w:lang w:eastAsia="ko-KR"/>
    </w:rPr>
  </w:style>
  <w:style w:type="paragraph" w:customStyle="1" w:styleId="xl240">
    <w:name w:val="xl240"/>
    <w:basedOn w:val="Normal"/>
    <w:rsid w:val="00DA554C"/>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41">
    <w:name w:val="xl241"/>
    <w:basedOn w:val="Normal"/>
    <w:rsid w:val="00DA554C"/>
    <w:pPr>
      <w:pBdr>
        <w:top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42">
    <w:name w:val="xl242"/>
    <w:basedOn w:val="Normal"/>
    <w:rsid w:val="00DA554C"/>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43">
    <w:name w:val="xl243"/>
    <w:basedOn w:val="Normal"/>
    <w:rsid w:val="00DA554C"/>
    <w:pPr>
      <w:pBdr>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44">
    <w:name w:val="xl244"/>
    <w:basedOn w:val="Normal"/>
    <w:rsid w:val="00DA554C"/>
    <w:pPr>
      <w:spacing w:before="100" w:beforeAutospacing="1" w:after="100" w:afterAutospacing="1"/>
      <w:jc w:val="center"/>
      <w:textAlignment w:val="center"/>
    </w:pPr>
    <w:rPr>
      <w:rFonts w:ascii="Arial" w:hAnsi="Arial" w:cs="Arial"/>
      <w:sz w:val="18"/>
      <w:szCs w:val="18"/>
      <w:lang w:eastAsia="ko-KR"/>
    </w:rPr>
  </w:style>
  <w:style w:type="paragraph" w:customStyle="1" w:styleId="xl245">
    <w:name w:val="xl245"/>
    <w:basedOn w:val="Normal"/>
    <w:rsid w:val="00DA554C"/>
    <w:pPr>
      <w:pBdr>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46">
    <w:name w:val="xl246"/>
    <w:basedOn w:val="Normal"/>
    <w:rsid w:val="00DA55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47">
    <w:name w:val="xl247"/>
    <w:basedOn w:val="Normal"/>
    <w:rsid w:val="00DA554C"/>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48">
    <w:name w:val="xl248"/>
    <w:basedOn w:val="Normal"/>
    <w:rsid w:val="00DA554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50">
    <w:name w:val="xl250"/>
    <w:basedOn w:val="Normal"/>
    <w:rsid w:val="00DA554C"/>
    <w:pPr>
      <w:shd w:val="clear" w:color="000000" w:fill="F2F2F2"/>
      <w:spacing w:before="100" w:beforeAutospacing="1" w:after="100" w:afterAutospacing="1"/>
      <w:jc w:val="center"/>
      <w:textAlignment w:val="center"/>
    </w:pPr>
    <w:rPr>
      <w:rFonts w:ascii="Arial" w:hAnsi="Arial" w:cs="Arial"/>
      <w:sz w:val="24"/>
      <w:szCs w:val="24"/>
      <w:lang w:eastAsia="ko-KR"/>
    </w:rPr>
  </w:style>
  <w:style w:type="paragraph" w:customStyle="1" w:styleId="xl251">
    <w:name w:val="xl251"/>
    <w:basedOn w:val="Normal"/>
    <w:rsid w:val="00DA554C"/>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52">
    <w:name w:val="xl252"/>
    <w:basedOn w:val="Normal"/>
    <w:rsid w:val="00DA554C"/>
    <w:pPr>
      <w:pBdr>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53">
    <w:name w:val="xl253"/>
    <w:basedOn w:val="Normal"/>
    <w:rsid w:val="00DA554C"/>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56">
    <w:name w:val="xl256"/>
    <w:basedOn w:val="Normal"/>
    <w:rsid w:val="00DA554C"/>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24"/>
      <w:szCs w:val="24"/>
      <w:lang w:eastAsia="ko-KR"/>
    </w:rPr>
  </w:style>
  <w:style w:type="paragraph" w:customStyle="1" w:styleId="xl257">
    <w:name w:val="xl257"/>
    <w:basedOn w:val="Normal"/>
    <w:rsid w:val="00DA554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24"/>
      <w:szCs w:val="24"/>
      <w:lang w:eastAsia="ko-KR"/>
    </w:rPr>
  </w:style>
  <w:style w:type="paragraph" w:customStyle="1" w:styleId="xl258">
    <w:name w:val="xl258"/>
    <w:basedOn w:val="Normal"/>
    <w:rsid w:val="00DA554C"/>
    <w:pPr>
      <w:pBdr>
        <w:top w:val="single" w:sz="4" w:space="0" w:color="auto"/>
      </w:pBdr>
      <w:shd w:val="clear" w:color="000000" w:fill="F2F2F2"/>
      <w:spacing w:before="100" w:beforeAutospacing="1" w:after="100" w:afterAutospacing="1"/>
      <w:jc w:val="center"/>
      <w:textAlignment w:val="center"/>
    </w:pPr>
    <w:rPr>
      <w:rFonts w:ascii="Arial" w:hAnsi="Arial" w:cs="Arial"/>
      <w:b/>
      <w:bCs/>
      <w:sz w:val="24"/>
      <w:szCs w:val="24"/>
      <w:lang w:eastAsia="ko-KR"/>
    </w:rPr>
  </w:style>
  <w:style w:type="paragraph" w:customStyle="1" w:styleId="xl259">
    <w:name w:val="xl259"/>
    <w:basedOn w:val="Normal"/>
    <w:rsid w:val="00DA554C"/>
    <w:pPr>
      <w:pBdr>
        <w:top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eastAsia="ko-KR"/>
    </w:rPr>
  </w:style>
  <w:style w:type="paragraph" w:customStyle="1" w:styleId="xl295">
    <w:name w:val="xl295"/>
    <w:basedOn w:val="Normal"/>
    <w:rsid w:val="00DA554C"/>
    <w:pPr>
      <w:pBdr>
        <w:left w:val="single" w:sz="4" w:space="0" w:color="auto"/>
      </w:pBdr>
      <w:shd w:val="clear" w:color="000000" w:fill="002060"/>
      <w:spacing w:before="100" w:beforeAutospacing="1" w:after="100" w:afterAutospacing="1"/>
      <w:jc w:val="center"/>
      <w:textAlignment w:val="center"/>
    </w:pPr>
    <w:rPr>
      <w:rFonts w:ascii="Arial" w:hAnsi="Arial" w:cs="Arial"/>
      <w:b/>
      <w:bCs/>
      <w:i/>
      <w:iCs/>
      <w:color w:val="FFFFFF"/>
      <w:sz w:val="18"/>
      <w:szCs w:val="18"/>
      <w:lang w:eastAsia="ko-KR"/>
    </w:rPr>
  </w:style>
  <w:style w:type="paragraph" w:customStyle="1" w:styleId="xl296">
    <w:name w:val="xl296"/>
    <w:basedOn w:val="Normal"/>
    <w:rsid w:val="00DA554C"/>
    <w:pPr>
      <w:pBdr>
        <w:left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i/>
      <w:iCs/>
      <w:color w:val="FFFFFF"/>
      <w:sz w:val="18"/>
      <w:szCs w:val="18"/>
      <w:lang w:eastAsia="ko-KR"/>
    </w:rPr>
  </w:style>
  <w:style w:type="paragraph" w:customStyle="1" w:styleId="xl297">
    <w:name w:val="xl297"/>
    <w:basedOn w:val="Normal"/>
    <w:rsid w:val="00DA554C"/>
    <w:pPr>
      <w:pBdr>
        <w:left w:val="single" w:sz="4" w:space="0" w:color="auto"/>
        <w:bottom w:val="single" w:sz="4" w:space="0" w:color="auto"/>
      </w:pBdr>
      <w:shd w:val="clear" w:color="000000" w:fill="002060"/>
      <w:spacing w:before="100" w:beforeAutospacing="1" w:after="100" w:afterAutospacing="1"/>
      <w:jc w:val="center"/>
      <w:textAlignment w:val="top"/>
    </w:pPr>
    <w:rPr>
      <w:rFonts w:ascii="Arial" w:hAnsi="Arial" w:cs="Arial"/>
      <w:b/>
      <w:bCs/>
      <w:color w:val="FFFFFF"/>
      <w:sz w:val="18"/>
      <w:szCs w:val="18"/>
      <w:lang w:eastAsia="ko-KR"/>
    </w:rPr>
  </w:style>
  <w:style w:type="paragraph" w:customStyle="1" w:styleId="xl298">
    <w:name w:val="xl298"/>
    <w:basedOn w:val="Normal"/>
    <w:rsid w:val="00DA554C"/>
    <w:pPr>
      <w:pBdr>
        <w:left w:val="single" w:sz="4" w:space="0" w:color="auto"/>
        <w:bottom w:val="single" w:sz="4" w:space="0" w:color="auto"/>
      </w:pBdr>
      <w:shd w:val="clear" w:color="000000" w:fill="002060"/>
      <w:spacing w:before="100" w:beforeAutospacing="1" w:after="100" w:afterAutospacing="1"/>
      <w:jc w:val="center"/>
      <w:textAlignment w:val="center"/>
    </w:pPr>
    <w:rPr>
      <w:rFonts w:ascii="Arial" w:hAnsi="Arial" w:cs="Arial"/>
      <w:b/>
      <w:bCs/>
      <w:i/>
      <w:iCs/>
      <w:color w:val="FFFFFF"/>
      <w:sz w:val="18"/>
      <w:szCs w:val="18"/>
      <w:lang w:eastAsia="ko-KR"/>
    </w:rPr>
  </w:style>
  <w:style w:type="paragraph" w:customStyle="1" w:styleId="xl299">
    <w:name w:val="xl299"/>
    <w:basedOn w:val="Normal"/>
    <w:rsid w:val="00DA554C"/>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b/>
      <w:bCs/>
      <w:i/>
      <w:iCs/>
      <w:color w:val="FFFFFF"/>
      <w:sz w:val="18"/>
      <w:szCs w:val="18"/>
      <w:lang w:eastAsia="ko-KR"/>
    </w:rPr>
  </w:style>
  <w:style w:type="paragraph" w:customStyle="1" w:styleId="xl309">
    <w:name w:val="xl309"/>
    <w:basedOn w:val="Normal"/>
    <w:rsid w:val="00DA55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313">
    <w:name w:val="xl313"/>
    <w:basedOn w:val="Normal"/>
    <w:rsid w:val="00DA554C"/>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314">
    <w:name w:val="xl314"/>
    <w:basedOn w:val="Normal"/>
    <w:rsid w:val="00DA554C"/>
    <w:pPr>
      <w:pBdr>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315">
    <w:name w:val="xl315"/>
    <w:basedOn w:val="Normal"/>
    <w:rsid w:val="00DA554C"/>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322">
    <w:name w:val="xl322"/>
    <w:basedOn w:val="Normal"/>
    <w:rsid w:val="00DA554C"/>
    <w:pPr>
      <w:pBdr>
        <w:left w:val="single" w:sz="4" w:space="0" w:color="auto"/>
      </w:pBdr>
      <w:shd w:val="clear" w:color="000000" w:fill="F2F2F2"/>
      <w:spacing w:before="100" w:beforeAutospacing="1" w:after="100" w:afterAutospacing="1"/>
      <w:jc w:val="center"/>
      <w:textAlignment w:val="center"/>
    </w:pPr>
    <w:rPr>
      <w:rFonts w:ascii="Arial" w:hAnsi="Arial" w:cs="Arial"/>
      <w:lang w:eastAsia="ko-KR"/>
    </w:rPr>
  </w:style>
  <w:style w:type="paragraph" w:customStyle="1" w:styleId="xl323">
    <w:name w:val="xl323"/>
    <w:basedOn w:val="Normal"/>
    <w:rsid w:val="00DA554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lang w:eastAsia="ko-KR"/>
    </w:rPr>
  </w:style>
  <w:style w:type="paragraph" w:customStyle="1" w:styleId="xl324">
    <w:name w:val="xl324"/>
    <w:basedOn w:val="Normal"/>
    <w:rsid w:val="00DA554C"/>
    <w:pPr>
      <w:pBdr>
        <w:top w:val="single" w:sz="4" w:space="0" w:color="auto"/>
        <w:left w:val="single" w:sz="4" w:space="0" w:color="auto"/>
      </w:pBdr>
      <w:shd w:val="clear" w:color="000000" w:fill="F2F2F2"/>
      <w:spacing w:before="100" w:beforeAutospacing="1" w:after="100" w:afterAutospacing="1"/>
      <w:jc w:val="center"/>
      <w:textAlignment w:val="center"/>
    </w:pPr>
    <w:rPr>
      <w:rFonts w:ascii="Arial" w:hAnsi="Arial" w:cs="Arial"/>
      <w:lang w:eastAsia="ko-KR"/>
    </w:rPr>
  </w:style>
  <w:style w:type="paragraph" w:customStyle="1" w:styleId="xl327">
    <w:name w:val="xl327"/>
    <w:basedOn w:val="Normal"/>
    <w:rsid w:val="00DA554C"/>
    <w:pPr>
      <w:pBdr>
        <w:left w:val="single" w:sz="4" w:space="20" w:color="auto"/>
      </w:pBdr>
      <w:spacing w:before="100" w:beforeAutospacing="1" w:after="100" w:afterAutospacing="1"/>
      <w:ind w:firstLineChars="300" w:firstLine="300"/>
      <w:textAlignment w:val="center"/>
    </w:pPr>
    <w:rPr>
      <w:rFonts w:ascii="Arial" w:hAnsi="Arial" w:cs="Arial"/>
      <w:sz w:val="18"/>
      <w:szCs w:val="18"/>
      <w:lang w:eastAsia="ko-KR"/>
    </w:rPr>
  </w:style>
  <w:style w:type="paragraph" w:customStyle="1" w:styleId="xl328">
    <w:name w:val="xl328"/>
    <w:basedOn w:val="Normal"/>
    <w:rsid w:val="00DA554C"/>
    <w:pPr>
      <w:spacing w:before="100" w:beforeAutospacing="1" w:after="100" w:afterAutospacing="1"/>
      <w:ind w:firstLineChars="300" w:firstLine="300"/>
      <w:textAlignment w:val="center"/>
    </w:pPr>
    <w:rPr>
      <w:rFonts w:ascii="Arial" w:hAnsi="Arial" w:cs="Arial"/>
      <w:sz w:val="18"/>
      <w:szCs w:val="18"/>
      <w:lang w:eastAsia="ko-KR"/>
    </w:rPr>
  </w:style>
  <w:style w:type="paragraph" w:customStyle="1" w:styleId="xl329">
    <w:name w:val="xl329"/>
    <w:basedOn w:val="Normal"/>
    <w:rsid w:val="00DA554C"/>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330">
    <w:name w:val="xl330"/>
    <w:basedOn w:val="Normal"/>
    <w:rsid w:val="00DA554C"/>
    <w:pPr>
      <w:pBdr>
        <w:top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331">
    <w:name w:val="xl331"/>
    <w:basedOn w:val="Normal"/>
    <w:rsid w:val="00DA554C"/>
    <w:pPr>
      <w:pBdr>
        <w:left w:val="single" w:sz="4" w:space="31" w:color="auto"/>
      </w:pBdr>
      <w:spacing w:before="100" w:beforeAutospacing="1" w:after="100" w:afterAutospacing="1"/>
      <w:ind w:firstLineChars="1300" w:firstLine="1300"/>
      <w:textAlignment w:val="center"/>
    </w:pPr>
    <w:rPr>
      <w:rFonts w:ascii="Arial" w:hAnsi="Arial" w:cs="Arial"/>
      <w:sz w:val="18"/>
      <w:szCs w:val="18"/>
      <w:lang w:eastAsia="ko-KR"/>
    </w:rPr>
  </w:style>
  <w:style w:type="paragraph" w:customStyle="1" w:styleId="xl332">
    <w:name w:val="xl332"/>
    <w:basedOn w:val="Normal"/>
    <w:rsid w:val="00DA554C"/>
    <w:pPr>
      <w:pBdr>
        <w:left w:val="single" w:sz="4" w:space="31" w:color="auto"/>
      </w:pBdr>
      <w:spacing w:before="100" w:beforeAutospacing="1" w:after="100" w:afterAutospacing="1"/>
      <w:ind w:firstLineChars="900" w:firstLine="900"/>
      <w:textAlignment w:val="center"/>
    </w:pPr>
    <w:rPr>
      <w:rFonts w:ascii="Arial" w:hAnsi="Arial" w:cs="Arial"/>
      <w:sz w:val="18"/>
      <w:szCs w:val="18"/>
      <w:lang w:eastAsia="ko-KR"/>
    </w:rPr>
  </w:style>
  <w:style w:type="paragraph" w:customStyle="1" w:styleId="xl333">
    <w:name w:val="xl333"/>
    <w:basedOn w:val="Normal"/>
    <w:rsid w:val="00DA554C"/>
    <w:pPr>
      <w:pBdr>
        <w:left w:val="single" w:sz="4" w:space="31" w:color="auto"/>
        <w:bottom w:val="single" w:sz="4" w:space="0" w:color="auto"/>
      </w:pBdr>
      <w:spacing w:before="100" w:beforeAutospacing="1" w:after="100" w:afterAutospacing="1"/>
      <w:ind w:firstLineChars="900" w:firstLine="900"/>
      <w:textAlignment w:val="center"/>
    </w:pPr>
    <w:rPr>
      <w:rFonts w:ascii="Arial" w:hAnsi="Arial" w:cs="Arial"/>
      <w:sz w:val="18"/>
      <w:szCs w:val="18"/>
      <w:lang w:eastAsia="ko-KR"/>
    </w:rPr>
  </w:style>
  <w:style w:type="paragraph" w:customStyle="1" w:styleId="xl334">
    <w:name w:val="xl334"/>
    <w:basedOn w:val="Normal"/>
    <w:rsid w:val="00DA554C"/>
    <w:pPr>
      <w:pBdr>
        <w:lef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335">
    <w:name w:val="xl335"/>
    <w:basedOn w:val="Normal"/>
    <w:rsid w:val="00DA554C"/>
    <w:pPr>
      <w:spacing w:before="100" w:beforeAutospacing="1" w:after="100" w:afterAutospacing="1"/>
      <w:textAlignment w:val="center"/>
    </w:pPr>
    <w:rPr>
      <w:rFonts w:ascii="Arial" w:hAnsi="Arial" w:cs="Arial"/>
      <w:sz w:val="18"/>
      <w:szCs w:val="18"/>
      <w:lang w:eastAsia="ko-KR"/>
    </w:rPr>
  </w:style>
  <w:style w:type="paragraph" w:customStyle="1" w:styleId="xl337">
    <w:name w:val="xl337"/>
    <w:basedOn w:val="Normal"/>
    <w:rsid w:val="00DA554C"/>
    <w:pPr>
      <w:pBdr>
        <w:left w:val="single" w:sz="4" w:space="0" w:color="auto"/>
      </w:pBdr>
      <w:spacing w:before="100" w:beforeAutospacing="1" w:after="100" w:afterAutospacing="1"/>
      <w:textAlignment w:val="center"/>
    </w:pPr>
    <w:rPr>
      <w:rFonts w:ascii="Arial" w:hAnsi="Arial" w:cs="Arial"/>
      <w:b/>
      <w:bCs/>
      <w:sz w:val="18"/>
      <w:szCs w:val="18"/>
      <w:lang w:eastAsia="ko-KR"/>
    </w:rPr>
  </w:style>
  <w:style w:type="paragraph" w:customStyle="1" w:styleId="xl338">
    <w:name w:val="xl338"/>
    <w:basedOn w:val="Normal"/>
    <w:rsid w:val="00DA554C"/>
    <w:pPr>
      <w:spacing w:before="100" w:beforeAutospacing="1" w:after="100" w:afterAutospacing="1"/>
      <w:textAlignment w:val="center"/>
    </w:pPr>
    <w:rPr>
      <w:rFonts w:ascii="Arial" w:hAnsi="Arial" w:cs="Arial"/>
      <w:b/>
      <w:bCs/>
      <w:sz w:val="18"/>
      <w:szCs w:val="18"/>
      <w:lang w:eastAsia="ko-KR"/>
    </w:rPr>
  </w:style>
  <w:style w:type="paragraph" w:customStyle="1" w:styleId="xl339">
    <w:name w:val="xl339"/>
    <w:basedOn w:val="Normal"/>
    <w:rsid w:val="00DA554C"/>
    <w:pPr>
      <w:pBdr>
        <w:bottom w:val="single" w:sz="4" w:space="0" w:color="auto"/>
      </w:pBdr>
      <w:spacing w:before="100" w:beforeAutospacing="1" w:after="100" w:afterAutospacing="1"/>
      <w:textAlignment w:val="center"/>
    </w:pPr>
    <w:rPr>
      <w:rFonts w:ascii="Arial" w:hAnsi="Arial" w:cs="Arial"/>
      <w:b/>
      <w:bCs/>
      <w:sz w:val="18"/>
      <w:szCs w:val="18"/>
      <w:lang w:eastAsia="ko-KR"/>
    </w:rPr>
  </w:style>
  <w:style w:type="paragraph" w:customStyle="1" w:styleId="xl340">
    <w:name w:val="xl340"/>
    <w:basedOn w:val="Normal"/>
    <w:rsid w:val="00DA554C"/>
    <w:pPr>
      <w:pBdr>
        <w:left w:val="single" w:sz="4" w:space="0" w:color="auto"/>
        <w:bottom w:val="single" w:sz="4" w:space="0" w:color="auto"/>
      </w:pBdr>
      <w:spacing w:before="100" w:beforeAutospacing="1" w:after="100" w:afterAutospacing="1"/>
      <w:textAlignment w:val="center"/>
    </w:pPr>
    <w:rPr>
      <w:rFonts w:ascii="Arial" w:hAnsi="Arial" w:cs="Arial"/>
      <w:b/>
      <w:bCs/>
      <w:sz w:val="18"/>
      <w:szCs w:val="18"/>
      <w:lang w:eastAsia="ko-KR"/>
    </w:rPr>
  </w:style>
  <w:style w:type="paragraph" w:customStyle="1" w:styleId="xl341">
    <w:name w:val="xl341"/>
    <w:basedOn w:val="Normal"/>
    <w:rsid w:val="00DA554C"/>
    <w:pPr>
      <w:pBdr>
        <w:left w:val="single" w:sz="4" w:space="0" w:color="auto"/>
      </w:pBdr>
      <w:spacing w:before="100" w:beforeAutospacing="1" w:after="100" w:afterAutospacing="1"/>
      <w:textAlignment w:val="center"/>
    </w:pPr>
    <w:rPr>
      <w:rFonts w:ascii="Arial" w:hAnsi="Arial" w:cs="Arial"/>
      <w:b/>
      <w:bCs/>
      <w:sz w:val="18"/>
      <w:szCs w:val="18"/>
      <w:lang w:eastAsia="ko-KR"/>
    </w:rPr>
  </w:style>
  <w:style w:type="paragraph" w:customStyle="1" w:styleId="xl348">
    <w:name w:val="xl348"/>
    <w:basedOn w:val="Normal"/>
    <w:rsid w:val="00DA554C"/>
    <w:pPr>
      <w:shd w:val="clear" w:color="000000" w:fill="F2F2F2"/>
      <w:spacing w:before="100" w:beforeAutospacing="1" w:after="100" w:afterAutospacing="1"/>
      <w:textAlignment w:val="center"/>
    </w:pPr>
    <w:rPr>
      <w:rFonts w:ascii="Arial" w:hAnsi="Arial" w:cs="Arial"/>
      <w:b/>
      <w:bCs/>
      <w:sz w:val="24"/>
      <w:szCs w:val="24"/>
      <w:lang w:eastAsia="ko-KR"/>
    </w:rPr>
  </w:style>
  <w:style w:type="paragraph" w:customStyle="1" w:styleId="xl422">
    <w:name w:val="xl422"/>
    <w:basedOn w:val="Normal"/>
    <w:rsid w:val="00DA554C"/>
    <w:pPr>
      <w:pBdr>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Arial" w:hAnsi="Arial" w:cs="Arial"/>
      <w:sz w:val="18"/>
      <w:szCs w:val="18"/>
      <w:lang w:eastAsia="ko-KR"/>
    </w:rPr>
  </w:style>
  <w:style w:type="character" w:customStyle="1" w:styleId="font131">
    <w:name w:val="font131"/>
    <w:basedOn w:val="DefaultParagraphFont"/>
    <w:rsid w:val="00DA554C"/>
    <w:rPr>
      <w:rFonts w:ascii="Arial" w:hAnsi="Arial" w:cs="Arial" w:hint="default"/>
      <w:b w:val="0"/>
      <w:bCs w:val="0"/>
      <w:i w:val="0"/>
      <w:iCs w:val="0"/>
      <w:strike w:val="0"/>
      <w:dstrike w:val="0"/>
      <w:color w:val="000000"/>
      <w:sz w:val="18"/>
      <w:szCs w:val="18"/>
      <w:u w:val="none"/>
      <w:effect w:val="none"/>
    </w:rPr>
  </w:style>
  <w:style w:type="character" w:customStyle="1" w:styleId="font121">
    <w:name w:val="font121"/>
    <w:basedOn w:val="DefaultParagraphFont"/>
    <w:rsid w:val="00DA554C"/>
    <w:rPr>
      <w:rFonts w:ascii="Arial" w:hAnsi="Arial" w:cs="Arial" w:hint="default"/>
      <w:b/>
      <w:bCs/>
      <w:i w:val="0"/>
      <w:iCs w:val="0"/>
      <w:strike w:val="0"/>
      <w:dstrike w:val="0"/>
      <w:color w:val="000000"/>
      <w:sz w:val="18"/>
      <w:szCs w:val="18"/>
      <w:u w:val="none"/>
      <w:effect w:val="none"/>
    </w:rPr>
  </w:style>
  <w:style w:type="paragraph" w:customStyle="1" w:styleId="xl46">
    <w:name w:val="xl46"/>
    <w:basedOn w:val="Normal"/>
    <w:rsid w:val="00007A97"/>
    <w:pPr>
      <w:pBdr>
        <w:left w:val="single" w:sz="4" w:space="0" w:color="auto"/>
        <w:right w:val="single" w:sz="4" w:space="0" w:color="auto"/>
      </w:pBdr>
      <w:spacing w:before="100" w:beforeAutospacing="1" w:after="100" w:afterAutospacing="1"/>
      <w:textAlignment w:val="center"/>
    </w:pPr>
    <w:rPr>
      <w:rFonts w:ascii="Arial" w:hAnsi="Arial" w:cs="Arial"/>
      <w:sz w:val="18"/>
      <w:szCs w:val="18"/>
      <w:lang w:eastAsia="ko-KR"/>
    </w:rPr>
  </w:style>
  <w:style w:type="paragraph" w:customStyle="1" w:styleId="xl47">
    <w:name w:val="xl47"/>
    <w:basedOn w:val="Normal"/>
    <w:rsid w:val="00007A97"/>
    <w:pPr>
      <w:pBdr>
        <w:left w:val="single" w:sz="4" w:space="7" w:color="auto"/>
      </w:pBdr>
      <w:spacing w:before="100" w:beforeAutospacing="1" w:after="100" w:afterAutospacing="1"/>
      <w:ind w:firstLineChars="100" w:firstLine="100"/>
      <w:textAlignment w:val="center"/>
    </w:pPr>
    <w:rPr>
      <w:rFonts w:ascii="Arial" w:hAnsi="Arial" w:cs="Arial"/>
      <w:sz w:val="18"/>
      <w:szCs w:val="18"/>
      <w:lang w:eastAsia="ko-KR"/>
    </w:rPr>
  </w:style>
  <w:style w:type="paragraph" w:customStyle="1" w:styleId="xl172">
    <w:name w:val="xl172"/>
    <w:basedOn w:val="Normal"/>
    <w:rsid w:val="00007A97"/>
    <w:pPr>
      <w:pBdr>
        <w:bottom w:val="single" w:sz="4" w:space="0" w:color="auto"/>
      </w:pBdr>
      <w:shd w:val="clear" w:color="000000" w:fill="F2F2F2"/>
      <w:spacing w:before="100" w:beforeAutospacing="1" w:after="100" w:afterAutospacing="1"/>
      <w:textAlignment w:val="center"/>
    </w:pPr>
    <w:rPr>
      <w:rFonts w:ascii="Arial" w:hAnsi="Arial" w:cs="Arial"/>
      <w:sz w:val="16"/>
      <w:szCs w:val="16"/>
      <w:lang w:eastAsia="ko-KR"/>
    </w:rPr>
  </w:style>
  <w:style w:type="paragraph" w:customStyle="1" w:styleId="xl173">
    <w:name w:val="xl173"/>
    <w:basedOn w:val="Normal"/>
    <w:rsid w:val="00007A97"/>
    <w:pPr>
      <w:pBdr>
        <w:bottom w:val="single" w:sz="4" w:space="0" w:color="auto"/>
      </w:pBdr>
      <w:shd w:val="clear" w:color="000000" w:fill="F2F2F2"/>
      <w:spacing w:before="100" w:beforeAutospacing="1" w:after="100" w:afterAutospacing="1"/>
      <w:ind w:firstLineChars="100" w:firstLine="100"/>
      <w:textAlignment w:val="center"/>
    </w:pPr>
    <w:rPr>
      <w:rFonts w:ascii="Arial" w:hAnsi="Arial" w:cs="Arial"/>
      <w:sz w:val="24"/>
      <w:szCs w:val="24"/>
      <w:lang w:eastAsia="ko-KR"/>
    </w:rPr>
  </w:style>
  <w:style w:type="paragraph" w:customStyle="1" w:styleId="xl174">
    <w:name w:val="xl174"/>
    <w:basedOn w:val="Normal"/>
    <w:rsid w:val="00007A97"/>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sz w:val="24"/>
      <w:szCs w:val="24"/>
      <w:lang w:eastAsia="ko-KR"/>
    </w:rPr>
  </w:style>
  <w:style w:type="paragraph" w:customStyle="1" w:styleId="xl223">
    <w:name w:val="xl223"/>
    <w:basedOn w:val="Normal"/>
    <w:rsid w:val="00007A97"/>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24">
    <w:name w:val="xl224"/>
    <w:basedOn w:val="Normal"/>
    <w:rsid w:val="00007A97"/>
    <w:pPr>
      <w:pBdr>
        <w:top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25">
    <w:name w:val="xl225"/>
    <w:basedOn w:val="Normal"/>
    <w:rsid w:val="00007A97"/>
    <w:pPr>
      <w:pBdr>
        <w:top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26">
    <w:name w:val="xl226"/>
    <w:basedOn w:val="Normal"/>
    <w:rsid w:val="00007A97"/>
    <w:pPr>
      <w:pBdr>
        <w:lef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27">
    <w:name w:val="xl227"/>
    <w:basedOn w:val="Normal"/>
    <w:rsid w:val="00007A97"/>
    <w:pPr>
      <w:spacing w:before="100" w:beforeAutospacing="1" w:after="100" w:afterAutospacing="1"/>
      <w:jc w:val="center"/>
      <w:textAlignment w:val="center"/>
    </w:pPr>
    <w:rPr>
      <w:rFonts w:ascii="Arial" w:hAnsi="Arial" w:cs="Arial"/>
      <w:sz w:val="18"/>
      <w:szCs w:val="18"/>
      <w:lang w:eastAsia="ko-KR"/>
    </w:rPr>
  </w:style>
  <w:style w:type="paragraph" w:customStyle="1" w:styleId="xl228">
    <w:name w:val="xl228"/>
    <w:basedOn w:val="Normal"/>
    <w:rsid w:val="00007A97"/>
    <w:pPr>
      <w:pBdr>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29">
    <w:name w:val="xl229"/>
    <w:basedOn w:val="Normal"/>
    <w:rsid w:val="00007A97"/>
    <w:pPr>
      <w:pBdr>
        <w:left w:val="single" w:sz="4" w:space="0" w:color="auto"/>
      </w:pBdr>
      <w:spacing w:before="100" w:beforeAutospacing="1" w:after="100" w:afterAutospacing="1"/>
      <w:jc w:val="center"/>
      <w:textAlignment w:val="top"/>
    </w:pPr>
    <w:rPr>
      <w:rFonts w:ascii="Arial" w:hAnsi="Arial" w:cs="Arial"/>
      <w:sz w:val="18"/>
      <w:szCs w:val="18"/>
      <w:lang w:eastAsia="ko-KR"/>
    </w:rPr>
  </w:style>
  <w:style w:type="paragraph" w:customStyle="1" w:styleId="xl230">
    <w:name w:val="xl230"/>
    <w:basedOn w:val="Normal"/>
    <w:rsid w:val="00007A97"/>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31">
    <w:name w:val="xl231"/>
    <w:basedOn w:val="Normal"/>
    <w:rsid w:val="00007A97"/>
    <w:pPr>
      <w:pBdr>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32">
    <w:name w:val="xl232"/>
    <w:basedOn w:val="Normal"/>
    <w:rsid w:val="00007A97"/>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33">
    <w:name w:val="xl233"/>
    <w:basedOn w:val="Normal"/>
    <w:rsid w:val="00007A9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34">
    <w:name w:val="xl234"/>
    <w:basedOn w:val="Normal"/>
    <w:rsid w:val="00007A9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35">
    <w:name w:val="xl235"/>
    <w:basedOn w:val="Normal"/>
    <w:rsid w:val="00007A9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ko-KR"/>
    </w:rPr>
  </w:style>
  <w:style w:type="paragraph" w:customStyle="1" w:styleId="xl236">
    <w:name w:val="xl236"/>
    <w:basedOn w:val="Normal"/>
    <w:rsid w:val="00007A97"/>
    <w:pPr>
      <w:pBdr>
        <w:top w:val="single" w:sz="4" w:space="0" w:color="auto"/>
      </w:pBdr>
      <w:shd w:val="clear" w:color="000000" w:fill="F2F2F2"/>
      <w:spacing w:before="100" w:beforeAutospacing="1" w:after="100" w:afterAutospacing="1"/>
      <w:jc w:val="center"/>
      <w:textAlignment w:val="center"/>
    </w:pPr>
    <w:rPr>
      <w:rFonts w:ascii="Arial" w:hAnsi="Arial" w:cs="Arial"/>
      <w:b/>
      <w:bCs/>
      <w:sz w:val="24"/>
      <w:szCs w:val="24"/>
      <w:lang w:eastAsia="ko-KR"/>
    </w:rPr>
  </w:style>
  <w:style w:type="paragraph" w:customStyle="1" w:styleId="xl237">
    <w:name w:val="xl237"/>
    <w:basedOn w:val="Normal"/>
    <w:rsid w:val="00007A97"/>
    <w:pPr>
      <w:pBdr>
        <w:top w:val="single" w:sz="4" w:space="0" w:color="auto"/>
      </w:pBdr>
      <w:shd w:val="clear" w:color="000000" w:fill="F2F2F2"/>
      <w:spacing w:before="100" w:beforeAutospacing="1" w:after="100" w:afterAutospacing="1"/>
      <w:jc w:val="center"/>
    </w:pPr>
    <w:rPr>
      <w:rFonts w:ascii="Arial" w:hAnsi="Arial" w:cs="Arial"/>
      <w:sz w:val="24"/>
      <w:szCs w:val="24"/>
      <w:lang w:eastAsia="ko-KR"/>
    </w:rPr>
  </w:style>
  <w:style w:type="paragraph" w:customStyle="1" w:styleId="xl238">
    <w:name w:val="xl238"/>
    <w:basedOn w:val="Normal"/>
    <w:rsid w:val="00007A97"/>
    <w:pPr>
      <w:pBdr>
        <w:top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24"/>
      <w:szCs w:val="24"/>
      <w:lang w:eastAsia="ko-KR"/>
    </w:rPr>
  </w:style>
  <w:style w:type="paragraph" w:customStyle="1" w:styleId="xl239">
    <w:name w:val="xl239"/>
    <w:basedOn w:val="Normal"/>
    <w:rsid w:val="00007A97"/>
    <w:pPr>
      <w:pBdr>
        <w:top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lang w:eastAsia="ko-KR"/>
    </w:rPr>
  </w:style>
  <w:style w:type="paragraph" w:customStyle="1" w:styleId="xl300">
    <w:name w:val="xl300"/>
    <w:basedOn w:val="Normal"/>
    <w:rsid w:val="00007A97"/>
    <w:pPr>
      <w:pBdr>
        <w:bottom w:val="single" w:sz="4" w:space="0" w:color="auto"/>
      </w:pBdr>
      <w:shd w:val="clear" w:color="000000" w:fill="F2F2F2"/>
      <w:spacing w:before="100" w:beforeAutospacing="1" w:after="100" w:afterAutospacing="1"/>
      <w:jc w:val="center"/>
      <w:textAlignment w:val="center"/>
    </w:pPr>
    <w:rPr>
      <w:rFonts w:ascii="Arial" w:hAnsi="Arial" w:cs="Arial"/>
      <w:b/>
      <w:bCs/>
      <w:sz w:val="24"/>
      <w:szCs w:val="24"/>
      <w:lang w:eastAsia="ko-KR"/>
    </w:rPr>
  </w:style>
  <w:style w:type="paragraph" w:customStyle="1" w:styleId="xl311">
    <w:name w:val="xl311"/>
    <w:basedOn w:val="Normal"/>
    <w:rsid w:val="00007A97"/>
    <w:pPr>
      <w:pBdr>
        <w:left w:val="single" w:sz="4" w:space="0" w:color="auto"/>
        <w:bottom w:val="single" w:sz="4" w:space="0" w:color="auto"/>
      </w:pBdr>
      <w:shd w:val="clear" w:color="000000" w:fill="002060"/>
      <w:spacing w:before="100" w:beforeAutospacing="1" w:after="100" w:afterAutospacing="1"/>
      <w:jc w:val="center"/>
      <w:textAlignment w:val="center"/>
    </w:pPr>
    <w:rPr>
      <w:rFonts w:ascii="Arial" w:hAnsi="Arial" w:cs="Arial"/>
      <w:b/>
      <w:bCs/>
      <w:color w:val="FFFFFF"/>
      <w:sz w:val="18"/>
      <w:szCs w:val="18"/>
      <w:lang w:eastAsia="ko-KR"/>
    </w:rPr>
  </w:style>
  <w:style w:type="paragraph" w:customStyle="1" w:styleId="xl312">
    <w:name w:val="xl312"/>
    <w:basedOn w:val="Normal"/>
    <w:rsid w:val="00007A97"/>
    <w:pPr>
      <w:pBdr>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sz w:val="24"/>
      <w:szCs w:val="24"/>
      <w:lang w:eastAsia="ko-KR"/>
    </w:rPr>
  </w:style>
  <w:style w:type="paragraph" w:customStyle="1" w:styleId="xl316">
    <w:name w:val="xl316"/>
    <w:basedOn w:val="Normal"/>
    <w:rsid w:val="00007A97"/>
    <w:pPr>
      <w:pBdr>
        <w:top w:val="single" w:sz="4" w:space="0" w:color="auto"/>
        <w:left w:val="single" w:sz="4" w:space="0" w:color="auto"/>
      </w:pBdr>
      <w:shd w:val="clear" w:color="000000" w:fill="F2F2F2"/>
      <w:spacing w:before="100" w:beforeAutospacing="1" w:after="100" w:afterAutospacing="1"/>
      <w:jc w:val="center"/>
      <w:textAlignment w:val="center"/>
    </w:pPr>
    <w:rPr>
      <w:rFonts w:ascii="Arial" w:hAnsi="Arial" w:cs="Arial"/>
      <w:sz w:val="24"/>
      <w:szCs w:val="24"/>
      <w:lang w:eastAsia="ko-KR"/>
    </w:rPr>
  </w:style>
  <w:style w:type="paragraph" w:customStyle="1" w:styleId="xl317">
    <w:name w:val="xl317"/>
    <w:basedOn w:val="Normal"/>
    <w:rsid w:val="00007A97"/>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lang w:eastAsia="ko-KR"/>
    </w:rPr>
  </w:style>
  <w:style w:type="paragraph" w:customStyle="1" w:styleId="xl318">
    <w:name w:val="xl318"/>
    <w:basedOn w:val="Normal"/>
    <w:rsid w:val="00007A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eastAsia="ko-KR"/>
    </w:rPr>
  </w:style>
  <w:style w:type="paragraph" w:customStyle="1" w:styleId="xl319">
    <w:name w:val="xl319"/>
    <w:basedOn w:val="Normal"/>
    <w:rsid w:val="00007A97"/>
    <w:pPr>
      <w:pBdr>
        <w:left w:val="single" w:sz="4" w:space="0" w:color="auto"/>
      </w:pBdr>
      <w:spacing w:before="100" w:beforeAutospacing="1" w:after="100" w:afterAutospacing="1"/>
      <w:jc w:val="center"/>
      <w:textAlignment w:val="center"/>
    </w:pPr>
    <w:rPr>
      <w:rFonts w:ascii="Arial" w:hAnsi="Arial" w:cs="Arial"/>
      <w:sz w:val="24"/>
      <w:szCs w:val="24"/>
      <w:lang w:eastAsia="ko-KR"/>
    </w:rPr>
  </w:style>
  <w:style w:type="paragraph" w:customStyle="1" w:styleId="xl320">
    <w:name w:val="xl320"/>
    <w:basedOn w:val="Normal"/>
    <w:rsid w:val="00007A97"/>
    <w:pPr>
      <w:pBdr>
        <w:left w:val="single" w:sz="4" w:space="0" w:color="auto"/>
        <w:bottom w:val="single" w:sz="4" w:space="0" w:color="auto"/>
      </w:pBdr>
      <w:spacing w:before="100" w:beforeAutospacing="1" w:after="100" w:afterAutospacing="1"/>
      <w:jc w:val="center"/>
      <w:textAlignment w:val="center"/>
    </w:pPr>
    <w:rPr>
      <w:rFonts w:ascii="Arial" w:hAnsi="Arial" w:cs="Arial"/>
      <w:sz w:val="24"/>
      <w:szCs w:val="24"/>
      <w:lang w:eastAsia="ko-KR"/>
    </w:rPr>
  </w:style>
  <w:style w:type="paragraph" w:customStyle="1" w:styleId="xl321">
    <w:name w:val="xl321"/>
    <w:basedOn w:val="Normal"/>
    <w:rsid w:val="00007A9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sz w:val="24"/>
      <w:szCs w:val="24"/>
      <w:lang w:eastAsia="ko-KR"/>
    </w:rPr>
  </w:style>
  <w:style w:type="paragraph" w:customStyle="1" w:styleId="xl336">
    <w:name w:val="xl336"/>
    <w:basedOn w:val="Normal"/>
    <w:rsid w:val="00007A97"/>
    <w:pPr>
      <w:pBdr>
        <w:right w:val="single" w:sz="4" w:space="0" w:color="auto"/>
      </w:pBdr>
      <w:spacing w:before="100" w:beforeAutospacing="1" w:after="100" w:afterAutospacing="1"/>
      <w:ind w:firstLineChars="300" w:firstLine="300"/>
      <w:textAlignment w:val="center"/>
    </w:pPr>
    <w:rPr>
      <w:rFonts w:ascii="Arial" w:hAnsi="Arial" w:cs="Arial"/>
      <w:sz w:val="18"/>
      <w:szCs w:val="18"/>
      <w:lang w:eastAsia="ko-KR"/>
    </w:rPr>
  </w:style>
  <w:style w:type="paragraph" w:customStyle="1" w:styleId="xl342">
    <w:name w:val="xl342"/>
    <w:basedOn w:val="Normal"/>
    <w:rsid w:val="00007A97"/>
    <w:pPr>
      <w:pBdr>
        <w:bottom w:val="single" w:sz="4" w:space="0" w:color="auto"/>
        <w:right w:val="single" w:sz="4" w:space="0" w:color="auto"/>
      </w:pBdr>
      <w:spacing w:before="100" w:beforeAutospacing="1" w:after="100" w:afterAutospacing="1"/>
      <w:ind w:firstLineChars="300" w:firstLine="300"/>
      <w:textAlignment w:val="center"/>
    </w:pPr>
    <w:rPr>
      <w:rFonts w:ascii="Arial" w:hAnsi="Arial" w:cs="Arial"/>
      <w:sz w:val="18"/>
      <w:szCs w:val="18"/>
      <w:lang w:eastAsia="ko-KR"/>
    </w:rPr>
  </w:style>
  <w:style w:type="paragraph" w:customStyle="1" w:styleId="xl349">
    <w:name w:val="xl349"/>
    <w:basedOn w:val="Normal"/>
    <w:rsid w:val="00007A97"/>
    <w:pPr>
      <w:pBdr>
        <w:bottom w:val="single" w:sz="4" w:space="0" w:color="auto"/>
      </w:pBdr>
      <w:shd w:val="clear" w:color="000000" w:fill="F2F2F2"/>
      <w:spacing w:before="100" w:beforeAutospacing="1" w:after="100" w:afterAutospacing="1"/>
      <w:textAlignment w:val="center"/>
    </w:pPr>
    <w:rPr>
      <w:rFonts w:ascii="Arial" w:hAnsi="Arial" w:cs="Arial"/>
      <w:b/>
      <w:bCs/>
      <w:sz w:val="24"/>
      <w:szCs w:val="24"/>
      <w:lang w:eastAsia="ko-KR"/>
    </w:rPr>
  </w:style>
  <w:style w:type="paragraph" w:customStyle="1" w:styleId="xl421">
    <w:name w:val="xl421"/>
    <w:basedOn w:val="Normal"/>
    <w:rsid w:val="00007A97"/>
    <w:pPr>
      <w:pBdr>
        <w:top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24"/>
      <w:szCs w:val="24"/>
      <w:lang w:eastAsia="ko-KR"/>
    </w:rPr>
  </w:style>
  <w:style w:type="paragraph" w:customStyle="1" w:styleId="xl423">
    <w:name w:val="xl423"/>
    <w:basedOn w:val="Normal"/>
    <w:rsid w:val="00007A97"/>
    <w:pPr>
      <w:pBdr>
        <w:left w:val="single" w:sz="4" w:space="31" w:color="auto"/>
        <w:right w:val="single" w:sz="4" w:space="0" w:color="auto"/>
      </w:pBdr>
      <w:spacing w:before="100" w:beforeAutospacing="1" w:after="100" w:afterAutospacing="1"/>
      <w:ind w:firstLineChars="900" w:firstLine="900"/>
      <w:textAlignment w:val="center"/>
    </w:pPr>
    <w:rPr>
      <w:rFonts w:ascii="Arial" w:hAnsi="Arial" w:cs="Arial"/>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98468">
      <w:bodyDiv w:val="1"/>
      <w:marLeft w:val="0"/>
      <w:marRight w:val="0"/>
      <w:marTop w:val="0"/>
      <w:marBottom w:val="0"/>
      <w:divBdr>
        <w:top w:val="none" w:sz="0" w:space="0" w:color="auto"/>
        <w:left w:val="none" w:sz="0" w:space="0" w:color="auto"/>
        <w:bottom w:val="none" w:sz="0" w:space="0" w:color="auto"/>
        <w:right w:val="none" w:sz="0" w:space="0" w:color="auto"/>
      </w:divBdr>
    </w:div>
    <w:div w:id="176123301">
      <w:bodyDiv w:val="1"/>
      <w:marLeft w:val="0"/>
      <w:marRight w:val="0"/>
      <w:marTop w:val="0"/>
      <w:marBottom w:val="0"/>
      <w:divBdr>
        <w:top w:val="none" w:sz="0" w:space="0" w:color="auto"/>
        <w:left w:val="none" w:sz="0" w:space="0" w:color="auto"/>
        <w:bottom w:val="none" w:sz="0" w:space="0" w:color="auto"/>
        <w:right w:val="none" w:sz="0" w:space="0" w:color="auto"/>
      </w:divBdr>
    </w:div>
    <w:div w:id="262610025">
      <w:bodyDiv w:val="1"/>
      <w:marLeft w:val="0"/>
      <w:marRight w:val="0"/>
      <w:marTop w:val="0"/>
      <w:marBottom w:val="0"/>
      <w:divBdr>
        <w:top w:val="none" w:sz="0" w:space="0" w:color="auto"/>
        <w:left w:val="none" w:sz="0" w:space="0" w:color="auto"/>
        <w:bottom w:val="none" w:sz="0" w:space="0" w:color="auto"/>
        <w:right w:val="none" w:sz="0" w:space="0" w:color="auto"/>
      </w:divBdr>
    </w:div>
    <w:div w:id="413169015">
      <w:bodyDiv w:val="1"/>
      <w:marLeft w:val="0"/>
      <w:marRight w:val="0"/>
      <w:marTop w:val="0"/>
      <w:marBottom w:val="0"/>
      <w:divBdr>
        <w:top w:val="none" w:sz="0" w:space="0" w:color="auto"/>
        <w:left w:val="none" w:sz="0" w:space="0" w:color="auto"/>
        <w:bottom w:val="none" w:sz="0" w:space="0" w:color="auto"/>
        <w:right w:val="none" w:sz="0" w:space="0" w:color="auto"/>
      </w:divBdr>
    </w:div>
    <w:div w:id="435371870">
      <w:bodyDiv w:val="1"/>
      <w:marLeft w:val="0"/>
      <w:marRight w:val="0"/>
      <w:marTop w:val="0"/>
      <w:marBottom w:val="0"/>
      <w:divBdr>
        <w:top w:val="none" w:sz="0" w:space="0" w:color="auto"/>
        <w:left w:val="none" w:sz="0" w:space="0" w:color="auto"/>
        <w:bottom w:val="none" w:sz="0" w:space="0" w:color="auto"/>
        <w:right w:val="none" w:sz="0" w:space="0" w:color="auto"/>
      </w:divBdr>
    </w:div>
    <w:div w:id="467557414">
      <w:bodyDiv w:val="1"/>
      <w:marLeft w:val="0"/>
      <w:marRight w:val="0"/>
      <w:marTop w:val="0"/>
      <w:marBottom w:val="0"/>
      <w:divBdr>
        <w:top w:val="none" w:sz="0" w:space="0" w:color="auto"/>
        <w:left w:val="none" w:sz="0" w:space="0" w:color="auto"/>
        <w:bottom w:val="none" w:sz="0" w:space="0" w:color="auto"/>
        <w:right w:val="none" w:sz="0" w:space="0" w:color="auto"/>
      </w:divBdr>
    </w:div>
    <w:div w:id="515996286">
      <w:bodyDiv w:val="1"/>
      <w:marLeft w:val="0"/>
      <w:marRight w:val="0"/>
      <w:marTop w:val="0"/>
      <w:marBottom w:val="0"/>
      <w:divBdr>
        <w:top w:val="none" w:sz="0" w:space="0" w:color="auto"/>
        <w:left w:val="none" w:sz="0" w:space="0" w:color="auto"/>
        <w:bottom w:val="none" w:sz="0" w:space="0" w:color="auto"/>
        <w:right w:val="none" w:sz="0" w:space="0" w:color="auto"/>
      </w:divBdr>
    </w:div>
    <w:div w:id="600454701">
      <w:bodyDiv w:val="1"/>
      <w:marLeft w:val="0"/>
      <w:marRight w:val="0"/>
      <w:marTop w:val="0"/>
      <w:marBottom w:val="0"/>
      <w:divBdr>
        <w:top w:val="none" w:sz="0" w:space="0" w:color="auto"/>
        <w:left w:val="none" w:sz="0" w:space="0" w:color="auto"/>
        <w:bottom w:val="none" w:sz="0" w:space="0" w:color="auto"/>
        <w:right w:val="none" w:sz="0" w:space="0" w:color="auto"/>
      </w:divBdr>
    </w:div>
    <w:div w:id="601184291">
      <w:bodyDiv w:val="1"/>
      <w:marLeft w:val="0"/>
      <w:marRight w:val="0"/>
      <w:marTop w:val="0"/>
      <w:marBottom w:val="0"/>
      <w:divBdr>
        <w:top w:val="none" w:sz="0" w:space="0" w:color="auto"/>
        <w:left w:val="none" w:sz="0" w:space="0" w:color="auto"/>
        <w:bottom w:val="none" w:sz="0" w:space="0" w:color="auto"/>
        <w:right w:val="none" w:sz="0" w:space="0" w:color="auto"/>
      </w:divBdr>
    </w:div>
    <w:div w:id="700783475">
      <w:bodyDiv w:val="1"/>
      <w:marLeft w:val="0"/>
      <w:marRight w:val="0"/>
      <w:marTop w:val="0"/>
      <w:marBottom w:val="0"/>
      <w:divBdr>
        <w:top w:val="none" w:sz="0" w:space="0" w:color="auto"/>
        <w:left w:val="none" w:sz="0" w:space="0" w:color="auto"/>
        <w:bottom w:val="none" w:sz="0" w:space="0" w:color="auto"/>
        <w:right w:val="none" w:sz="0" w:space="0" w:color="auto"/>
      </w:divBdr>
    </w:div>
    <w:div w:id="741100085">
      <w:bodyDiv w:val="1"/>
      <w:marLeft w:val="0"/>
      <w:marRight w:val="0"/>
      <w:marTop w:val="0"/>
      <w:marBottom w:val="0"/>
      <w:divBdr>
        <w:top w:val="none" w:sz="0" w:space="0" w:color="auto"/>
        <w:left w:val="none" w:sz="0" w:space="0" w:color="auto"/>
        <w:bottom w:val="none" w:sz="0" w:space="0" w:color="auto"/>
        <w:right w:val="none" w:sz="0" w:space="0" w:color="auto"/>
      </w:divBdr>
    </w:div>
    <w:div w:id="855536871">
      <w:bodyDiv w:val="1"/>
      <w:marLeft w:val="0"/>
      <w:marRight w:val="0"/>
      <w:marTop w:val="0"/>
      <w:marBottom w:val="0"/>
      <w:divBdr>
        <w:top w:val="none" w:sz="0" w:space="0" w:color="auto"/>
        <w:left w:val="none" w:sz="0" w:space="0" w:color="auto"/>
        <w:bottom w:val="none" w:sz="0" w:space="0" w:color="auto"/>
        <w:right w:val="none" w:sz="0" w:space="0" w:color="auto"/>
      </w:divBdr>
    </w:div>
    <w:div w:id="884021682">
      <w:bodyDiv w:val="1"/>
      <w:marLeft w:val="0"/>
      <w:marRight w:val="0"/>
      <w:marTop w:val="0"/>
      <w:marBottom w:val="0"/>
      <w:divBdr>
        <w:top w:val="none" w:sz="0" w:space="0" w:color="auto"/>
        <w:left w:val="none" w:sz="0" w:space="0" w:color="auto"/>
        <w:bottom w:val="none" w:sz="0" w:space="0" w:color="auto"/>
        <w:right w:val="none" w:sz="0" w:space="0" w:color="auto"/>
      </w:divBdr>
    </w:div>
    <w:div w:id="1044794593">
      <w:bodyDiv w:val="1"/>
      <w:marLeft w:val="0"/>
      <w:marRight w:val="0"/>
      <w:marTop w:val="0"/>
      <w:marBottom w:val="0"/>
      <w:divBdr>
        <w:top w:val="none" w:sz="0" w:space="0" w:color="auto"/>
        <w:left w:val="none" w:sz="0" w:space="0" w:color="auto"/>
        <w:bottom w:val="none" w:sz="0" w:space="0" w:color="auto"/>
        <w:right w:val="none" w:sz="0" w:space="0" w:color="auto"/>
      </w:divBdr>
    </w:div>
    <w:div w:id="1047726790">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214274113">
      <w:bodyDiv w:val="1"/>
      <w:marLeft w:val="0"/>
      <w:marRight w:val="0"/>
      <w:marTop w:val="0"/>
      <w:marBottom w:val="0"/>
      <w:divBdr>
        <w:top w:val="none" w:sz="0" w:space="0" w:color="auto"/>
        <w:left w:val="none" w:sz="0" w:space="0" w:color="auto"/>
        <w:bottom w:val="none" w:sz="0" w:space="0" w:color="auto"/>
        <w:right w:val="none" w:sz="0" w:space="0" w:color="auto"/>
      </w:divBdr>
    </w:div>
    <w:div w:id="1430663593">
      <w:bodyDiv w:val="1"/>
      <w:marLeft w:val="0"/>
      <w:marRight w:val="0"/>
      <w:marTop w:val="0"/>
      <w:marBottom w:val="0"/>
      <w:divBdr>
        <w:top w:val="none" w:sz="0" w:space="0" w:color="auto"/>
        <w:left w:val="none" w:sz="0" w:space="0" w:color="auto"/>
        <w:bottom w:val="none" w:sz="0" w:space="0" w:color="auto"/>
        <w:right w:val="none" w:sz="0" w:space="0" w:color="auto"/>
      </w:divBdr>
    </w:div>
    <w:div w:id="1454131011">
      <w:bodyDiv w:val="1"/>
      <w:marLeft w:val="0"/>
      <w:marRight w:val="0"/>
      <w:marTop w:val="0"/>
      <w:marBottom w:val="0"/>
      <w:divBdr>
        <w:top w:val="none" w:sz="0" w:space="0" w:color="auto"/>
        <w:left w:val="none" w:sz="0" w:space="0" w:color="auto"/>
        <w:bottom w:val="none" w:sz="0" w:space="0" w:color="auto"/>
        <w:right w:val="none" w:sz="0" w:space="0" w:color="auto"/>
      </w:divBdr>
    </w:div>
    <w:div w:id="1487430328">
      <w:bodyDiv w:val="1"/>
      <w:marLeft w:val="0"/>
      <w:marRight w:val="0"/>
      <w:marTop w:val="0"/>
      <w:marBottom w:val="0"/>
      <w:divBdr>
        <w:top w:val="none" w:sz="0" w:space="0" w:color="auto"/>
        <w:left w:val="none" w:sz="0" w:space="0" w:color="auto"/>
        <w:bottom w:val="none" w:sz="0" w:space="0" w:color="auto"/>
        <w:right w:val="none" w:sz="0" w:space="0" w:color="auto"/>
      </w:divBdr>
    </w:div>
    <w:div w:id="1498224974">
      <w:bodyDiv w:val="1"/>
      <w:marLeft w:val="0"/>
      <w:marRight w:val="0"/>
      <w:marTop w:val="0"/>
      <w:marBottom w:val="0"/>
      <w:divBdr>
        <w:top w:val="none" w:sz="0" w:space="0" w:color="auto"/>
        <w:left w:val="none" w:sz="0" w:space="0" w:color="auto"/>
        <w:bottom w:val="none" w:sz="0" w:space="0" w:color="auto"/>
        <w:right w:val="none" w:sz="0" w:space="0" w:color="auto"/>
      </w:divBdr>
    </w:div>
    <w:div w:id="1611010214">
      <w:bodyDiv w:val="1"/>
      <w:marLeft w:val="0"/>
      <w:marRight w:val="0"/>
      <w:marTop w:val="0"/>
      <w:marBottom w:val="0"/>
      <w:divBdr>
        <w:top w:val="none" w:sz="0" w:space="0" w:color="auto"/>
        <w:left w:val="none" w:sz="0" w:space="0" w:color="auto"/>
        <w:bottom w:val="none" w:sz="0" w:space="0" w:color="auto"/>
        <w:right w:val="none" w:sz="0" w:space="0" w:color="auto"/>
      </w:divBdr>
      <w:divsChild>
        <w:div w:id="1495220946">
          <w:marLeft w:val="0"/>
          <w:marRight w:val="0"/>
          <w:marTop w:val="0"/>
          <w:marBottom w:val="0"/>
          <w:divBdr>
            <w:top w:val="none" w:sz="0" w:space="0" w:color="auto"/>
            <w:left w:val="none" w:sz="0" w:space="0" w:color="auto"/>
            <w:bottom w:val="none" w:sz="0" w:space="0" w:color="auto"/>
            <w:right w:val="none" w:sz="0" w:space="0" w:color="auto"/>
          </w:divBdr>
        </w:div>
      </w:divsChild>
    </w:div>
    <w:div w:id="1631323647">
      <w:bodyDiv w:val="1"/>
      <w:marLeft w:val="0"/>
      <w:marRight w:val="0"/>
      <w:marTop w:val="0"/>
      <w:marBottom w:val="0"/>
      <w:divBdr>
        <w:top w:val="none" w:sz="0" w:space="0" w:color="auto"/>
        <w:left w:val="none" w:sz="0" w:space="0" w:color="auto"/>
        <w:bottom w:val="none" w:sz="0" w:space="0" w:color="auto"/>
        <w:right w:val="none" w:sz="0" w:space="0" w:color="auto"/>
      </w:divBdr>
    </w:div>
    <w:div w:id="1639453411">
      <w:bodyDiv w:val="1"/>
      <w:marLeft w:val="0"/>
      <w:marRight w:val="0"/>
      <w:marTop w:val="0"/>
      <w:marBottom w:val="0"/>
      <w:divBdr>
        <w:top w:val="none" w:sz="0" w:space="0" w:color="auto"/>
        <w:left w:val="none" w:sz="0" w:space="0" w:color="auto"/>
        <w:bottom w:val="none" w:sz="0" w:space="0" w:color="auto"/>
        <w:right w:val="none" w:sz="0" w:space="0" w:color="auto"/>
      </w:divBdr>
    </w:div>
    <w:div w:id="1709644458">
      <w:bodyDiv w:val="1"/>
      <w:marLeft w:val="0"/>
      <w:marRight w:val="0"/>
      <w:marTop w:val="0"/>
      <w:marBottom w:val="0"/>
      <w:divBdr>
        <w:top w:val="none" w:sz="0" w:space="0" w:color="auto"/>
        <w:left w:val="none" w:sz="0" w:space="0" w:color="auto"/>
        <w:bottom w:val="none" w:sz="0" w:space="0" w:color="auto"/>
        <w:right w:val="none" w:sz="0" w:space="0" w:color="auto"/>
      </w:divBdr>
    </w:div>
    <w:div w:id="173789737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31478244">
      <w:bodyDiv w:val="1"/>
      <w:marLeft w:val="0"/>
      <w:marRight w:val="0"/>
      <w:marTop w:val="0"/>
      <w:marBottom w:val="0"/>
      <w:divBdr>
        <w:top w:val="none" w:sz="0" w:space="0" w:color="auto"/>
        <w:left w:val="none" w:sz="0" w:space="0" w:color="auto"/>
        <w:bottom w:val="none" w:sz="0" w:space="0" w:color="auto"/>
        <w:right w:val="none" w:sz="0" w:space="0" w:color="auto"/>
      </w:divBdr>
    </w:div>
    <w:div w:id="1858420622">
      <w:bodyDiv w:val="1"/>
      <w:marLeft w:val="0"/>
      <w:marRight w:val="0"/>
      <w:marTop w:val="0"/>
      <w:marBottom w:val="0"/>
      <w:divBdr>
        <w:top w:val="none" w:sz="0" w:space="0" w:color="auto"/>
        <w:left w:val="none" w:sz="0" w:space="0" w:color="auto"/>
        <w:bottom w:val="none" w:sz="0" w:space="0" w:color="auto"/>
        <w:right w:val="none" w:sz="0" w:space="0" w:color="auto"/>
      </w:divBdr>
    </w:div>
    <w:div w:id="1944261531">
      <w:bodyDiv w:val="1"/>
      <w:marLeft w:val="0"/>
      <w:marRight w:val="0"/>
      <w:marTop w:val="0"/>
      <w:marBottom w:val="0"/>
      <w:divBdr>
        <w:top w:val="none" w:sz="0" w:space="0" w:color="auto"/>
        <w:left w:val="none" w:sz="0" w:space="0" w:color="auto"/>
        <w:bottom w:val="none" w:sz="0" w:space="0" w:color="auto"/>
        <w:right w:val="none" w:sz="0" w:space="0" w:color="auto"/>
      </w:divBdr>
    </w:div>
    <w:div w:id="208190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yperlink" Target="https://www.dtf.vic.gov.au/standing-directions-2018-under-financial-management-act-1994"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11.xml"/><Relationship Id="rId35" Type="http://schemas.openxmlformats.org/officeDocument/2006/relationships/image" Target="media/image6.png"/><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s://www.vcat.vic.gov.au/fees/concessions-fee-relief" TargetMode="External"/><Relationship Id="rId30"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www.vic.gov.au/victorian-guide-regulation" TargetMode="External"/><Relationship Id="rId2" Type="http://schemas.openxmlformats.org/officeDocument/2006/relationships/hyperlink" Target="https://www.dva.gov.au/get-support/health-support/veteran-healthcare-cards/veteran-gold-card" TargetMode="External"/><Relationship Id="rId1" Type="http://schemas.openxmlformats.org/officeDocument/2006/relationships/hyperlink" Target="https://courts.vic.gov.au/resources/caseload-data" TargetMode="External"/><Relationship Id="rId4" Type="http://schemas.openxmlformats.org/officeDocument/2006/relationships/hyperlink" Target="https://www.servicesaustralia.gov.au/how-much-age-pension-you-can-get?context=22526"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048082-e052-44c2-9313-1529a8e2ac53">
      <Terms xmlns="http://schemas.microsoft.com/office/infopath/2007/PartnerControls"/>
    </lcf76f155ced4ddcb4097134ff3c332f>
    <TaxCatchAll xmlns="97580cac-1a46-464e-a749-263d0beaf9ec" xsi:nil="true"/>
    <Department xmlns="c5048082-e052-44c2-9313-1529a8e2ac53" xsi:nil="true"/>
    <Notes xmlns="c5048082-e052-44c2-9313-1529a8e2ac53" xsi:nil="true"/>
    <Status xmlns="c5048082-e052-44c2-9313-1529a8e2ac53" xsi:nil="true"/>
    <Requiredbydate xmlns="c5048082-e052-44c2-9313-1529a8e2ac53" xsi:nil="true"/>
    <WorkCategory xmlns="c5048082-e052-44c2-9313-1529a8e2ac53" xsi:nil="true"/>
    <_Flow_SignoffStatus xmlns="c5048082-e052-44c2-9313-1529a8e2ac53" xsi:nil="true"/>
    <DocumentType xmlns="c5048082-e052-44c2-9313-1529a8e2ac53" xsi:nil="true"/>
    <HasaRIS_x002f_LIAdrafted_x003f_ xmlns="c5048082-e052-44c2-9313-1529a8e2ac53">false</HasaRIS_x002f_LIAdrafted_x003f_>
    <Assignedto xmlns="c5048082-e052-44c2-9313-1529a8e2ac53">
      <UserInfo>
        <DisplayName/>
        <AccountId xsi:nil="true"/>
        <AccountType/>
      </UserInfo>
    </Assignedto>
    <Requester xmlns="c5048082-e052-44c2-9313-1529a8e2ac53">
      <UserInfo>
        <DisplayName/>
        <AccountId xsi:nil="true"/>
        <AccountType/>
      </UserInfo>
    </Requester>
    <Exemptionground xmlns="c5048082-e052-44c2-9313-1529a8e2ac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72AF1AD5AF15524C920CB3BE3D72725D" ma:contentTypeVersion="29" ma:contentTypeDescription="Create a new document." ma:contentTypeScope="" ma:versionID="eb5c28d0db03a5540a9e78b3e7650d01">
  <xsd:schema xmlns:xsd="http://www.w3.org/2001/XMLSchema" xmlns:xs="http://www.w3.org/2001/XMLSchema" xmlns:p="http://schemas.microsoft.com/office/2006/metadata/properties" xmlns:ns2="c5048082-e052-44c2-9313-1529a8e2ac53" xmlns:ns3="97580cac-1a46-464e-a749-263d0beaf9ec" targetNamespace="http://schemas.microsoft.com/office/2006/metadata/properties" ma:root="true" ma:fieldsID="753db6dcfa5c632afa162c97aafa6bdb" ns2:_="" ns3:_="">
    <xsd:import namespace="c5048082-e052-44c2-9313-1529a8e2ac53"/>
    <xsd:import namespace="97580cac-1a46-464e-a749-263d0beaf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WorkCategory" minOccurs="0"/>
                <xsd:element ref="ns2:DocumentType" minOccurs="0"/>
                <xsd:element ref="ns2:Status" minOccurs="0"/>
                <xsd:element ref="ns2:Assignedto" minOccurs="0"/>
                <xsd:element ref="ns2:Requiredbydate" minOccurs="0"/>
                <xsd:element ref="ns2:MediaServiceObjectDetectorVersions" minOccurs="0"/>
                <xsd:element ref="ns2:Department" minOccurs="0"/>
                <xsd:element ref="ns2:Requester" minOccurs="0"/>
                <xsd:element ref="ns2:HasaRIS_x002f_LIAdrafted_x003f_" minOccurs="0"/>
                <xsd:element ref="ns2:Exemptionground" minOccurs="0"/>
                <xsd:element ref="ns2:MediaServiceSearchProperties" minOccurs="0"/>
                <xsd:element ref="ns2:Not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48082-e052-44c2-9313-1529a8e2a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WorkCategory" ma:index="23" nillable="true" ma:displayName="Work Category" ma:format="Dropdown" ma:indexed="true" ma:internalName="WorkCategory">
      <xsd:simpleType>
        <xsd:restriction base="dms:Choice">
          <xsd:enumeration value="Building System Review"/>
          <xsd:enumeration value="Competitive Neutrality"/>
          <xsd:enumeration value="General"/>
          <xsd:enumeration value="Guidance Project"/>
          <xsd:enumeration value="Marked for Deletion"/>
          <xsd:enumeration value="Presentations and Conferences"/>
          <xsd:enumeration value="Regulators as a Profession"/>
          <xsd:enumeration value="Regulator Reform Project and Health Checks"/>
          <xsd:enumeration value="RegTech Project"/>
          <xsd:enumeration value="Reviews"/>
          <xsd:enumeration value="Scrutiny Project"/>
        </xsd:restriction>
      </xsd:simpleType>
    </xsd:element>
    <xsd:element name="DocumentType" ma:index="24" nillable="true" ma:displayName="Document Type" ma:format="Dropdown" ma:internalName="DocumentType">
      <xsd:simpleType>
        <xsd:restriction base="dms:Choice">
          <xsd:enumeration value="Agenda"/>
          <xsd:enumeration value="Brief"/>
          <xsd:enumeration value="Guidance"/>
          <xsd:enumeration value="Presentation"/>
          <xsd:enumeration value="Memo"/>
          <xsd:enumeration value="Minutes"/>
          <xsd:enumeration value="Report"/>
        </xsd:restriction>
      </xsd:simpleType>
    </xsd:element>
    <xsd:element name="Status" ma:index="25" nillable="true" ma:displayName="Status" ma:format="Dropdown" ma:internalName="Status">
      <xsd:simpleType>
        <xsd:restriction base="dms:Choice">
          <xsd:enumeration value="Draft"/>
          <xsd:enumeration value="For review"/>
          <xsd:enumeration value="For approval"/>
          <xsd:enumeration value="Approved"/>
          <xsd:enumeration value="On-hold"/>
        </xsd:restriction>
      </xsd:simpleType>
    </xsd:element>
    <xsd:element name="Assignedto" ma:index="26" nillable="true" ma:displayName="Assigned to" ma:format="Dropdown" ma:list="UserInfo" ma:SharePointGroup="0" ma:internalName="Assignedto">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iredbydate" ma:index="27" nillable="true" ma:displayName="Required by date" ma:format="DateOnly" ma:internalName="Requiredbydate">
      <xsd:simpleType>
        <xsd:restriction base="dms:DateTime"/>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Department" ma:index="30" nillable="true" ma:displayName="Department" ma:format="Dropdown" ma:internalName="Department">
      <xsd:simpleType>
        <xsd:union memberTypes="dms:Text">
          <xsd:simpleType>
            <xsd:restriction base="dms:Choice">
              <xsd:enumeration value="DTF"/>
              <xsd:enumeration value="DPC"/>
              <xsd:enumeration value="DGS"/>
              <xsd:enumeration value="DJSIR"/>
              <xsd:enumeration value="DH"/>
              <xsd:enumeration value="DTP"/>
              <xsd:enumeration value="DEECA"/>
              <xsd:enumeration value="ESC"/>
              <xsd:enumeration value="VPA"/>
              <xsd:enumeration value="DJCS"/>
              <xsd:enumeration value="WorkSafe"/>
              <xsd:enumeration value="DFFH"/>
              <xsd:enumeration value="DELWP"/>
              <xsd:enumeration value="DE"/>
              <xsd:enumeration value="DET"/>
            </xsd:restriction>
          </xsd:simpleType>
        </xsd:union>
      </xsd:simpleType>
    </xsd:element>
    <xsd:element name="Requester" ma:index="31" nillable="true" ma:displayName="Requester" ma:format="Dropdown" ma:list="UserInfo" ma:SharePointGroup="0" ma:internalName="Reques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saRIS_x002f_LIAdrafted_x003f_" ma:index="32" nillable="true" ma:displayName="Has a RIS/LIA been drafted?" ma:default="0" ma:format="Dropdown" ma:internalName="HasaRIS_x002f_LIAdrafted_x003f_">
      <xsd:simpleType>
        <xsd:restriction base="dms:Boolean"/>
      </xsd:simpleType>
    </xsd:element>
    <xsd:element name="Exemptionground" ma:index="33" nillable="true" ma:displayName="Exemption ground" ma:description="Exemption ground in the Subordinate Legislation Act. Key grounds:&#10;8(1)(a) - SR no significant burden&#10;8(1)(c) - SR declaratory or machinery&#10;8(1)(d) - SR fees increasing below Treasurer's rate&#10;8(1)(f) - SR national uniform legislation&#10;12F(1)(a) - LI no significant burden&#10;12F(1)(b) - LI declaratory or machinery&#10;12F(1)(c) - LI fees increasing below Treasurer's rate&#10;12F(1)(d) - LI burden only on public sector&#10;12F(1)(f) - LI national uniform legislation&#10;12F(1)(g) - LI equivalent RIS process &#10;12F(1)(h) - LI less than 12 months duration&#10;&#10;&#10;&#10;" ma:format="Dropdown" ma:internalName="Exemptionground">
      <xsd:simpleType>
        <xsd:restriction base="dms:Text">
          <xsd:maxLength value="255"/>
        </xsd:restriction>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Notes" ma:index="35" nillable="true" ma:displayName="Notes" ma:format="Dropdown" ma:internalName="Notes">
      <xsd:simpleType>
        <xsd:restriction base="dms:Note">
          <xsd:maxLength value="255"/>
        </xsd:restriction>
      </xsd:simpleType>
    </xsd:element>
    <xsd:element name="_Flow_SignoffStatus" ma:index="36"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580cac-1a46-464e-a749-263d0beaf9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7364121-4511-4e9b-9ea9-dbc06523d608}" ma:internalName="TaxCatchAll" ma:showField="CatchAllData" ma:web="97580cac-1a46-464e-a749-263d0beaf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072575-0782-4E02-9FDB-3EA1D13942E2}">
  <ds:schemaRefs>
    <ds:schemaRef ds:uri="http://schemas.openxmlformats.org/officeDocument/2006/bibliography"/>
  </ds:schemaRefs>
</ds:datastoreItem>
</file>

<file path=customXml/itemProps2.xml><?xml version="1.0" encoding="utf-8"?>
<ds:datastoreItem xmlns:ds="http://schemas.openxmlformats.org/officeDocument/2006/customXml" ds:itemID="{389AEB18-FB0B-4F03-94D6-A2442DB32C09}">
  <ds:schemaRefs>
    <ds:schemaRef ds:uri="http://purl.org/dc/elements/1.1/"/>
    <ds:schemaRef ds:uri="http://schemas.microsoft.com/office/2006/metadata/properties"/>
    <ds:schemaRef ds:uri="http://purl.org/dc/terms/"/>
    <ds:schemaRef ds:uri="3367ce1e-c342-49c7-8325-1c164048bd59"/>
    <ds:schemaRef ds:uri="http://schemas.microsoft.com/office/infopath/2007/PartnerControls"/>
    <ds:schemaRef ds:uri="http://schemas.microsoft.com/office/2006/documentManagement/types"/>
    <ds:schemaRef ds:uri="http://schemas.openxmlformats.org/package/2006/metadata/core-properties"/>
    <ds:schemaRef ds:uri="78429666-011a-4dd2-a6ae-41f4378aef57"/>
    <ds:schemaRef ds:uri="http://www.w3.org/XML/1998/namespace"/>
    <ds:schemaRef ds:uri="http://purl.org/dc/dcmitype/"/>
  </ds:schemaRefs>
</ds:datastoreItem>
</file>

<file path=customXml/itemProps3.xml><?xml version="1.0" encoding="utf-8"?>
<ds:datastoreItem xmlns:ds="http://schemas.openxmlformats.org/officeDocument/2006/customXml" ds:itemID="{46D5761F-0AB6-4E9C-9805-BF5D045BE3BC}">
  <ds:schemaRefs>
    <ds:schemaRef ds:uri="http://schemas.microsoft.com/sharepoint/v3/contenttype/forms"/>
  </ds:schemaRefs>
</ds:datastoreItem>
</file>

<file path=customXml/itemProps4.xml><?xml version="1.0" encoding="utf-8"?>
<ds:datastoreItem xmlns:ds="http://schemas.openxmlformats.org/officeDocument/2006/customXml" ds:itemID="{8934D78E-4FD3-4C0C-9A4E-02AB2C3D22AB}">
  <ds:schemaRefs>
    <ds:schemaRef ds:uri="http://schemas.microsoft.com/sharepoint/events"/>
  </ds:schemaRefs>
</ds:datastoreItem>
</file>

<file path=customXml/itemProps5.xml><?xml version="1.0" encoding="utf-8"?>
<ds:datastoreItem xmlns:ds="http://schemas.openxmlformats.org/officeDocument/2006/customXml" ds:itemID="{456D35C4-82D9-4D9C-B3AA-24F91113DCE7}"/>
</file>

<file path=docProps/app.xml><?xml version="1.0" encoding="utf-8"?>
<Properties xmlns="http://schemas.openxmlformats.org/officeDocument/2006/extended-properties" xmlns:vt="http://schemas.openxmlformats.org/officeDocument/2006/docPropsVTypes">
  <Template>Normal.dotm</Template>
  <TotalTime>3</TotalTime>
  <Pages>83</Pages>
  <Words>28980</Words>
  <Characters>159681</Characters>
  <Application>Microsoft Office Word</Application>
  <DocSecurity>0</DocSecurity>
  <Lines>2957</Lines>
  <Paragraphs>2219</Paragraphs>
  <ScaleCrop>false</ScaleCrop>
  <Manager/>
  <Company/>
  <LinksUpToDate>false</LinksUpToDate>
  <CharactersWithSpaces>186442</CharactersWithSpaces>
  <SharedDoc>false</SharedDoc>
  <HyperlinkBase/>
  <HLinks>
    <vt:vector size="612" baseType="variant">
      <vt:variant>
        <vt:i4>1441843</vt:i4>
      </vt:variant>
      <vt:variant>
        <vt:i4>522</vt:i4>
      </vt:variant>
      <vt:variant>
        <vt:i4>0</vt:i4>
      </vt:variant>
      <vt:variant>
        <vt:i4>5</vt:i4>
      </vt:variant>
      <vt:variant>
        <vt:lpwstr/>
      </vt:variant>
      <vt:variant>
        <vt:lpwstr>_Appendix_E_–</vt:lpwstr>
      </vt:variant>
      <vt:variant>
        <vt:i4>1441840</vt:i4>
      </vt:variant>
      <vt:variant>
        <vt:i4>519</vt:i4>
      </vt:variant>
      <vt:variant>
        <vt:i4>0</vt:i4>
      </vt:variant>
      <vt:variant>
        <vt:i4>5</vt:i4>
      </vt:variant>
      <vt:variant>
        <vt:lpwstr/>
      </vt:variant>
      <vt:variant>
        <vt:lpwstr>_Appendix_F_–</vt:lpwstr>
      </vt:variant>
      <vt:variant>
        <vt:i4>4784214</vt:i4>
      </vt:variant>
      <vt:variant>
        <vt:i4>516</vt:i4>
      </vt:variant>
      <vt:variant>
        <vt:i4>0</vt:i4>
      </vt:variant>
      <vt:variant>
        <vt:i4>5</vt:i4>
      </vt:variant>
      <vt:variant>
        <vt:lpwstr/>
      </vt:variant>
      <vt:variant>
        <vt:lpwstr>_Appendix_C</vt:lpwstr>
      </vt:variant>
      <vt:variant>
        <vt:i4>1245216</vt:i4>
      </vt:variant>
      <vt:variant>
        <vt:i4>513</vt:i4>
      </vt:variant>
      <vt:variant>
        <vt:i4>0</vt:i4>
      </vt:variant>
      <vt:variant>
        <vt:i4>5</vt:i4>
      </vt:variant>
      <vt:variant>
        <vt:lpwstr/>
      </vt:variant>
      <vt:variant>
        <vt:lpwstr>_New_Fee_Setting</vt:lpwstr>
      </vt:variant>
      <vt:variant>
        <vt:i4>1310775</vt:i4>
      </vt:variant>
      <vt:variant>
        <vt:i4>510</vt:i4>
      </vt:variant>
      <vt:variant>
        <vt:i4>0</vt:i4>
      </vt:variant>
      <vt:variant>
        <vt:i4>5</vt:i4>
      </vt:variant>
      <vt:variant>
        <vt:lpwstr/>
      </vt:variant>
      <vt:variant>
        <vt:lpwstr>_Toc207716328</vt:lpwstr>
      </vt:variant>
      <vt:variant>
        <vt:i4>1507331</vt:i4>
      </vt:variant>
      <vt:variant>
        <vt:i4>507</vt:i4>
      </vt:variant>
      <vt:variant>
        <vt:i4>0</vt:i4>
      </vt:variant>
      <vt:variant>
        <vt:i4>5</vt:i4>
      </vt:variant>
      <vt:variant>
        <vt:lpwstr/>
      </vt:variant>
      <vt:variant>
        <vt:lpwstr>_Identifying_Options</vt:lpwstr>
      </vt:variant>
      <vt:variant>
        <vt:i4>1507331</vt:i4>
      </vt:variant>
      <vt:variant>
        <vt:i4>504</vt:i4>
      </vt:variant>
      <vt:variant>
        <vt:i4>0</vt:i4>
      </vt:variant>
      <vt:variant>
        <vt:i4>5</vt:i4>
      </vt:variant>
      <vt:variant>
        <vt:lpwstr/>
      </vt:variant>
      <vt:variant>
        <vt:lpwstr>_Identifying_Options</vt:lpwstr>
      </vt:variant>
      <vt:variant>
        <vt:i4>1310775</vt:i4>
      </vt:variant>
      <vt:variant>
        <vt:i4>501</vt:i4>
      </vt:variant>
      <vt:variant>
        <vt:i4>0</vt:i4>
      </vt:variant>
      <vt:variant>
        <vt:i4>5</vt:i4>
      </vt:variant>
      <vt:variant>
        <vt:lpwstr/>
      </vt:variant>
      <vt:variant>
        <vt:lpwstr>_Toc207716328</vt:lpwstr>
      </vt:variant>
      <vt:variant>
        <vt:i4>4784214</vt:i4>
      </vt:variant>
      <vt:variant>
        <vt:i4>498</vt:i4>
      </vt:variant>
      <vt:variant>
        <vt:i4>0</vt:i4>
      </vt:variant>
      <vt:variant>
        <vt:i4>5</vt:i4>
      </vt:variant>
      <vt:variant>
        <vt:lpwstr/>
      </vt:variant>
      <vt:variant>
        <vt:lpwstr>_Appendix_C</vt:lpwstr>
      </vt:variant>
      <vt:variant>
        <vt:i4>4784214</vt:i4>
      </vt:variant>
      <vt:variant>
        <vt:i4>495</vt:i4>
      </vt:variant>
      <vt:variant>
        <vt:i4>0</vt:i4>
      </vt:variant>
      <vt:variant>
        <vt:i4>5</vt:i4>
      </vt:variant>
      <vt:variant>
        <vt:lpwstr/>
      </vt:variant>
      <vt:variant>
        <vt:lpwstr>_Appendix_B</vt:lpwstr>
      </vt:variant>
      <vt:variant>
        <vt:i4>1507331</vt:i4>
      </vt:variant>
      <vt:variant>
        <vt:i4>492</vt:i4>
      </vt:variant>
      <vt:variant>
        <vt:i4>0</vt:i4>
      </vt:variant>
      <vt:variant>
        <vt:i4>5</vt:i4>
      </vt:variant>
      <vt:variant>
        <vt:lpwstr/>
      </vt:variant>
      <vt:variant>
        <vt:lpwstr>_Identifying_Options</vt:lpwstr>
      </vt:variant>
      <vt:variant>
        <vt:i4>4784214</vt:i4>
      </vt:variant>
      <vt:variant>
        <vt:i4>489</vt:i4>
      </vt:variant>
      <vt:variant>
        <vt:i4>0</vt:i4>
      </vt:variant>
      <vt:variant>
        <vt:i4>5</vt:i4>
      </vt:variant>
      <vt:variant>
        <vt:lpwstr/>
      </vt:variant>
      <vt:variant>
        <vt:lpwstr>_Appendix_A</vt:lpwstr>
      </vt:variant>
      <vt:variant>
        <vt:i4>2818071</vt:i4>
      </vt:variant>
      <vt:variant>
        <vt:i4>486</vt:i4>
      </vt:variant>
      <vt:variant>
        <vt:i4>0</vt:i4>
      </vt:variant>
      <vt:variant>
        <vt:i4>5</vt:i4>
      </vt:variant>
      <vt:variant>
        <vt:lpwstr/>
      </vt:variant>
      <vt:variant>
        <vt:lpwstr>_Charging_fees_in</vt:lpwstr>
      </vt:variant>
      <vt:variant>
        <vt:i4>4653141</vt:i4>
      </vt:variant>
      <vt:variant>
        <vt:i4>483</vt:i4>
      </vt:variant>
      <vt:variant>
        <vt:i4>0</vt:i4>
      </vt:variant>
      <vt:variant>
        <vt:i4>5</vt:i4>
      </vt:variant>
      <vt:variant>
        <vt:lpwstr/>
      </vt:variant>
      <vt:variant>
        <vt:lpwstr>_VCAT_Caseload</vt:lpwstr>
      </vt:variant>
      <vt:variant>
        <vt:i4>6946906</vt:i4>
      </vt:variant>
      <vt:variant>
        <vt:i4>480</vt:i4>
      </vt:variant>
      <vt:variant>
        <vt:i4>0</vt:i4>
      </vt:variant>
      <vt:variant>
        <vt:i4>5</vt:i4>
      </vt:variant>
      <vt:variant>
        <vt:lpwstr/>
      </vt:variant>
      <vt:variant>
        <vt:lpwstr>_Objectives</vt:lpwstr>
      </vt:variant>
      <vt:variant>
        <vt:i4>3473419</vt:i4>
      </vt:variant>
      <vt:variant>
        <vt:i4>477</vt:i4>
      </vt:variant>
      <vt:variant>
        <vt:i4>0</vt:i4>
      </vt:variant>
      <vt:variant>
        <vt:i4>5</vt:i4>
      </vt:variant>
      <vt:variant>
        <vt:lpwstr/>
      </vt:variant>
      <vt:variant>
        <vt:lpwstr>_Relevant_contextual_changes</vt:lpwstr>
      </vt:variant>
      <vt:variant>
        <vt:i4>4784214</vt:i4>
      </vt:variant>
      <vt:variant>
        <vt:i4>474</vt:i4>
      </vt:variant>
      <vt:variant>
        <vt:i4>0</vt:i4>
      </vt:variant>
      <vt:variant>
        <vt:i4>5</vt:i4>
      </vt:variant>
      <vt:variant>
        <vt:lpwstr/>
      </vt:variant>
      <vt:variant>
        <vt:lpwstr>_Appendix_D</vt:lpwstr>
      </vt:variant>
      <vt:variant>
        <vt:i4>1441843</vt:i4>
      </vt:variant>
      <vt:variant>
        <vt:i4>471</vt:i4>
      </vt:variant>
      <vt:variant>
        <vt:i4>0</vt:i4>
      </vt:variant>
      <vt:variant>
        <vt:i4>5</vt:i4>
      </vt:variant>
      <vt:variant>
        <vt:lpwstr/>
      </vt:variant>
      <vt:variant>
        <vt:lpwstr>_Appendix_E_–</vt:lpwstr>
      </vt:variant>
      <vt:variant>
        <vt:i4>4456546</vt:i4>
      </vt:variant>
      <vt:variant>
        <vt:i4>468</vt:i4>
      </vt:variant>
      <vt:variant>
        <vt:i4>0</vt:i4>
      </vt:variant>
      <vt:variant>
        <vt:i4>5</vt:i4>
      </vt:variant>
      <vt:variant>
        <vt:lpwstr/>
      </vt:variant>
      <vt:variant>
        <vt:lpwstr>_Fee_Schedule_under</vt:lpwstr>
      </vt:variant>
      <vt:variant>
        <vt:i4>7733366</vt:i4>
      </vt:variant>
      <vt:variant>
        <vt:i4>465</vt:i4>
      </vt:variant>
      <vt:variant>
        <vt:i4>0</vt:i4>
      </vt:variant>
      <vt:variant>
        <vt:i4>5</vt:i4>
      </vt:variant>
      <vt:variant>
        <vt:lpwstr>https://www.dtf.vic.gov.au/standing-directions-2018-under-financial-management-act-1994</vt:lpwstr>
      </vt:variant>
      <vt:variant>
        <vt:lpwstr/>
      </vt:variant>
      <vt:variant>
        <vt:i4>4784214</vt:i4>
      </vt:variant>
      <vt:variant>
        <vt:i4>462</vt:i4>
      </vt:variant>
      <vt:variant>
        <vt:i4>0</vt:i4>
      </vt:variant>
      <vt:variant>
        <vt:i4>5</vt:i4>
      </vt:variant>
      <vt:variant>
        <vt:lpwstr/>
      </vt:variant>
      <vt:variant>
        <vt:lpwstr>_Appendix_D</vt:lpwstr>
      </vt:variant>
      <vt:variant>
        <vt:i4>1114161</vt:i4>
      </vt:variant>
      <vt:variant>
        <vt:i4>455</vt:i4>
      </vt:variant>
      <vt:variant>
        <vt:i4>0</vt:i4>
      </vt:variant>
      <vt:variant>
        <vt:i4>5</vt:i4>
      </vt:variant>
      <vt:variant>
        <vt:lpwstr/>
      </vt:variant>
      <vt:variant>
        <vt:lpwstr>_Toc212543515</vt:lpwstr>
      </vt:variant>
      <vt:variant>
        <vt:i4>1114161</vt:i4>
      </vt:variant>
      <vt:variant>
        <vt:i4>449</vt:i4>
      </vt:variant>
      <vt:variant>
        <vt:i4>0</vt:i4>
      </vt:variant>
      <vt:variant>
        <vt:i4>5</vt:i4>
      </vt:variant>
      <vt:variant>
        <vt:lpwstr/>
      </vt:variant>
      <vt:variant>
        <vt:lpwstr>_Toc212543514</vt:lpwstr>
      </vt:variant>
      <vt:variant>
        <vt:i4>1114161</vt:i4>
      </vt:variant>
      <vt:variant>
        <vt:i4>443</vt:i4>
      </vt:variant>
      <vt:variant>
        <vt:i4>0</vt:i4>
      </vt:variant>
      <vt:variant>
        <vt:i4>5</vt:i4>
      </vt:variant>
      <vt:variant>
        <vt:lpwstr/>
      </vt:variant>
      <vt:variant>
        <vt:lpwstr>_Toc212543513</vt:lpwstr>
      </vt:variant>
      <vt:variant>
        <vt:i4>1114161</vt:i4>
      </vt:variant>
      <vt:variant>
        <vt:i4>437</vt:i4>
      </vt:variant>
      <vt:variant>
        <vt:i4>0</vt:i4>
      </vt:variant>
      <vt:variant>
        <vt:i4>5</vt:i4>
      </vt:variant>
      <vt:variant>
        <vt:lpwstr/>
      </vt:variant>
      <vt:variant>
        <vt:lpwstr>_Toc212543512</vt:lpwstr>
      </vt:variant>
      <vt:variant>
        <vt:i4>1114161</vt:i4>
      </vt:variant>
      <vt:variant>
        <vt:i4>431</vt:i4>
      </vt:variant>
      <vt:variant>
        <vt:i4>0</vt:i4>
      </vt:variant>
      <vt:variant>
        <vt:i4>5</vt:i4>
      </vt:variant>
      <vt:variant>
        <vt:lpwstr/>
      </vt:variant>
      <vt:variant>
        <vt:lpwstr>_Toc212543511</vt:lpwstr>
      </vt:variant>
      <vt:variant>
        <vt:i4>1114161</vt:i4>
      </vt:variant>
      <vt:variant>
        <vt:i4>425</vt:i4>
      </vt:variant>
      <vt:variant>
        <vt:i4>0</vt:i4>
      </vt:variant>
      <vt:variant>
        <vt:i4>5</vt:i4>
      </vt:variant>
      <vt:variant>
        <vt:lpwstr/>
      </vt:variant>
      <vt:variant>
        <vt:lpwstr>_Toc212543510</vt:lpwstr>
      </vt:variant>
      <vt:variant>
        <vt:i4>1048625</vt:i4>
      </vt:variant>
      <vt:variant>
        <vt:i4>419</vt:i4>
      </vt:variant>
      <vt:variant>
        <vt:i4>0</vt:i4>
      </vt:variant>
      <vt:variant>
        <vt:i4>5</vt:i4>
      </vt:variant>
      <vt:variant>
        <vt:lpwstr/>
      </vt:variant>
      <vt:variant>
        <vt:lpwstr>_Toc212543509</vt:lpwstr>
      </vt:variant>
      <vt:variant>
        <vt:i4>1048625</vt:i4>
      </vt:variant>
      <vt:variant>
        <vt:i4>413</vt:i4>
      </vt:variant>
      <vt:variant>
        <vt:i4>0</vt:i4>
      </vt:variant>
      <vt:variant>
        <vt:i4>5</vt:i4>
      </vt:variant>
      <vt:variant>
        <vt:lpwstr/>
      </vt:variant>
      <vt:variant>
        <vt:lpwstr>_Toc212543508</vt:lpwstr>
      </vt:variant>
      <vt:variant>
        <vt:i4>1048625</vt:i4>
      </vt:variant>
      <vt:variant>
        <vt:i4>407</vt:i4>
      </vt:variant>
      <vt:variant>
        <vt:i4>0</vt:i4>
      </vt:variant>
      <vt:variant>
        <vt:i4>5</vt:i4>
      </vt:variant>
      <vt:variant>
        <vt:lpwstr/>
      </vt:variant>
      <vt:variant>
        <vt:lpwstr>_Toc212543507</vt:lpwstr>
      </vt:variant>
      <vt:variant>
        <vt:i4>1048625</vt:i4>
      </vt:variant>
      <vt:variant>
        <vt:i4>401</vt:i4>
      </vt:variant>
      <vt:variant>
        <vt:i4>0</vt:i4>
      </vt:variant>
      <vt:variant>
        <vt:i4>5</vt:i4>
      </vt:variant>
      <vt:variant>
        <vt:lpwstr/>
      </vt:variant>
      <vt:variant>
        <vt:lpwstr>_Toc212543506</vt:lpwstr>
      </vt:variant>
      <vt:variant>
        <vt:i4>1048625</vt:i4>
      </vt:variant>
      <vt:variant>
        <vt:i4>395</vt:i4>
      </vt:variant>
      <vt:variant>
        <vt:i4>0</vt:i4>
      </vt:variant>
      <vt:variant>
        <vt:i4>5</vt:i4>
      </vt:variant>
      <vt:variant>
        <vt:lpwstr/>
      </vt:variant>
      <vt:variant>
        <vt:lpwstr>_Toc212543505</vt:lpwstr>
      </vt:variant>
      <vt:variant>
        <vt:i4>1048625</vt:i4>
      </vt:variant>
      <vt:variant>
        <vt:i4>389</vt:i4>
      </vt:variant>
      <vt:variant>
        <vt:i4>0</vt:i4>
      </vt:variant>
      <vt:variant>
        <vt:i4>5</vt:i4>
      </vt:variant>
      <vt:variant>
        <vt:lpwstr/>
      </vt:variant>
      <vt:variant>
        <vt:lpwstr>_Toc212543504</vt:lpwstr>
      </vt:variant>
      <vt:variant>
        <vt:i4>1048625</vt:i4>
      </vt:variant>
      <vt:variant>
        <vt:i4>383</vt:i4>
      </vt:variant>
      <vt:variant>
        <vt:i4>0</vt:i4>
      </vt:variant>
      <vt:variant>
        <vt:i4>5</vt:i4>
      </vt:variant>
      <vt:variant>
        <vt:lpwstr/>
      </vt:variant>
      <vt:variant>
        <vt:lpwstr>_Toc212543503</vt:lpwstr>
      </vt:variant>
      <vt:variant>
        <vt:i4>1048625</vt:i4>
      </vt:variant>
      <vt:variant>
        <vt:i4>377</vt:i4>
      </vt:variant>
      <vt:variant>
        <vt:i4>0</vt:i4>
      </vt:variant>
      <vt:variant>
        <vt:i4>5</vt:i4>
      </vt:variant>
      <vt:variant>
        <vt:lpwstr/>
      </vt:variant>
      <vt:variant>
        <vt:lpwstr>_Toc212543502</vt:lpwstr>
      </vt:variant>
      <vt:variant>
        <vt:i4>1048625</vt:i4>
      </vt:variant>
      <vt:variant>
        <vt:i4>371</vt:i4>
      </vt:variant>
      <vt:variant>
        <vt:i4>0</vt:i4>
      </vt:variant>
      <vt:variant>
        <vt:i4>5</vt:i4>
      </vt:variant>
      <vt:variant>
        <vt:lpwstr/>
      </vt:variant>
      <vt:variant>
        <vt:lpwstr>_Toc212543501</vt:lpwstr>
      </vt:variant>
      <vt:variant>
        <vt:i4>1048625</vt:i4>
      </vt:variant>
      <vt:variant>
        <vt:i4>365</vt:i4>
      </vt:variant>
      <vt:variant>
        <vt:i4>0</vt:i4>
      </vt:variant>
      <vt:variant>
        <vt:i4>5</vt:i4>
      </vt:variant>
      <vt:variant>
        <vt:lpwstr/>
      </vt:variant>
      <vt:variant>
        <vt:lpwstr>_Toc212543500</vt:lpwstr>
      </vt:variant>
      <vt:variant>
        <vt:i4>1638448</vt:i4>
      </vt:variant>
      <vt:variant>
        <vt:i4>359</vt:i4>
      </vt:variant>
      <vt:variant>
        <vt:i4>0</vt:i4>
      </vt:variant>
      <vt:variant>
        <vt:i4>5</vt:i4>
      </vt:variant>
      <vt:variant>
        <vt:lpwstr/>
      </vt:variant>
      <vt:variant>
        <vt:lpwstr>_Toc212543499</vt:lpwstr>
      </vt:variant>
      <vt:variant>
        <vt:i4>1638448</vt:i4>
      </vt:variant>
      <vt:variant>
        <vt:i4>353</vt:i4>
      </vt:variant>
      <vt:variant>
        <vt:i4>0</vt:i4>
      </vt:variant>
      <vt:variant>
        <vt:i4>5</vt:i4>
      </vt:variant>
      <vt:variant>
        <vt:lpwstr/>
      </vt:variant>
      <vt:variant>
        <vt:lpwstr>_Toc212543498</vt:lpwstr>
      </vt:variant>
      <vt:variant>
        <vt:i4>1638448</vt:i4>
      </vt:variant>
      <vt:variant>
        <vt:i4>347</vt:i4>
      </vt:variant>
      <vt:variant>
        <vt:i4>0</vt:i4>
      </vt:variant>
      <vt:variant>
        <vt:i4>5</vt:i4>
      </vt:variant>
      <vt:variant>
        <vt:lpwstr/>
      </vt:variant>
      <vt:variant>
        <vt:lpwstr>_Toc212543497</vt:lpwstr>
      </vt:variant>
      <vt:variant>
        <vt:i4>1638448</vt:i4>
      </vt:variant>
      <vt:variant>
        <vt:i4>341</vt:i4>
      </vt:variant>
      <vt:variant>
        <vt:i4>0</vt:i4>
      </vt:variant>
      <vt:variant>
        <vt:i4>5</vt:i4>
      </vt:variant>
      <vt:variant>
        <vt:lpwstr/>
      </vt:variant>
      <vt:variant>
        <vt:lpwstr>_Toc212543496</vt:lpwstr>
      </vt:variant>
      <vt:variant>
        <vt:i4>1638448</vt:i4>
      </vt:variant>
      <vt:variant>
        <vt:i4>335</vt:i4>
      </vt:variant>
      <vt:variant>
        <vt:i4>0</vt:i4>
      </vt:variant>
      <vt:variant>
        <vt:i4>5</vt:i4>
      </vt:variant>
      <vt:variant>
        <vt:lpwstr/>
      </vt:variant>
      <vt:variant>
        <vt:lpwstr>_Toc212543495</vt:lpwstr>
      </vt:variant>
      <vt:variant>
        <vt:i4>1638448</vt:i4>
      </vt:variant>
      <vt:variant>
        <vt:i4>329</vt:i4>
      </vt:variant>
      <vt:variant>
        <vt:i4>0</vt:i4>
      </vt:variant>
      <vt:variant>
        <vt:i4>5</vt:i4>
      </vt:variant>
      <vt:variant>
        <vt:lpwstr/>
      </vt:variant>
      <vt:variant>
        <vt:lpwstr>_Toc212543494</vt:lpwstr>
      </vt:variant>
      <vt:variant>
        <vt:i4>1638448</vt:i4>
      </vt:variant>
      <vt:variant>
        <vt:i4>323</vt:i4>
      </vt:variant>
      <vt:variant>
        <vt:i4>0</vt:i4>
      </vt:variant>
      <vt:variant>
        <vt:i4>5</vt:i4>
      </vt:variant>
      <vt:variant>
        <vt:lpwstr/>
      </vt:variant>
      <vt:variant>
        <vt:lpwstr>_Toc212543493</vt:lpwstr>
      </vt:variant>
      <vt:variant>
        <vt:i4>1638448</vt:i4>
      </vt:variant>
      <vt:variant>
        <vt:i4>317</vt:i4>
      </vt:variant>
      <vt:variant>
        <vt:i4>0</vt:i4>
      </vt:variant>
      <vt:variant>
        <vt:i4>5</vt:i4>
      </vt:variant>
      <vt:variant>
        <vt:lpwstr/>
      </vt:variant>
      <vt:variant>
        <vt:lpwstr>_Toc212543492</vt:lpwstr>
      </vt:variant>
      <vt:variant>
        <vt:i4>1638448</vt:i4>
      </vt:variant>
      <vt:variant>
        <vt:i4>311</vt:i4>
      </vt:variant>
      <vt:variant>
        <vt:i4>0</vt:i4>
      </vt:variant>
      <vt:variant>
        <vt:i4>5</vt:i4>
      </vt:variant>
      <vt:variant>
        <vt:lpwstr/>
      </vt:variant>
      <vt:variant>
        <vt:lpwstr>_Toc212543491</vt:lpwstr>
      </vt:variant>
      <vt:variant>
        <vt:i4>1638448</vt:i4>
      </vt:variant>
      <vt:variant>
        <vt:i4>305</vt:i4>
      </vt:variant>
      <vt:variant>
        <vt:i4>0</vt:i4>
      </vt:variant>
      <vt:variant>
        <vt:i4>5</vt:i4>
      </vt:variant>
      <vt:variant>
        <vt:lpwstr/>
      </vt:variant>
      <vt:variant>
        <vt:lpwstr>_Toc212543490</vt:lpwstr>
      </vt:variant>
      <vt:variant>
        <vt:i4>1572912</vt:i4>
      </vt:variant>
      <vt:variant>
        <vt:i4>299</vt:i4>
      </vt:variant>
      <vt:variant>
        <vt:i4>0</vt:i4>
      </vt:variant>
      <vt:variant>
        <vt:i4>5</vt:i4>
      </vt:variant>
      <vt:variant>
        <vt:lpwstr/>
      </vt:variant>
      <vt:variant>
        <vt:lpwstr>_Toc212543489</vt:lpwstr>
      </vt:variant>
      <vt:variant>
        <vt:i4>1572912</vt:i4>
      </vt:variant>
      <vt:variant>
        <vt:i4>293</vt:i4>
      </vt:variant>
      <vt:variant>
        <vt:i4>0</vt:i4>
      </vt:variant>
      <vt:variant>
        <vt:i4>5</vt:i4>
      </vt:variant>
      <vt:variant>
        <vt:lpwstr/>
      </vt:variant>
      <vt:variant>
        <vt:lpwstr>_Toc212543488</vt:lpwstr>
      </vt:variant>
      <vt:variant>
        <vt:i4>1572912</vt:i4>
      </vt:variant>
      <vt:variant>
        <vt:i4>287</vt:i4>
      </vt:variant>
      <vt:variant>
        <vt:i4>0</vt:i4>
      </vt:variant>
      <vt:variant>
        <vt:i4>5</vt:i4>
      </vt:variant>
      <vt:variant>
        <vt:lpwstr/>
      </vt:variant>
      <vt:variant>
        <vt:lpwstr>_Toc212543487</vt:lpwstr>
      </vt:variant>
      <vt:variant>
        <vt:i4>1572912</vt:i4>
      </vt:variant>
      <vt:variant>
        <vt:i4>281</vt:i4>
      </vt:variant>
      <vt:variant>
        <vt:i4>0</vt:i4>
      </vt:variant>
      <vt:variant>
        <vt:i4>5</vt:i4>
      </vt:variant>
      <vt:variant>
        <vt:lpwstr/>
      </vt:variant>
      <vt:variant>
        <vt:lpwstr>_Toc212543486</vt:lpwstr>
      </vt:variant>
      <vt:variant>
        <vt:i4>1572912</vt:i4>
      </vt:variant>
      <vt:variant>
        <vt:i4>275</vt:i4>
      </vt:variant>
      <vt:variant>
        <vt:i4>0</vt:i4>
      </vt:variant>
      <vt:variant>
        <vt:i4>5</vt:i4>
      </vt:variant>
      <vt:variant>
        <vt:lpwstr/>
      </vt:variant>
      <vt:variant>
        <vt:lpwstr>_Toc212543485</vt:lpwstr>
      </vt:variant>
      <vt:variant>
        <vt:i4>1572912</vt:i4>
      </vt:variant>
      <vt:variant>
        <vt:i4>269</vt:i4>
      </vt:variant>
      <vt:variant>
        <vt:i4>0</vt:i4>
      </vt:variant>
      <vt:variant>
        <vt:i4>5</vt:i4>
      </vt:variant>
      <vt:variant>
        <vt:lpwstr/>
      </vt:variant>
      <vt:variant>
        <vt:lpwstr>_Toc212543484</vt:lpwstr>
      </vt:variant>
      <vt:variant>
        <vt:i4>1572912</vt:i4>
      </vt:variant>
      <vt:variant>
        <vt:i4>263</vt:i4>
      </vt:variant>
      <vt:variant>
        <vt:i4>0</vt:i4>
      </vt:variant>
      <vt:variant>
        <vt:i4>5</vt:i4>
      </vt:variant>
      <vt:variant>
        <vt:lpwstr/>
      </vt:variant>
      <vt:variant>
        <vt:lpwstr>_Toc212543483</vt:lpwstr>
      </vt:variant>
      <vt:variant>
        <vt:i4>1572912</vt:i4>
      </vt:variant>
      <vt:variant>
        <vt:i4>257</vt:i4>
      </vt:variant>
      <vt:variant>
        <vt:i4>0</vt:i4>
      </vt:variant>
      <vt:variant>
        <vt:i4>5</vt:i4>
      </vt:variant>
      <vt:variant>
        <vt:lpwstr/>
      </vt:variant>
      <vt:variant>
        <vt:lpwstr>_Toc212543482</vt:lpwstr>
      </vt:variant>
      <vt:variant>
        <vt:i4>1572912</vt:i4>
      </vt:variant>
      <vt:variant>
        <vt:i4>251</vt:i4>
      </vt:variant>
      <vt:variant>
        <vt:i4>0</vt:i4>
      </vt:variant>
      <vt:variant>
        <vt:i4>5</vt:i4>
      </vt:variant>
      <vt:variant>
        <vt:lpwstr/>
      </vt:variant>
      <vt:variant>
        <vt:lpwstr>_Toc212543481</vt:lpwstr>
      </vt:variant>
      <vt:variant>
        <vt:i4>1572912</vt:i4>
      </vt:variant>
      <vt:variant>
        <vt:i4>245</vt:i4>
      </vt:variant>
      <vt:variant>
        <vt:i4>0</vt:i4>
      </vt:variant>
      <vt:variant>
        <vt:i4>5</vt:i4>
      </vt:variant>
      <vt:variant>
        <vt:lpwstr/>
      </vt:variant>
      <vt:variant>
        <vt:lpwstr>_Toc212543480</vt:lpwstr>
      </vt:variant>
      <vt:variant>
        <vt:i4>1507376</vt:i4>
      </vt:variant>
      <vt:variant>
        <vt:i4>239</vt:i4>
      </vt:variant>
      <vt:variant>
        <vt:i4>0</vt:i4>
      </vt:variant>
      <vt:variant>
        <vt:i4>5</vt:i4>
      </vt:variant>
      <vt:variant>
        <vt:lpwstr/>
      </vt:variant>
      <vt:variant>
        <vt:lpwstr>_Toc212543479</vt:lpwstr>
      </vt:variant>
      <vt:variant>
        <vt:i4>1507376</vt:i4>
      </vt:variant>
      <vt:variant>
        <vt:i4>233</vt:i4>
      </vt:variant>
      <vt:variant>
        <vt:i4>0</vt:i4>
      </vt:variant>
      <vt:variant>
        <vt:i4>5</vt:i4>
      </vt:variant>
      <vt:variant>
        <vt:lpwstr/>
      </vt:variant>
      <vt:variant>
        <vt:lpwstr>_Toc212543478</vt:lpwstr>
      </vt:variant>
      <vt:variant>
        <vt:i4>1507376</vt:i4>
      </vt:variant>
      <vt:variant>
        <vt:i4>227</vt:i4>
      </vt:variant>
      <vt:variant>
        <vt:i4>0</vt:i4>
      </vt:variant>
      <vt:variant>
        <vt:i4>5</vt:i4>
      </vt:variant>
      <vt:variant>
        <vt:lpwstr/>
      </vt:variant>
      <vt:variant>
        <vt:lpwstr>_Toc212543477</vt:lpwstr>
      </vt:variant>
      <vt:variant>
        <vt:i4>1507376</vt:i4>
      </vt:variant>
      <vt:variant>
        <vt:i4>221</vt:i4>
      </vt:variant>
      <vt:variant>
        <vt:i4>0</vt:i4>
      </vt:variant>
      <vt:variant>
        <vt:i4>5</vt:i4>
      </vt:variant>
      <vt:variant>
        <vt:lpwstr/>
      </vt:variant>
      <vt:variant>
        <vt:lpwstr>_Toc212543476</vt:lpwstr>
      </vt:variant>
      <vt:variant>
        <vt:i4>1507376</vt:i4>
      </vt:variant>
      <vt:variant>
        <vt:i4>215</vt:i4>
      </vt:variant>
      <vt:variant>
        <vt:i4>0</vt:i4>
      </vt:variant>
      <vt:variant>
        <vt:i4>5</vt:i4>
      </vt:variant>
      <vt:variant>
        <vt:lpwstr/>
      </vt:variant>
      <vt:variant>
        <vt:lpwstr>_Toc212543475</vt:lpwstr>
      </vt:variant>
      <vt:variant>
        <vt:i4>1507376</vt:i4>
      </vt:variant>
      <vt:variant>
        <vt:i4>209</vt:i4>
      </vt:variant>
      <vt:variant>
        <vt:i4>0</vt:i4>
      </vt:variant>
      <vt:variant>
        <vt:i4>5</vt:i4>
      </vt:variant>
      <vt:variant>
        <vt:lpwstr/>
      </vt:variant>
      <vt:variant>
        <vt:lpwstr>_Toc212543474</vt:lpwstr>
      </vt:variant>
      <vt:variant>
        <vt:i4>1507376</vt:i4>
      </vt:variant>
      <vt:variant>
        <vt:i4>203</vt:i4>
      </vt:variant>
      <vt:variant>
        <vt:i4>0</vt:i4>
      </vt:variant>
      <vt:variant>
        <vt:i4>5</vt:i4>
      </vt:variant>
      <vt:variant>
        <vt:lpwstr/>
      </vt:variant>
      <vt:variant>
        <vt:lpwstr>_Toc212543473</vt:lpwstr>
      </vt:variant>
      <vt:variant>
        <vt:i4>1507376</vt:i4>
      </vt:variant>
      <vt:variant>
        <vt:i4>197</vt:i4>
      </vt:variant>
      <vt:variant>
        <vt:i4>0</vt:i4>
      </vt:variant>
      <vt:variant>
        <vt:i4>5</vt:i4>
      </vt:variant>
      <vt:variant>
        <vt:lpwstr/>
      </vt:variant>
      <vt:variant>
        <vt:lpwstr>_Toc212543472</vt:lpwstr>
      </vt:variant>
      <vt:variant>
        <vt:i4>1507376</vt:i4>
      </vt:variant>
      <vt:variant>
        <vt:i4>191</vt:i4>
      </vt:variant>
      <vt:variant>
        <vt:i4>0</vt:i4>
      </vt:variant>
      <vt:variant>
        <vt:i4>5</vt:i4>
      </vt:variant>
      <vt:variant>
        <vt:lpwstr/>
      </vt:variant>
      <vt:variant>
        <vt:lpwstr>_Toc212543471</vt:lpwstr>
      </vt:variant>
      <vt:variant>
        <vt:i4>1507376</vt:i4>
      </vt:variant>
      <vt:variant>
        <vt:i4>185</vt:i4>
      </vt:variant>
      <vt:variant>
        <vt:i4>0</vt:i4>
      </vt:variant>
      <vt:variant>
        <vt:i4>5</vt:i4>
      </vt:variant>
      <vt:variant>
        <vt:lpwstr/>
      </vt:variant>
      <vt:variant>
        <vt:lpwstr>_Toc212543470</vt:lpwstr>
      </vt:variant>
      <vt:variant>
        <vt:i4>1441840</vt:i4>
      </vt:variant>
      <vt:variant>
        <vt:i4>179</vt:i4>
      </vt:variant>
      <vt:variant>
        <vt:i4>0</vt:i4>
      </vt:variant>
      <vt:variant>
        <vt:i4>5</vt:i4>
      </vt:variant>
      <vt:variant>
        <vt:lpwstr/>
      </vt:variant>
      <vt:variant>
        <vt:lpwstr>_Toc212543469</vt:lpwstr>
      </vt:variant>
      <vt:variant>
        <vt:i4>1441840</vt:i4>
      </vt:variant>
      <vt:variant>
        <vt:i4>173</vt:i4>
      </vt:variant>
      <vt:variant>
        <vt:i4>0</vt:i4>
      </vt:variant>
      <vt:variant>
        <vt:i4>5</vt:i4>
      </vt:variant>
      <vt:variant>
        <vt:lpwstr/>
      </vt:variant>
      <vt:variant>
        <vt:lpwstr>_Toc212543468</vt:lpwstr>
      </vt:variant>
      <vt:variant>
        <vt:i4>1441840</vt:i4>
      </vt:variant>
      <vt:variant>
        <vt:i4>167</vt:i4>
      </vt:variant>
      <vt:variant>
        <vt:i4>0</vt:i4>
      </vt:variant>
      <vt:variant>
        <vt:i4>5</vt:i4>
      </vt:variant>
      <vt:variant>
        <vt:lpwstr/>
      </vt:variant>
      <vt:variant>
        <vt:lpwstr>_Toc212543467</vt:lpwstr>
      </vt:variant>
      <vt:variant>
        <vt:i4>1441840</vt:i4>
      </vt:variant>
      <vt:variant>
        <vt:i4>161</vt:i4>
      </vt:variant>
      <vt:variant>
        <vt:i4>0</vt:i4>
      </vt:variant>
      <vt:variant>
        <vt:i4>5</vt:i4>
      </vt:variant>
      <vt:variant>
        <vt:lpwstr/>
      </vt:variant>
      <vt:variant>
        <vt:lpwstr>_Toc212543466</vt:lpwstr>
      </vt:variant>
      <vt:variant>
        <vt:i4>1441840</vt:i4>
      </vt:variant>
      <vt:variant>
        <vt:i4>155</vt:i4>
      </vt:variant>
      <vt:variant>
        <vt:i4>0</vt:i4>
      </vt:variant>
      <vt:variant>
        <vt:i4>5</vt:i4>
      </vt:variant>
      <vt:variant>
        <vt:lpwstr/>
      </vt:variant>
      <vt:variant>
        <vt:lpwstr>_Toc212543465</vt:lpwstr>
      </vt:variant>
      <vt:variant>
        <vt:i4>1441840</vt:i4>
      </vt:variant>
      <vt:variant>
        <vt:i4>149</vt:i4>
      </vt:variant>
      <vt:variant>
        <vt:i4>0</vt:i4>
      </vt:variant>
      <vt:variant>
        <vt:i4>5</vt:i4>
      </vt:variant>
      <vt:variant>
        <vt:lpwstr/>
      </vt:variant>
      <vt:variant>
        <vt:lpwstr>_Toc212543464</vt:lpwstr>
      </vt:variant>
      <vt:variant>
        <vt:i4>1441840</vt:i4>
      </vt:variant>
      <vt:variant>
        <vt:i4>143</vt:i4>
      </vt:variant>
      <vt:variant>
        <vt:i4>0</vt:i4>
      </vt:variant>
      <vt:variant>
        <vt:i4>5</vt:i4>
      </vt:variant>
      <vt:variant>
        <vt:lpwstr/>
      </vt:variant>
      <vt:variant>
        <vt:lpwstr>_Toc212543463</vt:lpwstr>
      </vt:variant>
      <vt:variant>
        <vt:i4>1441840</vt:i4>
      </vt:variant>
      <vt:variant>
        <vt:i4>137</vt:i4>
      </vt:variant>
      <vt:variant>
        <vt:i4>0</vt:i4>
      </vt:variant>
      <vt:variant>
        <vt:i4>5</vt:i4>
      </vt:variant>
      <vt:variant>
        <vt:lpwstr/>
      </vt:variant>
      <vt:variant>
        <vt:lpwstr>_Toc212543462</vt:lpwstr>
      </vt:variant>
      <vt:variant>
        <vt:i4>1441840</vt:i4>
      </vt:variant>
      <vt:variant>
        <vt:i4>131</vt:i4>
      </vt:variant>
      <vt:variant>
        <vt:i4>0</vt:i4>
      </vt:variant>
      <vt:variant>
        <vt:i4>5</vt:i4>
      </vt:variant>
      <vt:variant>
        <vt:lpwstr/>
      </vt:variant>
      <vt:variant>
        <vt:lpwstr>_Toc212543461</vt:lpwstr>
      </vt:variant>
      <vt:variant>
        <vt:i4>1441840</vt:i4>
      </vt:variant>
      <vt:variant>
        <vt:i4>125</vt:i4>
      </vt:variant>
      <vt:variant>
        <vt:i4>0</vt:i4>
      </vt:variant>
      <vt:variant>
        <vt:i4>5</vt:i4>
      </vt:variant>
      <vt:variant>
        <vt:lpwstr/>
      </vt:variant>
      <vt:variant>
        <vt:lpwstr>_Toc212543460</vt:lpwstr>
      </vt:variant>
      <vt:variant>
        <vt:i4>1376304</vt:i4>
      </vt:variant>
      <vt:variant>
        <vt:i4>119</vt:i4>
      </vt:variant>
      <vt:variant>
        <vt:i4>0</vt:i4>
      </vt:variant>
      <vt:variant>
        <vt:i4>5</vt:i4>
      </vt:variant>
      <vt:variant>
        <vt:lpwstr/>
      </vt:variant>
      <vt:variant>
        <vt:lpwstr>_Toc212543459</vt:lpwstr>
      </vt:variant>
      <vt:variant>
        <vt:i4>1376304</vt:i4>
      </vt:variant>
      <vt:variant>
        <vt:i4>113</vt:i4>
      </vt:variant>
      <vt:variant>
        <vt:i4>0</vt:i4>
      </vt:variant>
      <vt:variant>
        <vt:i4>5</vt:i4>
      </vt:variant>
      <vt:variant>
        <vt:lpwstr/>
      </vt:variant>
      <vt:variant>
        <vt:lpwstr>_Toc212543458</vt:lpwstr>
      </vt:variant>
      <vt:variant>
        <vt:i4>1376304</vt:i4>
      </vt:variant>
      <vt:variant>
        <vt:i4>107</vt:i4>
      </vt:variant>
      <vt:variant>
        <vt:i4>0</vt:i4>
      </vt:variant>
      <vt:variant>
        <vt:i4>5</vt:i4>
      </vt:variant>
      <vt:variant>
        <vt:lpwstr/>
      </vt:variant>
      <vt:variant>
        <vt:lpwstr>_Toc212543457</vt:lpwstr>
      </vt:variant>
      <vt:variant>
        <vt:i4>1376304</vt:i4>
      </vt:variant>
      <vt:variant>
        <vt:i4>101</vt:i4>
      </vt:variant>
      <vt:variant>
        <vt:i4>0</vt:i4>
      </vt:variant>
      <vt:variant>
        <vt:i4>5</vt:i4>
      </vt:variant>
      <vt:variant>
        <vt:lpwstr/>
      </vt:variant>
      <vt:variant>
        <vt:lpwstr>_Toc212543456</vt:lpwstr>
      </vt:variant>
      <vt:variant>
        <vt:i4>1376304</vt:i4>
      </vt:variant>
      <vt:variant>
        <vt:i4>95</vt:i4>
      </vt:variant>
      <vt:variant>
        <vt:i4>0</vt:i4>
      </vt:variant>
      <vt:variant>
        <vt:i4>5</vt:i4>
      </vt:variant>
      <vt:variant>
        <vt:lpwstr/>
      </vt:variant>
      <vt:variant>
        <vt:lpwstr>_Toc212543455</vt:lpwstr>
      </vt:variant>
      <vt:variant>
        <vt:i4>1376304</vt:i4>
      </vt:variant>
      <vt:variant>
        <vt:i4>89</vt:i4>
      </vt:variant>
      <vt:variant>
        <vt:i4>0</vt:i4>
      </vt:variant>
      <vt:variant>
        <vt:i4>5</vt:i4>
      </vt:variant>
      <vt:variant>
        <vt:lpwstr/>
      </vt:variant>
      <vt:variant>
        <vt:lpwstr>_Toc212543454</vt:lpwstr>
      </vt:variant>
      <vt:variant>
        <vt:i4>1376304</vt:i4>
      </vt:variant>
      <vt:variant>
        <vt:i4>83</vt:i4>
      </vt:variant>
      <vt:variant>
        <vt:i4>0</vt:i4>
      </vt:variant>
      <vt:variant>
        <vt:i4>5</vt:i4>
      </vt:variant>
      <vt:variant>
        <vt:lpwstr/>
      </vt:variant>
      <vt:variant>
        <vt:lpwstr>_Toc212543453</vt:lpwstr>
      </vt:variant>
      <vt:variant>
        <vt:i4>1376304</vt:i4>
      </vt:variant>
      <vt:variant>
        <vt:i4>77</vt:i4>
      </vt:variant>
      <vt:variant>
        <vt:i4>0</vt:i4>
      </vt:variant>
      <vt:variant>
        <vt:i4>5</vt:i4>
      </vt:variant>
      <vt:variant>
        <vt:lpwstr/>
      </vt:variant>
      <vt:variant>
        <vt:lpwstr>_Toc212543452</vt:lpwstr>
      </vt:variant>
      <vt:variant>
        <vt:i4>1376304</vt:i4>
      </vt:variant>
      <vt:variant>
        <vt:i4>71</vt:i4>
      </vt:variant>
      <vt:variant>
        <vt:i4>0</vt:i4>
      </vt:variant>
      <vt:variant>
        <vt:i4>5</vt:i4>
      </vt:variant>
      <vt:variant>
        <vt:lpwstr/>
      </vt:variant>
      <vt:variant>
        <vt:lpwstr>_Toc212543451</vt:lpwstr>
      </vt:variant>
      <vt:variant>
        <vt:i4>1376304</vt:i4>
      </vt:variant>
      <vt:variant>
        <vt:i4>65</vt:i4>
      </vt:variant>
      <vt:variant>
        <vt:i4>0</vt:i4>
      </vt:variant>
      <vt:variant>
        <vt:i4>5</vt:i4>
      </vt:variant>
      <vt:variant>
        <vt:lpwstr/>
      </vt:variant>
      <vt:variant>
        <vt:lpwstr>_Toc212543450</vt:lpwstr>
      </vt:variant>
      <vt:variant>
        <vt:i4>1310768</vt:i4>
      </vt:variant>
      <vt:variant>
        <vt:i4>59</vt:i4>
      </vt:variant>
      <vt:variant>
        <vt:i4>0</vt:i4>
      </vt:variant>
      <vt:variant>
        <vt:i4>5</vt:i4>
      </vt:variant>
      <vt:variant>
        <vt:lpwstr/>
      </vt:variant>
      <vt:variant>
        <vt:lpwstr>_Toc212543449</vt:lpwstr>
      </vt:variant>
      <vt:variant>
        <vt:i4>1310768</vt:i4>
      </vt:variant>
      <vt:variant>
        <vt:i4>53</vt:i4>
      </vt:variant>
      <vt:variant>
        <vt:i4>0</vt:i4>
      </vt:variant>
      <vt:variant>
        <vt:i4>5</vt:i4>
      </vt:variant>
      <vt:variant>
        <vt:lpwstr/>
      </vt:variant>
      <vt:variant>
        <vt:lpwstr>_Toc212543448</vt:lpwstr>
      </vt:variant>
      <vt:variant>
        <vt:i4>1310768</vt:i4>
      </vt:variant>
      <vt:variant>
        <vt:i4>47</vt:i4>
      </vt:variant>
      <vt:variant>
        <vt:i4>0</vt:i4>
      </vt:variant>
      <vt:variant>
        <vt:i4>5</vt:i4>
      </vt:variant>
      <vt:variant>
        <vt:lpwstr/>
      </vt:variant>
      <vt:variant>
        <vt:lpwstr>_Toc212543447</vt:lpwstr>
      </vt:variant>
      <vt:variant>
        <vt:i4>1310768</vt:i4>
      </vt:variant>
      <vt:variant>
        <vt:i4>41</vt:i4>
      </vt:variant>
      <vt:variant>
        <vt:i4>0</vt:i4>
      </vt:variant>
      <vt:variant>
        <vt:i4>5</vt:i4>
      </vt:variant>
      <vt:variant>
        <vt:lpwstr/>
      </vt:variant>
      <vt:variant>
        <vt:lpwstr>_Toc212543446</vt:lpwstr>
      </vt:variant>
      <vt:variant>
        <vt:i4>1310768</vt:i4>
      </vt:variant>
      <vt:variant>
        <vt:i4>35</vt:i4>
      </vt:variant>
      <vt:variant>
        <vt:i4>0</vt:i4>
      </vt:variant>
      <vt:variant>
        <vt:i4>5</vt:i4>
      </vt:variant>
      <vt:variant>
        <vt:lpwstr/>
      </vt:variant>
      <vt:variant>
        <vt:lpwstr>_Toc212543445</vt:lpwstr>
      </vt:variant>
      <vt:variant>
        <vt:i4>1310768</vt:i4>
      </vt:variant>
      <vt:variant>
        <vt:i4>29</vt:i4>
      </vt:variant>
      <vt:variant>
        <vt:i4>0</vt:i4>
      </vt:variant>
      <vt:variant>
        <vt:i4>5</vt:i4>
      </vt:variant>
      <vt:variant>
        <vt:lpwstr/>
      </vt:variant>
      <vt:variant>
        <vt:lpwstr>_Toc212543444</vt:lpwstr>
      </vt:variant>
      <vt:variant>
        <vt:i4>1310768</vt:i4>
      </vt:variant>
      <vt:variant>
        <vt:i4>23</vt:i4>
      </vt:variant>
      <vt:variant>
        <vt:i4>0</vt:i4>
      </vt:variant>
      <vt:variant>
        <vt:i4>5</vt:i4>
      </vt:variant>
      <vt:variant>
        <vt:lpwstr/>
      </vt:variant>
      <vt:variant>
        <vt:lpwstr>_Toc212543443</vt:lpwstr>
      </vt:variant>
      <vt:variant>
        <vt:i4>1310768</vt:i4>
      </vt:variant>
      <vt:variant>
        <vt:i4>17</vt:i4>
      </vt:variant>
      <vt:variant>
        <vt:i4>0</vt:i4>
      </vt:variant>
      <vt:variant>
        <vt:i4>5</vt:i4>
      </vt:variant>
      <vt:variant>
        <vt:lpwstr/>
      </vt:variant>
      <vt:variant>
        <vt:lpwstr>_Toc212543442</vt:lpwstr>
      </vt:variant>
      <vt:variant>
        <vt:i4>1310768</vt:i4>
      </vt:variant>
      <vt:variant>
        <vt:i4>11</vt:i4>
      </vt:variant>
      <vt:variant>
        <vt:i4>0</vt:i4>
      </vt:variant>
      <vt:variant>
        <vt:i4>5</vt:i4>
      </vt:variant>
      <vt:variant>
        <vt:lpwstr/>
      </vt:variant>
      <vt:variant>
        <vt:lpwstr>_Toc212543441</vt:lpwstr>
      </vt:variant>
      <vt:variant>
        <vt:i4>1310768</vt:i4>
      </vt:variant>
      <vt:variant>
        <vt:i4>5</vt:i4>
      </vt:variant>
      <vt:variant>
        <vt:i4>0</vt:i4>
      </vt:variant>
      <vt:variant>
        <vt:i4>5</vt:i4>
      </vt:variant>
      <vt:variant>
        <vt:lpwstr/>
      </vt:variant>
      <vt:variant>
        <vt:lpwstr>_Toc212543440</vt:lpwstr>
      </vt:variant>
      <vt:variant>
        <vt:i4>8126519</vt:i4>
      </vt:variant>
      <vt:variant>
        <vt:i4>0</vt:i4>
      </vt:variant>
      <vt:variant>
        <vt:i4>0</vt:i4>
      </vt:variant>
      <vt:variant>
        <vt:i4>5</vt:i4>
      </vt:variant>
      <vt:variant>
        <vt:lpwstr>https://www.vcat.vic.gov.au/fees/concessions-fee-relief</vt:lpwstr>
      </vt:variant>
      <vt:variant>
        <vt:lpwstr/>
      </vt:variant>
      <vt:variant>
        <vt:i4>7340084</vt:i4>
      </vt:variant>
      <vt:variant>
        <vt:i4>9</vt:i4>
      </vt:variant>
      <vt:variant>
        <vt:i4>0</vt:i4>
      </vt:variant>
      <vt:variant>
        <vt:i4>5</vt:i4>
      </vt:variant>
      <vt:variant>
        <vt:lpwstr>https://www.servicesaustralia.gov.au/how-much-age-pension-you-can-get?context=22526</vt:lpwstr>
      </vt:variant>
      <vt:variant>
        <vt:lpwstr/>
      </vt:variant>
      <vt:variant>
        <vt:i4>5177357</vt:i4>
      </vt:variant>
      <vt:variant>
        <vt:i4>6</vt:i4>
      </vt:variant>
      <vt:variant>
        <vt:i4>0</vt:i4>
      </vt:variant>
      <vt:variant>
        <vt:i4>5</vt:i4>
      </vt:variant>
      <vt:variant>
        <vt:lpwstr>https://www.vic.gov.au/victorian-guide-regulation</vt:lpwstr>
      </vt:variant>
      <vt:variant>
        <vt:lpwstr/>
      </vt:variant>
      <vt:variant>
        <vt:i4>5308496</vt:i4>
      </vt:variant>
      <vt:variant>
        <vt:i4>3</vt:i4>
      </vt:variant>
      <vt:variant>
        <vt:i4>0</vt:i4>
      </vt:variant>
      <vt:variant>
        <vt:i4>5</vt:i4>
      </vt:variant>
      <vt:variant>
        <vt:lpwstr>https://www.dva.gov.au/get-support/health-support/veteran-healthcare-cards/veteran-gold-card</vt:lpwstr>
      </vt:variant>
      <vt:variant>
        <vt:lpwstr/>
      </vt:variant>
      <vt:variant>
        <vt:i4>1572938</vt:i4>
      </vt:variant>
      <vt:variant>
        <vt:i4>0</vt:i4>
      </vt:variant>
      <vt:variant>
        <vt:i4>0</vt:i4>
      </vt:variant>
      <vt:variant>
        <vt:i4>5</vt:i4>
      </vt:variant>
      <vt:variant>
        <vt:lpwstr>https://courts.vic.gov.au/resources/caseload-data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Tom L Speirs (DJCS)</cp:lastModifiedBy>
  <cp:revision>2</cp:revision>
  <cp:lastPrinted>2017-07-11T23:32:00Z</cp:lastPrinted>
  <dcterms:created xsi:type="dcterms:W3CDTF">2025-12-09T02:31:00Z</dcterms:created>
  <dcterms:modified xsi:type="dcterms:W3CDTF">2025-12-09T02:34:00Z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0x01010072AF1AD5AF15524C920CB3BE3D72725D</vt:lpwstr>
  </property>
  <property fmtid="{D5CDD505-2E9C-101B-9397-08002B2CF9AE}" pid="4" name="_dlc_DocIdItemGuid">
    <vt:lpwstr>01cb259f-e472-4e00-bae3-9aedc8f44270</vt:lpwstr>
  </property>
  <property fmtid="{D5CDD505-2E9C-101B-9397-08002B2CF9AE}" pid="5" name="docLang">
    <vt:lpwstr>en</vt:lpwstr>
  </property>
  <property fmtid="{D5CDD505-2E9C-101B-9397-08002B2CF9AE}" pid="6" name="Language">
    <vt:lpwstr>English</vt:lpwstr>
  </property>
</Properties>
</file>