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id w:val="1131132581"/>
        <w:docPartObj>
          <w:docPartGallery w:val="Cover Pages"/>
          <w:docPartUnique/>
        </w:docPartObj>
      </w:sdtPr>
      <w:sdtEndPr>
        <w:rPr>
          <w:rStyle w:val="DefaultParagraphFont"/>
          <w:rFonts w:asciiTheme="minorHAnsi" w:eastAsia="Times New Roman" w:hAnsiTheme="minorHAnsi" w:cstheme="minorBidi"/>
          <w:b w:val="0"/>
          <w:color w:val="000000" w:themeColor="text1"/>
          <w:kern w:val="0"/>
          <w:position w:val="0"/>
          <w:sz w:val="20"/>
          <w:szCs w:val="20"/>
          <w:lang w:eastAsia="en-AU"/>
        </w:rPr>
      </w:sdtEndPr>
      <w:sdtContent>
        <w:p w14:paraId="2842A2A1" w14:textId="7B84C2D9" w:rsidR="008907BC" w:rsidRPr="00B63BD0" w:rsidRDefault="008907BC" w:rsidP="008907BC">
          <w:pPr>
            <w:framePr w:w="9072" w:h="3969" w:hRule="exact" w:hSpace="5670" w:wrap="around" w:vAnchor="page" w:hAnchor="text" w:y="852" w:anchorLock="1"/>
            <w:rPr>
              <w:rStyle w:val="TitleChar"/>
            </w:rPr>
          </w:pPr>
          <w:r w:rsidRPr="00B63BD0">
            <w:rPr>
              <w:rStyle w:val="TitleChar"/>
            </w:rPr>
            <w:t xml:space="preserve">Victorian Government </w:t>
          </w:r>
        </w:p>
        <w:p w14:paraId="1F65B921" w14:textId="77777777" w:rsidR="008907BC" w:rsidRPr="00B63BD0" w:rsidRDefault="008907BC" w:rsidP="008907BC">
          <w:pPr>
            <w:framePr w:w="9072" w:h="3969" w:hRule="exact" w:hSpace="5670" w:wrap="around" w:vAnchor="page" w:hAnchor="text" w:y="852" w:anchorLock="1"/>
            <w:rPr>
              <w:rStyle w:val="TitleChar"/>
            </w:rPr>
          </w:pPr>
          <w:r w:rsidRPr="00B63BD0">
            <w:rPr>
              <w:rStyle w:val="TitleChar"/>
            </w:rPr>
            <w:t xml:space="preserve">Advertising Report </w:t>
          </w:r>
        </w:p>
        <w:p w14:paraId="07DE86BA" w14:textId="4470E377" w:rsidR="00D7629D" w:rsidRPr="00B63BD0" w:rsidRDefault="008907BC" w:rsidP="008907BC">
          <w:pPr>
            <w:framePr w:w="9072" w:h="3969" w:hRule="exact" w:hSpace="5670" w:wrap="around" w:vAnchor="page" w:hAnchor="text" w:y="852" w:anchorLock="1"/>
            <w:rPr>
              <w:rFonts w:asciiTheme="majorHAnsi" w:hAnsiTheme="majorHAnsi"/>
            </w:rPr>
          </w:pPr>
          <w:r w:rsidRPr="00B63BD0">
            <w:rPr>
              <w:rStyle w:val="TitleChar"/>
            </w:rPr>
            <w:t>2023–24</w:t>
          </w:r>
        </w:p>
        <w:p w14:paraId="7EE33654" w14:textId="65197408" w:rsidR="00D7629D" w:rsidRPr="00B63BD0" w:rsidRDefault="00D7629D" w:rsidP="00161815">
          <w:pPr>
            <w:pStyle w:val="Date"/>
            <w:framePr w:w="9072" w:h="3969" w:hRule="exact" w:hSpace="5670" w:wrap="around" w:vAnchor="page" w:hAnchor="text" w:y="852" w:anchorLock="1"/>
            <w:suppressAutoHyphens/>
            <w:rPr>
              <w:rFonts w:cs="Times New Roman (Body CS)"/>
              <w:noProof/>
            </w:rPr>
          </w:pPr>
        </w:p>
        <w:p w14:paraId="6DA82D86" w14:textId="77777777" w:rsidR="00D7629D" w:rsidRPr="00B63BD0" w:rsidRDefault="00D7629D" w:rsidP="006B6E27">
          <w:pPr>
            <w:pStyle w:val="Coverurl"/>
            <w:framePr w:h="425" w:hRule="exact" w:wrap="around" w:x="852" w:y="15304" w:anchorLock="1"/>
            <w:rPr>
              <w:rStyle w:val="Hyperlink"/>
            </w:rPr>
          </w:pPr>
          <w:r w:rsidRPr="00B63BD0">
            <w:fldChar w:fldCharType="begin"/>
          </w:r>
          <w:r w:rsidRPr="00B63BD0">
            <w:instrText>HYPERLINK "http://vic.gov.au/dpc" \o "Visit DPC"</w:instrText>
          </w:r>
          <w:r w:rsidRPr="00B63BD0">
            <w:fldChar w:fldCharType="separate"/>
          </w:r>
          <w:r w:rsidRPr="00B63BD0">
            <w:rPr>
              <w:rStyle w:val="Hyperlink"/>
            </w:rPr>
            <w:t>dpc.vic.gov.au</w:t>
          </w:r>
        </w:p>
        <w:p w14:paraId="67E75501" w14:textId="77777777" w:rsidR="00D7629D" w:rsidRPr="00B63BD0" w:rsidRDefault="00D7629D" w:rsidP="00C06F7B">
          <w:pPr>
            <w:pStyle w:val="BodyText"/>
            <w:rPr>
              <w:rFonts w:eastAsia="Times New Roman"/>
              <w:noProof/>
              <w:lang w:eastAsia="en-AU"/>
            </w:rPr>
          </w:pPr>
          <w:r w:rsidRPr="00B63BD0">
            <w:rPr>
              <w:rFonts w:eastAsia="Times New Roman"/>
              <w:noProof/>
              <w:color w:val="201547" w:themeColor="text2"/>
              <w:lang w:eastAsia="en-AU"/>
            </w:rPr>
            <mc:AlternateContent>
              <mc:Choice Requires="wpg">
                <w:drawing>
                  <wp:anchor distT="0" distB="0" distL="114300" distR="114300" simplePos="0" relativeHeight="251658244" behindDoc="1" locked="0" layoutInCell="1" allowOverlap="1" wp14:anchorId="2382AF8C" wp14:editId="4B4E8624">
                    <wp:simplePos x="0" y="0"/>
                    <wp:positionH relativeFrom="column">
                      <wp:posOffset>-540385</wp:posOffset>
                    </wp:positionH>
                    <wp:positionV relativeFrom="paragraph">
                      <wp:posOffset>1767954</wp:posOffset>
                    </wp:positionV>
                    <wp:extent cx="7563506" cy="7007788"/>
                    <wp:effectExtent l="0" t="0" r="0" b="3175"/>
                    <wp:wrapNone/>
                    <wp:docPr id="442556722"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506" cy="7007788"/>
                              <a:chOff x="0" y="0"/>
                              <a:chExt cx="7563506" cy="7007788"/>
                            </a:xfrm>
                          </wpg:grpSpPr>
                          <wps:wsp>
                            <wps:cNvPr id="2003042539" name="Freeform: Shape 2"/>
                            <wps:cNvSpPr/>
                            <wps:spPr>
                              <a:xfrm>
                                <a:off x="0" y="854440"/>
                                <a:ext cx="7563506" cy="6153348"/>
                              </a:xfrm>
                              <a:custGeom>
                                <a:avLst/>
                                <a:gdLst>
                                  <a:gd name="connsiteX0" fmla="*/ 0 w 7563506"/>
                                  <a:gd name="connsiteY0" fmla="*/ 0 h 6153348"/>
                                  <a:gd name="connsiteX1" fmla="*/ 7563507 w 7563506"/>
                                  <a:gd name="connsiteY1" fmla="*/ 0 h 6153348"/>
                                  <a:gd name="connsiteX2" fmla="*/ 7563507 w 7563506"/>
                                  <a:gd name="connsiteY2" fmla="*/ 6153349 h 6153348"/>
                                  <a:gd name="connsiteX3" fmla="*/ 0 w 7563506"/>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7563506" h="6153348">
                                    <a:moveTo>
                                      <a:pt x="0" y="0"/>
                                    </a:moveTo>
                                    <a:lnTo>
                                      <a:pt x="7563507" y="0"/>
                                    </a:lnTo>
                                    <a:lnTo>
                                      <a:pt x="7563507" y="6153349"/>
                                    </a:lnTo>
                                    <a:lnTo>
                                      <a:pt x="0" y="6153349"/>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5275277" name="Freeform: Shape 3"/>
                            <wps:cNvSpPr/>
                            <wps:spPr>
                              <a:xfrm>
                                <a:off x="3447738" y="854440"/>
                                <a:ext cx="4112385" cy="6153348"/>
                              </a:xfrm>
                              <a:custGeom>
                                <a:avLst/>
                                <a:gdLst>
                                  <a:gd name="connsiteX0" fmla="*/ 4112386 w 4112385"/>
                                  <a:gd name="connsiteY0" fmla="*/ 0 h 6153348"/>
                                  <a:gd name="connsiteX1" fmla="*/ 2908440 w 4112385"/>
                                  <a:gd name="connsiteY1" fmla="*/ 0 h 6153348"/>
                                  <a:gd name="connsiteX2" fmla="*/ 0 w 4112385"/>
                                  <a:gd name="connsiteY2" fmla="*/ 6153349 h 6153348"/>
                                  <a:gd name="connsiteX3" fmla="*/ 4112386 w 4112385"/>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4112385" h="6153348">
                                    <a:moveTo>
                                      <a:pt x="4112386" y="0"/>
                                    </a:moveTo>
                                    <a:lnTo>
                                      <a:pt x="2908440" y="0"/>
                                    </a:lnTo>
                                    <a:lnTo>
                                      <a:pt x="0" y="6153349"/>
                                    </a:lnTo>
                                    <a:lnTo>
                                      <a:pt x="4112386" y="6153349"/>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3314422" name="Freeform: Shape 4"/>
                            <wps:cNvSpPr/>
                            <wps:spPr>
                              <a:xfrm>
                                <a:off x="6382302" y="854440"/>
                                <a:ext cx="1177238" cy="2490664"/>
                              </a:xfrm>
                              <a:custGeom>
                                <a:avLst/>
                                <a:gdLst>
                                  <a:gd name="connsiteX0" fmla="*/ 1177238 w 1177238"/>
                                  <a:gd name="connsiteY0" fmla="*/ 0 h 2490664"/>
                                  <a:gd name="connsiteX1" fmla="*/ 0 w 1177238"/>
                                  <a:gd name="connsiteY1" fmla="*/ 0 h 2490664"/>
                                  <a:gd name="connsiteX2" fmla="*/ 1177238 w 1177238"/>
                                  <a:gd name="connsiteY2" fmla="*/ 2490665 h 2490664"/>
                                </a:gdLst>
                                <a:ahLst/>
                                <a:cxnLst>
                                  <a:cxn ang="0">
                                    <a:pos x="connsiteX0" y="connsiteY0"/>
                                  </a:cxn>
                                  <a:cxn ang="0">
                                    <a:pos x="connsiteX1" y="connsiteY1"/>
                                  </a:cxn>
                                  <a:cxn ang="0">
                                    <a:pos x="connsiteX2" y="connsiteY2"/>
                                  </a:cxn>
                                </a:cxnLst>
                                <a:rect l="l" t="t" r="r" b="b"/>
                                <a:pathLst>
                                  <a:path w="1177238" h="2490664">
                                    <a:moveTo>
                                      <a:pt x="1177238" y="0"/>
                                    </a:moveTo>
                                    <a:lnTo>
                                      <a:pt x="0" y="0"/>
                                    </a:lnTo>
                                    <a:lnTo>
                                      <a:pt x="1177238" y="2490665"/>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7299470" name="Freeform: Shape 5"/>
                            <wps:cNvSpPr/>
                            <wps:spPr>
                              <a:xfrm>
                                <a:off x="5954073" y="854440"/>
                                <a:ext cx="1237210" cy="855719"/>
                              </a:xfrm>
                              <a:custGeom>
                                <a:avLst/>
                                <a:gdLst>
                                  <a:gd name="connsiteX0" fmla="*/ 1237210 w 1237210"/>
                                  <a:gd name="connsiteY0" fmla="*/ 0 h 855719"/>
                                  <a:gd name="connsiteX1" fmla="*/ 404466 w 1237210"/>
                                  <a:gd name="connsiteY1" fmla="*/ 0 h 855719"/>
                                  <a:gd name="connsiteX2" fmla="*/ 0 w 1237210"/>
                                  <a:gd name="connsiteY2" fmla="*/ 855720 h 855719"/>
                                  <a:gd name="connsiteX3" fmla="*/ 832744 w 1237210"/>
                                  <a:gd name="connsiteY3" fmla="*/ 855720 h 855719"/>
                                </a:gdLst>
                                <a:ahLst/>
                                <a:cxnLst>
                                  <a:cxn ang="0">
                                    <a:pos x="connsiteX0" y="connsiteY0"/>
                                  </a:cxn>
                                  <a:cxn ang="0">
                                    <a:pos x="connsiteX1" y="connsiteY1"/>
                                  </a:cxn>
                                  <a:cxn ang="0">
                                    <a:pos x="connsiteX2" y="connsiteY2"/>
                                  </a:cxn>
                                  <a:cxn ang="0">
                                    <a:pos x="connsiteX3" y="connsiteY3"/>
                                  </a:cxn>
                                </a:cxnLst>
                                <a:rect l="l" t="t" r="r" b="b"/>
                                <a:pathLst>
                                  <a:path w="1237210" h="855719">
                                    <a:moveTo>
                                      <a:pt x="1237210" y="0"/>
                                    </a:moveTo>
                                    <a:lnTo>
                                      <a:pt x="404466" y="0"/>
                                    </a:lnTo>
                                    <a:lnTo>
                                      <a:pt x="0" y="855720"/>
                                    </a:lnTo>
                                    <a:lnTo>
                                      <a:pt x="832744" y="85572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0660877" name="Freeform: Shape 6"/>
                            <wps:cNvSpPr/>
                            <wps:spPr>
                              <a:xfrm>
                                <a:off x="4736892" y="0"/>
                                <a:ext cx="1235901" cy="854817"/>
                              </a:xfrm>
                              <a:custGeom>
                                <a:avLst/>
                                <a:gdLst>
                                  <a:gd name="connsiteX0" fmla="*/ 1235901 w 1235901"/>
                                  <a:gd name="connsiteY0" fmla="*/ 0 h 854817"/>
                                  <a:gd name="connsiteX1" fmla="*/ 404035 w 1235901"/>
                                  <a:gd name="connsiteY1" fmla="*/ 0 h 854817"/>
                                  <a:gd name="connsiteX2" fmla="*/ 0 w 1235901"/>
                                  <a:gd name="connsiteY2" fmla="*/ 854818 h 854817"/>
                                  <a:gd name="connsiteX3" fmla="*/ 831854 w 1235901"/>
                                  <a:gd name="connsiteY3" fmla="*/ 854818 h 854817"/>
                                </a:gdLst>
                                <a:ahLst/>
                                <a:cxnLst>
                                  <a:cxn ang="0">
                                    <a:pos x="connsiteX0" y="connsiteY0"/>
                                  </a:cxn>
                                  <a:cxn ang="0">
                                    <a:pos x="connsiteX1" y="connsiteY1"/>
                                  </a:cxn>
                                  <a:cxn ang="0">
                                    <a:pos x="connsiteX2" y="connsiteY2"/>
                                  </a:cxn>
                                  <a:cxn ang="0">
                                    <a:pos x="connsiteX3" y="connsiteY3"/>
                                  </a:cxn>
                                </a:cxnLst>
                                <a:rect l="l" t="t" r="r" b="b"/>
                                <a:pathLst>
                                  <a:path w="1235901" h="854817">
                                    <a:moveTo>
                                      <a:pt x="1235901" y="0"/>
                                    </a:moveTo>
                                    <a:lnTo>
                                      <a:pt x="404035" y="0"/>
                                    </a:lnTo>
                                    <a:lnTo>
                                      <a:pt x="0" y="854818"/>
                                    </a:lnTo>
                                    <a:lnTo>
                                      <a:pt x="831854" y="854818"/>
                                    </a:lnTo>
                                    <a:close/>
                                  </a:path>
                                </a:pathLst>
                              </a:custGeom>
                              <a:solidFill>
                                <a:srgbClr val="00A7E0"/>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9408895" name="Freeform: Shape 7"/>
                            <wps:cNvSpPr/>
                            <wps:spPr>
                              <a:xfrm>
                                <a:off x="5141626" y="0"/>
                                <a:ext cx="1644560" cy="1710652"/>
                              </a:xfrm>
                              <a:custGeom>
                                <a:avLst/>
                                <a:gdLst>
                                  <a:gd name="connsiteX0" fmla="*/ 0 w 1644560"/>
                                  <a:gd name="connsiteY0" fmla="*/ 0 h 1710652"/>
                                  <a:gd name="connsiteX1" fmla="*/ 835996 w 1644560"/>
                                  <a:gd name="connsiteY1" fmla="*/ 0 h 1710652"/>
                                  <a:gd name="connsiteX2" fmla="*/ 1644561 w 1644560"/>
                                  <a:gd name="connsiteY2" fmla="*/ 1710652 h 1710652"/>
                                  <a:gd name="connsiteX3" fmla="*/ 808551 w 1644560"/>
                                  <a:gd name="connsiteY3" fmla="*/ 1710652 h 1710652"/>
                                </a:gdLst>
                                <a:ahLst/>
                                <a:cxnLst>
                                  <a:cxn ang="0">
                                    <a:pos x="connsiteX0" y="connsiteY0"/>
                                  </a:cxn>
                                  <a:cxn ang="0">
                                    <a:pos x="connsiteX1" y="connsiteY1"/>
                                  </a:cxn>
                                  <a:cxn ang="0">
                                    <a:pos x="connsiteX2" y="connsiteY2"/>
                                  </a:cxn>
                                  <a:cxn ang="0">
                                    <a:pos x="connsiteX3" y="connsiteY3"/>
                                  </a:cxn>
                                </a:cxnLst>
                                <a:rect l="l" t="t" r="r" b="b"/>
                                <a:pathLst>
                                  <a:path w="1644560" h="1710652">
                                    <a:moveTo>
                                      <a:pt x="0" y="0"/>
                                    </a:moveTo>
                                    <a:lnTo>
                                      <a:pt x="835996" y="0"/>
                                    </a:lnTo>
                                    <a:lnTo>
                                      <a:pt x="1644561" y="1710652"/>
                                    </a:lnTo>
                                    <a:lnTo>
                                      <a:pt x="808551" y="1710652"/>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xmlns:c="http://schemas.openxmlformats.org/drawingml/2006/chart" xmlns:a14="http://schemas.microsoft.com/office/drawing/2010/main" xmlns:asvg="http://schemas.microsoft.com/office/drawing/2016/SVG/main" xmlns:pic="http://schemas.openxmlformats.org/drawingml/2006/picture" xmlns:adec="http://schemas.microsoft.com/office/drawing/2017/decorative" xmlns:a="http://schemas.openxmlformats.org/drawingml/2006/main">
                <w:pict w14:anchorId="0A1220B5">
                  <v:group id="Group 8" style="position:absolute;margin-left:-42.55pt;margin-top:139.2pt;width:595.55pt;height:551.8pt;z-index:-251650048" alt="&quot;&quot;" coordsize="75635,70077" o:spid="_x0000_s1026" w14:anchorId="3EB0B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aUwQYAAAoqAAAOAAAAZHJzL2Uyb0RvYy54bWzsmltv2zYUx98H7DsQehywWveLUacI2qYY&#10;UHQF2qHtIyPLF0AWNYqJ0336/UmKNuWb1MQBhs5AYEnR4Tnk4eH58Uh6+ephVZL7gjdLVk0c74Xr&#10;kKLK2XRZzSfOX59vfk8d0ghaTWnJqmLifC8a59XVr7+8XNfjwmcLVk4LTqCkasbreuIshKjHo1GT&#10;L4oVbV6wuqhwc8b4igpc8vloyuka2lflyHfdeLRmfFpzlhdNg/++0TedK6V/Nity8eds1hSClBMH&#10;fRPql6vfW/k7unpJx3NO68Uyb7tBH9GLFV1WMLpR9YYKSu74ck/Vaplz1rCZeJGz1YjNZsu8UGPA&#10;aDx3ZzTvOLur1Vjm4/W83rgJrt3x06PV5h/u3/H6U/2RwxPreg5fqCs5locZX8kjekkelMu+b1xW&#10;PAiS459JFAeRGzskx73EdZMkTbVT8wU8v9cuX7ztaTkyhked7qxrBEiz9UHzNB98WtC6UK5txvDB&#10;R06W04mDiArc0I+CzCEVXSFeb3hRyOgbE9WC+HJwsi9otPFaM27gwKMuS6MwDNtQO+i32IuCIFR+&#10;24yejvO7RrwrmJoCev++ETpWpzhTkTZtu5izqmqWoviK+J6tSoTvbyPikjUxc9O22xH/1hVfEKsX&#10;iOM97Z6lXWtO+m3YjVzSa8N/jA27kR5D1m8psCwN8JUtftAG5m1uZoYuzGTlD1U7WzgjVOZEV6WJ&#10;mjVyadhTh/VjLjE1mDOoRCs51T2N4WS7sfdDjeE9u7GK78GW4Ra7cWBb1kra4XMkYpmCS5WChUOQ&#10;grlDkIJvZRs6rqmQXjOnZG2llsXEMbEp76/YffGZKUmxk19gc3u3rGypNmRVh417jYQ51kqfLdnO&#10;dTsuI2eOWh7rCE44LJmXrCn0XMoRqkndDFV6yFrjDSuX05tlWcqhKQAWr0tO7in8RvO8qISZ2Y5k&#10;WUlneX6cRcjCFAydlVSoKKuYVKf9yxvxhjYLrU4p0I5fIXNw3cMSwYaka7KZPLtl0+/IjZxpcDZ1&#10;frOEpve0ER8pR6rB4EF/3F0w/o9D1iDpxGn+vqO8cEj5R4U0nXky+xGhLsIo8XHB7Tu39p3qbvWa&#10;YcQIalhTp1JelOZ0xtnqC6B/La3iFq1y2MbiEQgoffFa4Bq3kLjz4vpanQO3cPz76lOdS+UqfDCS&#10;zw9fKK9JjdOJI5CdPzCDBjo2WRcTJQW0rGxZses7wWZLmZKVx7Sf2gtgSjPi2XnlJWHkJ/hLjvFK&#10;LcnBvArCMEkCbNkQ0IeoFXqeH6QyzjYRf1Zqaf0xuGIsqeDdg9FT2OVnboqA7LfxBHYN0P5kag32&#10;1YVdB5H7rOwy4Ut62NVOYodKxwjWBm5H1pDIHPuJ1JW07T8vwW7nZmuh4GM4d6HX/5heWRIE2Bz4&#10;yIWHq61Q7lEG0ysOUj9woewIvTwvSYAvTS8/zNw4VgaAd1Pq2vsxQ39rZ78Hok7N1eoHWYylgfSy&#10;+tJXeUmy9Gjf5VaPdhtEg0dgN9L6I9RcliX49Oerh+SGfVPRPaakMTMnsWCcJfeT25SvE/hGDpFs&#10;ipWtTDeFY59rSZl75rivr52unZLmUqhcChX9DPZZHqyhbEj8LAsTROvhVB/9UKqPsih0E72FO1So&#10;KHsejMlCJY2ixMvagD9PppfD8VQu1mdS+YHUvVenbLtyQPqrnblDNwxjWQmZoRyxYLeRT9hOW7Dz&#10;9oDu2+JSsd9vwa420sBPwrB/DJ02+2Z+Spb0PtV71vrEBJUEURsxBznURrdNmGMc0gE7AEYaWDqc&#10;dijUpZYOn3Y7p54bYQ0gGIzUuZglHi6lCSbl8mBt+yIoxTut2E2PP1eLfwhXYRLEaYZsanZqdGxe&#10;BGElRpmLLK5JFaZecmZSSfU6BytDRzgiA2D78khyxHRlAKncIOq3sE+qUxZs9LSkOtV9W1x1PVUs&#10;PGWhQ53AQ6v+MXTaSA91zVxIJYpv530LtFkfilRqPo+QSi8js8IwFSdIhYDdLkYLKQYt9nM0HU49&#10;pJLh05JKRsWO9ONJxee3m5dArnudvDXl4OUp2uUdkPpmIfSy0E1T+fbvcGWleDL4IVrkhV7s44MO&#10;s5AsVMVhGMVtUeUlnhtHZuN0lqpKpfnWxkBKWb3ow1QKzmaqoDptYhdTPSZs8HhKs4LtaRudRtqR&#10;wFWPpQ57XOyfBxiy27Tqu4YuxDo/sdq5l7WVmdJDyNJ1kMnnx2Clw3a7HI/Cqg0+JWnMduulLtxS&#10;FUInxB8PLfnx3u63CyZTXLj13+eW+vIOHxyqarv9OFJ+0Whfq28dtp9wXv0LAAD//wMAUEsDBBQA&#10;BgAIAAAAIQDXJuDh4wAAAA0BAAAPAAAAZHJzL2Rvd25yZXYueG1sTI/BasMwDIbvg72D0WC31na6&#10;diGLU0rZdiqDtYOxmxurSWgsh9hN0refe9puEvr49f35erItG7D3jSMFci6AIZXONFQp+Dq8zVJg&#10;PmgyunWECq7oYV3c3+U6M26kTxz2oWIxhHymFdQhdBnnvqzRaj93HVK8nVxvdYhrX3HT6zGG25Yn&#10;Qqy41Q3FD7XucFtjed5frIL3UY+bhXwddufT9vpzWH587yQq9fgwbV6ABZzCHww3/agORXQ6ugsZ&#10;z1oFs3QpI6ogeU6fgN0IKVax3jFOizQRwIuc/29R/AIAAP//AwBQSwECLQAUAAYACAAAACEAtoM4&#10;kv4AAADhAQAAEwAAAAAAAAAAAAAAAAAAAAAAW0NvbnRlbnRfVHlwZXNdLnhtbFBLAQItABQABgAI&#10;AAAAIQA4/SH/1gAAAJQBAAALAAAAAAAAAAAAAAAAAC8BAABfcmVscy8ucmVsc1BLAQItABQABgAI&#10;AAAAIQA0kNaUwQYAAAoqAAAOAAAAAAAAAAAAAAAAAC4CAABkcnMvZTJvRG9jLnhtbFBLAQItABQA&#10;BgAIAAAAIQDXJuDh4wAAAA0BAAAPAAAAAAAAAAAAAAAAABsJAABkcnMvZG93bnJldi54bWxQSwUG&#10;AAAAAAQABADzAAAAKwoAAAAA&#10;">
                    <v:shape id="Freeform: Shape 2" style="position:absolute;top:8544;width:75635;height:61533;visibility:visible;mso-wrap-style:square;v-text-anchor:middle" coordsize="7563506,6153348" o:spid="_x0000_s1027" fillcolor="#0072ce [3204]" stroked="f" strokeweight=".35264mm" path="m,l7563507,r,6153349l,6153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vgygAAAOMAAAAPAAAAZHJzL2Rvd25yZXYueG1sRI/dagIx&#10;FITvC32HcAre1Wy1iq5GKVKLCkXqz/1hc7oJbk6WTdT17Y1Q6OUwM98w03nrKnGhJljPCt66GQji&#10;wmvLpYLDfvk6AhEissbKMym4UYD57Plpirn2V/6hyy6WIkE45KjAxFjnUobCkMPQ9TVx8n594zAm&#10;2ZRSN3hNcFfJXpYNpUPLacFgTQtDxWl3dgrWm9v4e2i/1m5jt6OzOS4+T1urVOel/ZiAiNTG//Bf&#10;e6UVJGI/e+8N+mN4fEp/QM7uAAAA//8DAFBLAQItABQABgAIAAAAIQDb4fbL7gAAAIUBAAATAAAA&#10;AAAAAAAAAAAAAAAAAABbQ29udGVudF9UeXBlc10ueG1sUEsBAi0AFAAGAAgAAAAhAFr0LFu/AAAA&#10;FQEAAAsAAAAAAAAAAAAAAAAAHwEAAF9yZWxzLy5yZWxzUEsBAi0AFAAGAAgAAAAhAINtW+DKAAAA&#10;4wAAAA8AAAAAAAAAAAAAAAAABwIAAGRycy9kb3ducmV2LnhtbFBLBQYAAAAAAwADALcAAAD+AgAA&#10;AAA=&#10;">
                      <v:stroke joinstyle="miter"/>
                      <v:path arrowok="t" o:connecttype="custom" o:connectlocs="0,0;7563507,0;7563507,6153349;0,6153349" o:connectangles="0,0,0,0"/>
                    </v:shape>
                    <v:shape id="Freeform: Shape 3" style="position:absolute;left:34477;top:8544;width:41124;height:61533;visibility:visible;mso-wrap-style:square;v-text-anchor:middle" coordsize="4112385,6153348" o:spid="_x0000_s1028" fillcolor="#ccf0ee [3214]" stroked="f" strokeweight=".35264mm" path="m4112386,l2908440,,,6153349r4112386,l4112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5fxwAAAOMAAAAPAAAAZHJzL2Rvd25yZXYueG1sRE9Nq8Iw&#10;ELw/8D+EFbw9Uz+elWoUEUQPXp4f97VZ22qzKU3U+u+NIAhz2Z2dmZ3pvDGluFPtCssKet0IBHFq&#10;dcGZgsN+9TsG4TyyxtIyKXiSg/ms9TPFRNsH/9N95zMRTNglqCD3vkqkdGlOBl3XVsSBO9vaoA9j&#10;nUld4yOYm1L2o2gkDRYcEnKsaJlTet3djIKbjI+X8Wlr8ZDafXYauF653irVaTeLCQhPjf8ef9Qb&#10;Hd6Ph3/9OCCGd6ewADl7AQAA//8DAFBLAQItABQABgAIAAAAIQDb4fbL7gAAAIUBAAATAAAAAAAA&#10;AAAAAAAAAAAAAABbQ29udGVudF9UeXBlc10ueG1sUEsBAi0AFAAGAAgAAAAhAFr0LFu/AAAAFQEA&#10;AAsAAAAAAAAAAAAAAAAAHwEAAF9yZWxzLy5yZWxzUEsBAi0AFAAGAAgAAAAhADvbPl/HAAAA4wAA&#10;AA8AAAAAAAAAAAAAAAAABwIAAGRycy9kb3ducmV2LnhtbFBLBQYAAAAAAwADALcAAAD7AgAAAAA=&#10;">
                      <v:stroke joinstyle="miter"/>
                      <v:path arrowok="t" o:connecttype="custom" o:connectlocs="4112386,0;2908440,0;0,6153349;4112386,6153349" o:connectangles="0,0,0,0"/>
                    </v:shape>
                    <v:shape id="Freeform: Shape 4" style="position:absolute;left:63823;top:8544;width:11772;height:24907;visibility:visible;mso-wrap-style:square;v-text-anchor:middle" coordsize="1177238,2490664" o:spid="_x0000_s1029" fillcolor="#0072ce [3204]" stroked="f" strokeweight=".35264mm" path="m1177238,l,,1177238,2490665,1177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0PsxwAAAOMAAAAPAAAAZHJzL2Rvd25yZXYueG1sRE9fa8Iw&#10;EH8f7DuEG+xNE2vdtBplDISBL+oGvh7N2VabS0ky2317Mxjs8X7/b7UZbCtu5EPjWMNkrEAQl840&#10;XGn4+tyO5iBCRDbYOiYNPxRgs358WGFhXM8Huh1jJVIIhwI11DF2hZShrMliGLuOOHFn5y3GdPpK&#10;Go99CretzJR6kRYbTg01dvReU3k9flsNYXHe+8u839lZRWq2PeX9oJzWz0/D2xJEpCH+i//cHybN&#10;X7xOp5M8zzL4/SkBINd3AAAA//8DAFBLAQItABQABgAIAAAAIQDb4fbL7gAAAIUBAAATAAAAAAAA&#10;AAAAAAAAAAAAAABbQ29udGVudF9UeXBlc10ueG1sUEsBAi0AFAAGAAgAAAAhAFr0LFu/AAAAFQEA&#10;AAsAAAAAAAAAAAAAAAAAHwEAAF9yZWxzLy5yZWxzUEsBAi0AFAAGAAgAAAAhAFrzQ+zHAAAA4wAA&#10;AA8AAAAAAAAAAAAAAAAABwIAAGRycy9kb3ducmV2LnhtbFBLBQYAAAAAAwADALcAAAD7AgAAAAA=&#10;">
                      <v:stroke joinstyle="miter"/>
                      <v:path arrowok="t" o:connecttype="custom" o:connectlocs="1177238,0;0,0;1177238,2490665" o:connectangles="0,0,0"/>
                    </v:shape>
                    <v:shape id="Freeform: Shape 5" style="position:absolute;left:59540;top:8544;width:12372;height:8557;visibility:visible;mso-wrap-style:square;v-text-anchor:middle" coordsize="1237210,855719" o:spid="_x0000_s1030" fillcolor="#201547 [3215]" stroked="f" strokeweight=".35264mm" path="m1237210,l404466,,,855720r832744,l1237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gezQAAAOMAAAAPAAAAZHJzL2Rvd25yZXYueG1sRI9BS8NA&#10;EIXvhf6HZQRv7aaJWBO7LVIq1IOgURBvY3ZMQrOzIbs20V/vHASPM/PmvfdtdpPr1JmG0Ho2sFom&#10;oIgrb1uuDby+3C9uQIWIbLHzTAa+KcBuO59tsLB+5Gc6l7FWYsKhQANNjH2hdagachiWvieW26cf&#10;HEYZh1rbAUcxd51Ok+RaO2xZEhrsad9QdSq/nIHHunyrVtn483TQ2bF/2Mf3j0NuzOXFdHcLKtIU&#10;/8V/30cr9dNsneb51VoohEkWoLe/AAAA//8DAFBLAQItABQABgAIAAAAIQDb4fbL7gAAAIUBAAAT&#10;AAAAAAAAAAAAAAAAAAAAAABbQ29udGVudF9UeXBlc10ueG1sUEsBAi0AFAAGAAgAAAAhAFr0LFu/&#10;AAAAFQEAAAsAAAAAAAAAAAAAAAAAHwEAAF9yZWxzLy5yZWxzUEsBAi0AFAAGAAgAAAAhAPFgWB7N&#10;AAAA4wAAAA8AAAAAAAAAAAAAAAAABwIAAGRycy9kb3ducmV2LnhtbFBLBQYAAAAAAwADALcAAAAB&#10;AwAAAAA=&#10;">
                      <v:stroke joinstyle="miter"/>
                      <v:path arrowok="t" o:connecttype="custom" o:connectlocs="1237210,0;404466,0;0,855720;832744,855720" o:connectangles="0,0,0,0"/>
                    </v:shape>
                    <v:shape id="Freeform: Shape 6" style="position:absolute;left:47368;width:12359;height:8548;visibility:visible;mso-wrap-style:square;v-text-anchor:middle" coordsize="1235901,854817" o:spid="_x0000_s1031" fillcolor="#00a7e0" stroked="f" strokeweight=".35264mm" path="m1235901,l404035,,,854818r831854,l12359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SU6zAAAAOIAAAAPAAAAZHJzL2Rvd25yZXYueG1sRI9BSwMx&#10;FITvgv8hPMGbTVrpdlmbFikKxUtpK4i35+Z1s7p5WTax3fXXN0Khx2FmvmHmy9414khdqD1rGI8U&#10;COLSm5orDe/714ccRIjIBhvPpGGgAMvF7c0cC+NPvKXjLlYiQTgUqMHG2BZShtKSwzDyLXHyDr5z&#10;GJPsKmk6PCW4a+REqUw6rDktWGxpZan82f06DS9jPHx8bf7e1uFz+jj5HoaNLVda39/1z08gIvXx&#10;Gr6010ZDPlVZpvLZDP4vpTsgF2cAAAD//wMAUEsBAi0AFAAGAAgAAAAhANvh9svuAAAAhQEAABMA&#10;AAAAAAAAAAAAAAAAAAAAAFtDb250ZW50X1R5cGVzXS54bWxQSwECLQAUAAYACAAAACEAWvQsW78A&#10;AAAVAQAACwAAAAAAAAAAAAAAAAAfAQAAX3JlbHMvLnJlbHNQSwECLQAUAAYACAAAACEAtOElOswA&#10;AADiAAAADwAAAAAAAAAAAAAAAAAHAgAAZHJzL2Rvd25yZXYueG1sUEsFBgAAAAADAAMAtwAAAAAD&#10;AAAAAA==&#10;">
                      <v:stroke joinstyle="miter"/>
                      <v:path arrowok="t" o:connecttype="custom" o:connectlocs="1235901,0;404035,0;0,854818;831854,854818" o:connectangles="0,0,0,0"/>
                    </v:shape>
                    <v:shape id="Freeform: Shape 7" style="position:absolute;left:51416;width:16445;height:17106;visibility:visible;mso-wrap-style:square;v-text-anchor:middle" coordsize="1644560,1710652" o:spid="_x0000_s1032" fillcolor="#87189d [3205]" stroked="f" strokeweight=".35264mm" path="m,l835996,r808565,1710652l808551,1710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T5ygAAAOIAAAAPAAAAZHJzL2Rvd25yZXYueG1sRI/NSsNA&#10;FIX3gu8wXMGN2EkkLUnstLSCpQu7aOoDXDLXJDpzJ2TGNL59p1BweTg/H2e5nqwRIw2+c6wgnSUg&#10;iGunO24UfJ7en3MQPiBrNI5JwR95WK/u75ZYanfmI41VaEQcYV+igjaEvpTS1y1Z9DPXE0fvyw0W&#10;Q5RDI/WA5zhujXxJkoW02HEktNjTW0v1T/VrI3duDKXjfldk3/S02ObFofrQSj0+TJtXEIGm8B++&#10;tfdaQZYWWZLnxRyul+IdkKsLAAAA//8DAFBLAQItABQABgAIAAAAIQDb4fbL7gAAAIUBAAATAAAA&#10;AAAAAAAAAAAAAAAAAABbQ29udGVudF9UeXBlc10ueG1sUEsBAi0AFAAGAAgAAAAhAFr0LFu/AAAA&#10;FQEAAAsAAAAAAAAAAAAAAAAAHwEAAF9yZWxzLy5yZWxzUEsBAi0AFAAGAAgAAAAhAFNKpPnKAAAA&#10;4gAAAA8AAAAAAAAAAAAAAAAABwIAAGRycy9kb3ducmV2LnhtbFBLBQYAAAAAAwADALcAAAD+AgAA&#10;AAA=&#10;">
                      <v:stroke joinstyle="miter"/>
                      <v:path arrowok="t" o:connecttype="custom" o:connectlocs="0,0;835996,0;1644561,1710652;808551,1710652" o:connectangles="0,0,0,0"/>
                    </v:shape>
                  </v:group>
                </w:pict>
              </mc:Fallback>
            </mc:AlternateContent>
          </w:r>
          <w:r w:rsidRPr="00B63BD0">
            <w:rPr>
              <w:rFonts w:eastAsia="Times New Roman"/>
              <w:color w:val="201547" w:themeColor="text2"/>
              <w:lang w:eastAsia="en-AU"/>
            </w:rPr>
            <w:fldChar w:fldCharType="end"/>
          </w:r>
          <w:r w:rsidRPr="00B63BD0">
            <w:rPr>
              <w:noProof/>
            </w:rPr>
            <w:drawing>
              <wp:anchor distT="0" distB="0" distL="114300" distR="114300" simplePos="0" relativeHeight="251658243" behindDoc="1" locked="0" layoutInCell="1" allowOverlap="1" wp14:anchorId="694AD49D" wp14:editId="1E7CFD2E">
                <wp:simplePos x="0" y="0"/>
                <wp:positionH relativeFrom="page">
                  <wp:posOffset>5400675</wp:posOffset>
                </wp:positionH>
                <wp:positionV relativeFrom="page">
                  <wp:posOffset>9603740</wp:posOffset>
                </wp:positionV>
                <wp:extent cx="1818000" cy="540000"/>
                <wp:effectExtent l="0" t="0" r="0" b="6350"/>
                <wp:wrapNone/>
                <wp:docPr id="111234412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344120" name="Graphic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1818000" cy="540000"/>
                        </a:xfrm>
                        <a:prstGeom prst="rect">
                          <a:avLst/>
                        </a:prstGeom>
                      </pic:spPr>
                    </pic:pic>
                  </a:graphicData>
                </a:graphic>
                <wp14:sizeRelH relativeFrom="margin">
                  <wp14:pctWidth>0</wp14:pctWidth>
                </wp14:sizeRelH>
                <wp14:sizeRelV relativeFrom="margin">
                  <wp14:pctHeight>0</wp14:pctHeight>
                </wp14:sizeRelV>
              </wp:anchor>
            </w:drawing>
          </w:r>
        </w:p>
      </w:sdtContent>
    </w:sdt>
    <w:p w14:paraId="30B4F3C9" w14:textId="77777777" w:rsidR="00321B51" w:rsidRPr="00B63BD0" w:rsidRDefault="00474DC3" w:rsidP="008614D5">
      <w:pPr>
        <w:pStyle w:val="Heading1"/>
        <w:rPr>
          <w:rStyle w:val="Strong"/>
          <w:rFonts w:ascii="Calibri" w:eastAsia="Calibri" w:hAnsi="Calibri" w:cs="Calibri"/>
          <w:b/>
          <w:bCs w:val="0"/>
          <w:color w:val="000000" w:themeColor="text1"/>
        </w:rPr>
      </w:pPr>
      <w:r w:rsidRPr="00B63BD0">
        <w:br w:type="page"/>
      </w:r>
      <w:bookmarkStart w:id="0" w:name="_Toc186973671"/>
      <w:r w:rsidR="00321B51" w:rsidRPr="00B63BD0">
        <w:lastRenderedPageBreak/>
        <w:t>Acknowledgement of Country</w:t>
      </w:r>
      <w:bookmarkEnd w:id="0"/>
    </w:p>
    <w:p w14:paraId="28F9397E" w14:textId="77777777" w:rsidR="00321B51" w:rsidRPr="00B63BD0" w:rsidRDefault="00321B51" w:rsidP="00321B51">
      <w:pPr>
        <w:pStyle w:val="BodyText"/>
        <w:rPr>
          <w:rStyle w:val="Strong"/>
        </w:rPr>
      </w:pPr>
      <w:r w:rsidRPr="00B63BD0">
        <w:rPr>
          <w:rStyle w:val="Strong"/>
        </w:rPr>
        <w:t>The Victorian Government acknowledges Aboriginal and Torres Strait Islander people as the Traditional Custodians of Country.</w:t>
      </w:r>
    </w:p>
    <w:p w14:paraId="7C1F5795" w14:textId="77777777" w:rsidR="001A0AAF" w:rsidRPr="00B63BD0" w:rsidRDefault="006E1939" w:rsidP="00367533">
      <w:pPr>
        <w:pStyle w:val="BodyText"/>
        <w:rPr>
          <w:rStyle w:val="Strong"/>
          <w:rFonts w:asciiTheme="minorHAnsi" w:hAnsiTheme="minorHAnsi"/>
          <w:b/>
          <w:bCs w:val="0"/>
          <w:color w:val="000000" w:themeColor="text1"/>
        </w:rPr>
      </w:pPr>
      <w:r w:rsidRPr="00B63BD0">
        <w:t xml:space="preserve">We respectfully acknowledge all First Peoples of Victoria and celebrate their enduring connection to land, skies and waters. We thank First People for their care of Country and contributions to Victorian communities. We honour and pay our respects to First Peoples’ Elders past and present. </w:t>
      </w:r>
    </w:p>
    <w:p w14:paraId="596FF3E7" w14:textId="6A39F866" w:rsidR="0022397C" w:rsidRPr="00B63BD0" w:rsidRDefault="0022397C" w:rsidP="00C27EB8">
      <w:pPr>
        <w:pStyle w:val="BodyText"/>
        <w:framePr w:wrap="around" w:hAnchor="margin" w:yAlign="bottom"/>
        <w:pBdr>
          <w:top w:val="single" w:sz="4" w:space="5" w:color="auto"/>
        </w:pBdr>
        <w:suppressOverlap/>
      </w:pPr>
      <w:r w:rsidRPr="00B63BD0">
        <w:t xml:space="preserve">© State of Victoria (Department of Premier and Cabinet) </w:t>
      </w:r>
      <w:r w:rsidR="00DE6D5F" w:rsidRPr="00B63BD0">
        <w:t>March 2026</w:t>
      </w:r>
    </w:p>
    <w:p w14:paraId="36ECB9AA" w14:textId="7F44E1AE" w:rsidR="0022397C" w:rsidRPr="00B63BD0" w:rsidRDefault="0022397C" w:rsidP="00D547F4">
      <w:pPr>
        <w:pStyle w:val="BodyText"/>
        <w:framePr w:wrap="around" w:hAnchor="margin" w:yAlign="bottom"/>
        <w:suppressOverlap/>
        <w:rPr>
          <w:rStyle w:val="BodyTextChar"/>
          <w:color w:val="C00000"/>
        </w:rPr>
      </w:pPr>
    </w:p>
    <w:p w14:paraId="329B72F2" w14:textId="77777777" w:rsidR="0022397C" w:rsidRPr="00B63BD0" w:rsidRDefault="0022397C" w:rsidP="00D547F4">
      <w:pPr>
        <w:pStyle w:val="BodyText"/>
        <w:framePr w:wrap="around" w:hAnchor="margin" w:yAlign="bottom"/>
        <w:suppressOverlap/>
        <w:rPr>
          <w:rStyle w:val="Strong"/>
        </w:rPr>
      </w:pPr>
      <w:r w:rsidRPr="00B63BD0">
        <w:rPr>
          <w:rStyle w:val="Strong"/>
        </w:rPr>
        <w:t>Creative Commons</w:t>
      </w:r>
    </w:p>
    <w:p w14:paraId="10956CA2" w14:textId="77777777" w:rsidR="0022397C" w:rsidRPr="00B63BD0" w:rsidRDefault="0022397C" w:rsidP="00D547F4">
      <w:pPr>
        <w:pStyle w:val="BodyText"/>
        <w:framePr w:wrap="around" w:hAnchor="margin" w:yAlign="bottom"/>
        <w:suppressOverlap/>
        <w:rPr>
          <w:rFonts w:ascii="VIC" w:hAnsi="VIC"/>
        </w:rPr>
      </w:pPr>
      <w:r w:rsidRPr="00B63BD0">
        <w:t>This work is licensed under a Creative Commons Attribution 4.0 licence, visit the Creative Commons website (</w:t>
      </w:r>
      <w:hyperlink r:id="rId14" w:history="1">
        <w:r w:rsidRPr="00B63BD0">
          <w:rPr>
            <w:rStyle w:val="Hyperlink"/>
            <w:color w:val="auto"/>
          </w:rPr>
          <w:t>http://creativecommons.org/licenses/by/4.0</w:t>
        </w:r>
      </w:hyperlink>
      <w:r w:rsidRPr="00B63BD0">
        <w:t>). You are free to re-use the work under that licence, on the condition that you credit the State of Victoria (Department of Premier and Cabinet) as author, indicate if changes were made and comply with the other licence terms. The licence does not apply to any third-party images, photographs or branding, including Victorian Government and Department logos.</w:t>
      </w:r>
    </w:p>
    <w:p w14:paraId="4F75379A" w14:textId="7E34EF90" w:rsidR="0022397C" w:rsidRPr="00B63BD0" w:rsidRDefault="008907BC" w:rsidP="00D547F4">
      <w:pPr>
        <w:pStyle w:val="BodyText"/>
        <w:framePr w:wrap="around" w:hAnchor="margin" w:yAlign="bottom"/>
        <w:suppressOverlap/>
      </w:pPr>
      <w:r w:rsidRPr="00B63BD0">
        <w:t xml:space="preserve">ISSN 2208-9349 </w:t>
      </w:r>
    </w:p>
    <w:p w14:paraId="10A7622F" w14:textId="77777777" w:rsidR="0022397C" w:rsidRPr="00B63BD0" w:rsidRDefault="0022397C" w:rsidP="00D547F4">
      <w:pPr>
        <w:pStyle w:val="BodyText"/>
        <w:framePr w:wrap="around" w:hAnchor="margin" w:yAlign="bottom"/>
        <w:suppressOverlap/>
        <w:rPr>
          <w:rStyle w:val="Strong"/>
        </w:rPr>
      </w:pPr>
      <w:r w:rsidRPr="00B63BD0">
        <w:rPr>
          <w:rStyle w:val="Strong"/>
        </w:rPr>
        <w:t>Disclaimer</w:t>
      </w:r>
    </w:p>
    <w:p w14:paraId="006E5927" w14:textId="77777777" w:rsidR="0022397C" w:rsidRPr="00B63BD0" w:rsidRDefault="0022397C" w:rsidP="00D547F4">
      <w:pPr>
        <w:pStyle w:val="BodyText"/>
        <w:framePr w:wrap="around" w:hAnchor="margin" w:yAlign="bottom"/>
        <w:suppressOverlap/>
        <w:rPr>
          <w:rFonts w:ascii="VIC" w:hAnsi="VIC"/>
        </w:rPr>
      </w:pPr>
      <w:bookmarkStart w:id="1" w:name="_Hlk175136807"/>
      <w:r w:rsidRPr="00B63BD0">
        <w:t>The State of Victoria does not guarantee that this publication is without flaw or is wholly appropriate for your purposes. We disclaim all liability for any error, loss or other consequence that may arise from your relying on any information in this publication.</w:t>
      </w:r>
    </w:p>
    <w:bookmarkEnd w:id="1"/>
    <w:p w14:paraId="245EE9DD" w14:textId="77777777" w:rsidR="0022397C" w:rsidRPr="00B63BD0" w:rsidRDefault="0022397C" w:rsidP="00D547F4">
      <w:pPr>
        <w:pStyle w:val="BodyText"/>
        <w:framePr w:wrap="around" w:hAnchor="margin" w:yAlign="bottom"/>
        <w:suppressOverlap/>
        <w:rPr>
          <w:rStyle w:val="Strong"/>
        </w:rPr>
      </w:pPr>
      <w:r w:rsidRPr="00B63BD0">
        <w:rPr>
          <w:rStyle w:val="Strong"/>
        </w:rPr>
        <w:t>Accessibility</w:t>
      </w:r>
    </w:p>
    <w:p w14:paraId="683E7BB5" w14:textId="6ECADCD5" w:rsidR="001840E4" w:rsidRPr="00B63BD0" w:rsidRDefault="001840E4" w:rsidP="00D547F4">
      <w:pPr>
        <w:pStyle w:val="BodyText12ptAccessible"/>
        <w:framePr w:wrap="around" w:hAnchor="margin" w:yAlign="bottom"/>
        <w:suppressOverlap/>
      </w:pPr>
      <w:bookmarkStart w:id="2" w:name="_Hlk172116670"/>
      <w:r w:rsidRPr="00B63BD0">
        <w:t xml:space="preserve">To receive this document in an alternative format, phone </w:t>
      </w:r>
      <w:r w:rsidRPr="00B63BD0">
        <w:rPr>
          <w:rStyle w:val="Strong"/>
        </w:rPr>
        <w:t>03 9651 5111</w:t>
      </w:r>
      <w:r w:rsidRPr="00B63BD0">
        <w:t xml:space="preserve">, email </w:t>
      </w:r>
      <w:hyperlink r:id="rId15" w:history="1">
        <w:r w:rsidRPr="00B63BD0">
          <w:rPr>
            <w:rStyle w:val="Hyperlink"/>
            <w:rFonts w:ascii="VIC SemiBold" w:hAnsi="VIC SemiBold"/>
          </w:rPr>
          <w:t>contact@dpc.vic.gov.au</w:t>
        </w:r>
      </w:hyperlink>
      <w:r w:rsidRPr="00B63BD0">
        <w:t xml:space="preserve">, or contact National Relay Service on </w:t>
      </w:r>
      <w:r w:rsidRPr="00B63BD0">
        <w:rPr>
          <w:rStyle w:val="Strong"/>
        </w:rPr>
        <w:t>1800 555 660</w:t>
      </w:r>
      <w:r w:rsidR="00835E7E" w:rsidRPr="00B63BD0">
        <w:t xml:space="preserve"> if required</w:t>
      </w:r>
      <w:r w:rsidRPr="00B63BD0">
        <w:t xml:space="preserve">. </w:t>
      </w:r>
      <w:r w:rsidR="00835E7E" w:rsidRPr="00B63BD0">
        <w:t xml:space="preserve">HTML </w:t>
      </w:r>
      <w:r w:rsidR="00CF1F17" w:rsidRPr="00B63BD0">
        <w:t>format</w:t>
      </w:r>
      <w:r w:rsidR="005B5B35" w:rsidRPr="00B63BD0">
        <w:t xml:space="preserve"> is</w:t>
      </w:r>
      <w:r w:rsidR="00835E7E" w:rsidRPr="00B63BD0">
        <w:t xml:space="preserve"> a</w:t>
      </w:r>
      <w:r w:rsidRPr="00B63BD0">
        <w:t xml:space="preserve">vailable at </w:t>
      </w:r>
      <w:hyperlink r:id="rId16" w:history="1">
        <w:r w:rsidRPr="00B63BD0">
          <w:rPr>
            <w:rStyle w:val="Hyperlink"/>
            <w:rFonts w:ascii="VIC SemiBold" w:hAnsi="VIC SemiBold"/>
          </w:rPr>
          <w:t>dpc.vic.gov.au</w:t>
        </w:r>
      </w:hyperlink>
      <w:r w:rsidRPr="00B63BD0">
        <w:t xml:space="preserve"> </w:t>
      </w:r>
    </w:p>
    <w:bookmarkEnd w:id="2"/>
    <w:p w14:paraId="401CAB7A" w14:textId="77777777" w:rsidR="00367533" w:rsidRPr="00B63BD0" w:rsidRDefault="00367533" w:rsidP="00367533">
      <w:pPr>
        <w:pStyle w:val="BodyText"/>
        <w:framePr w:wrap="around" w:hAnchor="margin" w:yAlign="bottom"/>
        <w:ind w:left="714"/>
        <w:suppressOverlap/>
      </w:pPr>
      <w:r w:rsidRPr="00B63BD0">
        <w:rPr>
          <w:noProof/>
        </w:rPr>
        <w:drawing>
          <wp:anchor distT="0" distB="0" distL="114300" distR="114300" simplePos="0" relativeHeight="251658242" behindDoc="1" locked="0" layoutInCell="1" allowOverlap="1" wp14:anchorId="74513263" wp14:editId="6A0704F6">
            <wp:simplePos x="0" y="0"/>
            <wp:positionH relativeFrom="column">
              <wp:posOffset>-5715</wp:posOffset>
            </wp:positionH>
            <wp:positionV relativeFrom="paragraph">
              <wp:posOffset>14605</wp:posOffset>
            </wp:positionV>
            <wp:extent cx="361315" cy="361315"/>
            <wp:effectExtent l="0" t="0" r="635" b="635"/>
            <wp:wrapSquare wrapText="bothSides"/>
            <wp:docPr id="152585788"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66679" name="Graphic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61315" cy="361315"/>
                    </a:xfrm>
                    <a:prstGeom prst="rect">
                      <a:avLst/>
                    </a:prstGeom>
                  </pic:spPr>
                </pic:pic>
              </a:graphicData>
            </a:graphic>
            <wp14:sizeRelH relativeFrom="page">
              <wp14:pctWidth>0</wp14:pctWidth>
            </wp14:sizeRelH>
            <wp14:sizeRelV relativeFrom="page">
              <wp14:pctHeight>0</wp14:pctHeight>
            </wp14:sizeRelV>
          </wp:anchor>
        </w:drawing>
      </w:r>
      <w:r w:rsidRPr="00B63BD0">
        <w:t xml:space="preserve">For languages other than English, please call the </w:t>
      </w:r>
      <w:r w:rsidRPr="00B63BD0">
        <w:br/>
        <w:t xml:space="preserve">Translating and Interpreting Service National hotline </w:t>
      </w:r>
      <w:r w:rsidRPr="00B63BD0">
        <w:rPr>
          <w:rStyle w:val="FooterChar"/>
        </w:rPr>
        <w:t>131 450.</w:t>
      </w:r>
    </w:p>
    <w:sdt>
      <w:sdtPr>
        <w:rPr>
          <w:color w:val="000000" w:themeColor="text1"/>
          <w:sz w:val="22"/>
          <w:szCs w:val="22"/>
        </w:rPr>
        <w:id w:val="-69656224"/>
        <w:docPartObj>
          <w:docPartGallery w:val="Table of Contents"/>
          <w:docPartUnique/>
        </w:docPartObj>
      </w:sdtPr>
      <w:sdtEndPr>
        <w:rPr>
          <w:noProof/>
          <w:sz w:val="20"/>
          <w:szCs w:val="20"/>
        </w:rPr>
      </w:sdtEndPr>
      <w:sdtContent>
        <w:p w14:paraId="26EB4BE0" w14:textId="77777777" w:rsidR="00474864" w:rsidRPr="00B63BD0" w:rsidRDefault="00474864" w:rsidP="00474864">
          <w:pPr>
            <w:pStyle w:val="TOCHeading"/>
          </w:pPr>
          <w:r w:rsidRPr="00B63BD0">
            <w:t>Contents</w:t>
          </w:r>
        </w:p>
        <w:p w14:paraId="7AEC02C3" w14:textId="0D143F0C" w:rsidR="001D78BB" w:rsidRPr="00B63BD0" w:rsidRDefault="003E7B8D">
          <w:pPr>
            <w:pStyle w:val="TOC1"/>
            <w:rPr>
              <w:rFonts w:asciiTheme="minorHAnsi" w:eastAsiaTheme="minorEastAsia" w:hAnsiTheme="minorHAnsi" w:cstheme="minorBidi"/>
              <w:b w:val="0"/>
              <w:noProof/>
              <w:kern w:val="2"/>
              <w:sz w:val="24"/>
              <w:szCs w:val="24"/>
              <w:lang w:eastAsia="en-AU"/>
              <w14:ligatures w14:val="standardContextual"/>
            </w:rPr>
          </w:pPr>
          <w:r w:rsidRPr="00B63BD0">
            <w:rPr>
              <w:b w:val="0"/>
              <w:sz w:val="22"/>
            </w:rPr>
            <w:fldChar w:fldCharType="begin"/>
          </w:r>
          <w:r w:rsidRPr="00B63BD0">
            <w:instrText xml:space="preserve"> TOC \o "1-3" \h \z \u </w:instrText>
          </w:r>
          <w:r w:rsidRPr="00B63BD0">
            <w:rPr>
              <w:b w:val="0"/>
              <w:sz w:val="22"/>
            </w:rPr>
            <w:fldChar w:fldCharType="separate"/>
          </w:r>
          <w:hyperlink w:anchor="_Toc186973671" w:history="1">
            <w:r w:rsidR="001D78BB" w:rsidRPr="00B63BD0">
              <w:rPr>
                <w:rStyle w:val="Hyperlink"/>
                <w:noProof/>
              </w:rPr>
              <w:t>Acknowledgement of Country</w:t>
            </w:r>
            <w:r w:rsidR="001D78BB" w:rsidRPr="00B63BD0">
              <w:rPr>
                <w:noProof/>
                <w:webHidden/>
              </w:rPr>
              <w:tab/>
            </w:r>
            <w:r w:rsidR="001D78BB" w:rsidRPr="00B63BD0">
              <w:rPr>
                <w:noProof/>
                <w:webHidden/>
              </w:rPr>
              <w:fldChar w:fldCharType="begin"/>
            </w:r>
            <w:r w:rsidR="001D78BB" w:rsidRPr="00B63BD0">
              <w:rPr>
                <w:noProof/>
                <w:webHidden/>
              </w:rPr>
              <w:instrText xml:space="preserve"> PAGEREF _Toc186973671 \h </w:instrText>
            </w:r>
            <w:r w:rsidR="001D78BB" w:rsidRPr="00B63BD0">
              <w:rPr>
                <w:noProof/>
                <w:webHidden/>
              </w:rPr>
            </w:r>
            <w:r w:rsidR="001D78BB" w:rsidRPr="00B63BD0">
              <w:rPr>
                <w:noProof/>
                <w:webHidden/>
              </w:rPr>
              <w:fldChar w:fldCharType="separate"/>
            </w:r>
            <w:r w:rsidR="00F8441A" w:rsidRPr="00B63BD0">
              <w:rPr>
                <w:noProof/>
                <w:webHidden/>
              </w:rPr>
              <w:t>1</w:t>
            </w:r>
            <w:r w:rsidR="001D78BB" w:rsidRPr="00B63BD0">
              <w:rPr>
                <w:noProof/>
                <w:webHidden/>
              </w:rPr>
              <w:fldChar w:fldCharType="end"/>
            </w:r>
          </w:hyperlink>
        </w:p>
        <w:p w14:paraId="4B32FCEF" w14:textId="0A21F55C" w:rsidR="001D78BB" w:rsidRPr="00B63BD0" w:rsidRDefault="001D78BB">
          <w:pPr>
            <w:pStyle w:val="TOC1"/>
            <w:rPr>
              <w:rFonts w:asciiTheme="minorHAnsi" w:eastAsiaTheme="minorEastAsia" w:hAnsiTheme="minorHAnsi" w:cstheme="minorBidi"/>
              <w:b w:val="0"/>
              <w:noProof/>
              <w:kern w:val="2"/>
              <w:sz w:val="24"/>
              <w:szCs w:val="24"/>
              <w:lang w:eastAsia="en-AU"/>
              <w14:ligatures w14:val="standardContextual"/>
            </w:rPr>
          </w:pPr>
          <w:hyperlink w:anchor="_Toc186973672" w:history="1">
            <w:r w:rsidRPr="00B63BD0">
              <w:rPr>
                <w:rStyle w:val="Hyperlink"/>
                <w:noProof/>
              </w:rPr>
              <w:t>Introduction</w:t>
            </w:r>
            <w:r w:rsidRPr="00B63BD0">
              <w:rPr>
                <w:noProof/>
                <w:webHidden/>
              </w:rPr>
              <w:tab/>
            </w:r>
            <w:r w:rsidRPr="00B63BD0">
              <w:rPr>
                <w:noProof/>
                <w:webHidden/>
              </w:rPr>
              <w:fldChar w:fldCharType="begin"/>
            </w:r>
            <w:r w:rsidRPr="00B63BD0">
              <w:rPr>
                <w:noProof/>
                <w:webHidden/>
              </w:rPr>
              <w:instrText xml:space="preserve"> PAGEREF _Toc186973672 \h </w:instrText>
            </w:r>
            <w:r w:rsidRPr="00B63BD0">
              <w:rPr>
                <w:noProof/>
                <w:webHidden/>
              </w:rPr>
            </w:r>
            <w:r w:rsidRPr="00B63BD0">
              <w:rPr>
                <w:noProof/>
                <w:webHidden/>
              </w:rPr>
              <w:fldChar w:fldCharType="separate"/>
            </w:r>
            <w:r w:rsidR="00F8441A" w:rsidRPr="00B63BD0">
              <w:rPr>
                <w:noProof/>
                <w:webHidden/>
              </w:rPr>
              <w:t>3</w:t>
            </w:r>
            <w:r w:rsidRPr="00B63BD0">
              <w:rPr>
                <w:noProof/>
                <w:webHidden/>
              </w:rPr>
              <w:fldChar w:fldCharType="end"/>
            </w:r>
          </w:hyperlink>
        </w:p>
        <w:p w14:paraId="7E1E2DAB" w14:textId="52CB3080" w:rsidR="001D78BB" w:rsidRPr="00B63BD0" w:rsidRDefault="001D78BB">
          <w:pPr>
            <w:pStyle w:val="TOC2"/>
            <w:rPr>
              <w:rFonts w:eastAsiaTheme="minorEastAsia" w:cstheme="minorBidi"/>
              <w:noProof/>
              <w:kern w:val="2"/>
              <w:sz w:val="24"/>
              <w:szCs w:val="24"/>
              <w:lang w:eastAsia="en-AU"/>
              <w14:ligatures w14:val="standardContextual"/>
            </w:rPr>
          </w:pPr>
          <w:hyperlink w:anchor="_Toc186973673" w:history="1">
            <w:r w:rsidRPr="00B63BD0">
              <w:rPr>
                <w:rStyle w:val="Hyperlink"/>
                <w:noProof/>
              </w:rPr>
              <w:t>Media advertising expenditure</w:t>
            </w:r>
            <w:r w:rsidRPr="00B63BD0">
              <w:rPr>
                <w:noProof/>
                <w:webHidden/>
              </w:rPr>
              <w:tab/>
            </w:r>
            <w:r w:rsidRPr="00B63BD0">
              <w:rPr>
                <w:noProof/>
                <w:webHidden/>
              </w:rPr>
              <w:fldChar w:fldCharType="begin"/>
            </w:r>
            <w:r w:rsidRPr="00B63BD0">
              <w:rPr>
                <w:noProof/>
                <w:webHidden/>
              </w:rPr>
              <w:instrText xml:space="preserve"> PAGEREF _Toc186973673 \h </w:instrText>
            </w:r>
            <w:r w:rsidRPr="00B63BD0">
              <w:rPr>
                <w:noProof/>
                <w:webHidden/>
              </w:rPr>
            </w:r>
            <w:r w:rsidRPr="00B63BD0">
              <w:rPr>
                <w:noProof/>
                <w:webHidden/>
              </w:rPr>
              <w:fldChar w:fldCharType="separate"/>
            </w:r>
            <w:r w:rsidR="00F8441A" w:rsidRPr="00B63BD0">
              <w:rPr>
                <w:noProof/>
                <w:webHidden/>
              </w:rPr>
              <w:t>3</w:t>
            </w:r>
            <w:r w:rsidRPr="00B63BD0">
              <w:rPr>
                <w:noProof/>
                <w:webHidden/>
              </w:rPr>
              <w:fldChar w:fldCharType="end"/>
            </w:r>
          </w:hyperlink>
        </w:p>
        <w:p w14:paraId="66CAF8F2" w14:textId="0461D16F" w:rsidR="001D78BB" w:rsidRPr="00B63BD0" w:rsidRDefault="001D78BB">
          <w:pPr>
            <w:pStyle w:val="TOC2"/>
            <w:rPr>
              <w:rFonts w:eastAsiaTheme="minorEastAsia" w:cstheme="minorBidi"/>
              <w:noProof/>
              <w:kern w:val="2"/>
              <w:sz w:val="24"/>
              <w:szCs w:val="24"/>
              <w:lang w:eastAsia="en-AU"/>
              <w14:ligatures w14:val="standardContextual"/>
            </w:rPr>
          </w:pPr>
          <w:hyperlink w:anchor="_Toc186973674" w:history="1">
            <w:r w:rsidRPr="00B63BD0">
              <w:rPr>
                <w:rStyle w:val="Hyperlink"/>
                <w:noProof/>
              </w:rPr>
              <w:t>Government advertising categories</w:t>
            </w:r>
            <w:r w:rsidRPr="00B63BD0">
              <w:rPr>
                <w:noProof/>
                <w:webHidden/>
              </w:rPr>
              <w:tab/>
            </w:r>
            <w:r w:rsidRPr="00B63BD0">
              <w:rPr>
                <w:noProof/>
                <w:webHidden/>
              </w:rPr>
              <w:fldChar w:fldCharType="begin"/>
            </w:r>
            <w:r w:rsidRPr="00B63BD0">
              <w:rPr>
                <w:noProof/>
                <w:webHidden/>
              </w:rPr>
              <w:instrText xml:space="preserve"> PAGEREF _Toc186973674 \h </w:instrText>
            </w:r>
            <w:r w:rsidRPr="00B63BD0">
              <w:rPr>
                <w:noProof/>
                <w:webHidden/>
              </w:rPr>
            </w:r>
            <w:r w:rsidRPr="00B63BD0">
              <w:rPr>
                <w:noProof/>
                <w:webHidden/>
              </w:rPr>
              <w:fldChar w:fldCharType="separate"/>
            </w:r>
            <w:r w:rsidR="00F8441A" w:rsidRPr="00B63BD0">
              <w:rPr>
                <w:noProof/>
                <w:webHidden/>
              </w:rPr>
              <w:t>3</w:t>
            </w:r>
            <w:r w:rsidRPr="00B63BD0">
              <w:rPr>
                <w:noProof/>
                <w:webHidden/>
              </w:rPr>
              <w:fldChar w:fldCharType="end"/>
            </w:r>
          </w:hyperlink>
        </w:p>
        <w:p w14:paraId="13BD57A0" w14:textId="477FDBB5" w:rsidR="001D78BB" w:rsidRPr="00B63BD0" w:rsidRDefault="001D78BB">
          <w:pPr>
            <w:pStyle w:val="TOC2"/>
            <w:rPr>
              <w:rFonts w:eastAsiaTheme="minorEastAsia" w:cstheme="minorBidi"/>
              <w:noProof/>
              <w:kern w:val="2"/>
              <w:sz w:val="24"/>
              <w:szCs w:val="24"/>
              <w:lang w:eastAsia="en-AU"/>
              <w14:ligatures w14:val="standardContextual"/>
            </w:rPr>
          </w:pPr>
          <w:hyperlink w:anchor="_Toc186973675" w:history="1">
            <w:r w:rsidRPr="00B63BD0">
              <w:rPr>
                <w:rStyle w:val="Hyperlink"/>
                <w:noProof/>
              </w:rPr>
              <w:t>Expenditure on major government campaigns</w:t>
            </w:r>
            <w:r w:rsidRPr="00B63BD0">
              <w:rPr>
                <w:noProof/>
                <w:webHidden/>
              </w:rPr>
              <w:tab/>
            </w:r>
            <w:r w:rsidRPr="00B63BD0">
              <w:rPr>
                <w:noProof/>
                <w:webHidden/>
              </w:rPr>
              <w:fldChar w:fldCharType="begin"/>
            </w:r>
            <w:r w:rsidRPr="00B63BD0">
              <w:rPr>
                <w:noProof/>
                <w:webHidden/>
              </w:rPr>
              <w:instrText xml:space="preserve"> PAGEREF _Toc186973675 \h </w:instrText>
            </w:r>
            <w:r w:rsidRPr="00B63BD0">
              <w:rPr>
                <w:noProof/>
                <w:webHidden/>
              </w:rPr>
            </w:r>
            <w:r w:rsidRPr="00B63BD0">
              <w:rPr>
                <w:noProof/>
                <w:webHidden/>
              </w:rPr>
              <w:fldChar w:fldCharType="separate"/>
            </w:r>
            <w:r w:rsidR="00F8441A" w:rsidRPr="00B63BD0">
              <w:rPr>
                <w:noProof/>
                <w:webHidden/>
              </w:rPr>
              <w:t>4</w:t>
            </w:r>
            <w:r w:rsidRPr="00B63BD0">
              <w:rPr>
                <w:noProof/>
                <w:webHidden/>
              </w:rPr>
              <w:fldChar w:fldCharType="end"/>
            </w:r>
          </w:hyperlink>
        </w:p>
        <w:p w14:paraId="61D74454" w14:textId="2491F787" w:rsidR="001D78BB" w:rsidRPr="00B63BD0" w:rsidRDefault="001D78BB">
          <w:pPr>
            <w:pStyle w:val="TOC2"/>
            <w:rPr>
              <w:rFonts w:eastAsiaTheme="minorEastAsia" w:cstheme="minorBidi"/>
              <w:noProof/>
              <w:kern w:val="2"/>
              <w:sz w:val="24"/>
              <w:szCs w:val="24"/>
              <w:lang w:eastAsia="en-AU"/>
              <w14:ligatures w14:val="standardContextual"/>
            </w:rPr>
          </w:pPr>
          <w:hyperlink w:anchor="_Toc186973676" w:history="1">
            <w:r w:rsidRPr="00B63BD0">
              <w:rPr>
                <w:rStyle w:val="Hyperlink"/>
                <w:noProof/>
              </w:rPr>
              <w:t>Government advertising plan for 2023–24</w:t>
            </w:r>
            <w:r w:rsidRPr="00B63BD0">
              <w:rPr>
                <w:noProof/>
                <w:webHidden/>
              </w:rPr>
              <w:tab/>
            </w:r>
            <w:r w:rsidRPr="00B63BD0">
              <w:rPr>
                <w:noProof/>
                <w:webHidden/>
              </w:rPr>
              <w:fldChar w:fldCharType="begin"/>
            </w:r>
            <w:r w:rsidRPr="00B63BD0">
              <w:rPr>
                <w:noProof/>
                <w:webHidden/>
              </w:rPr>
              <w:instrText xml:space="preserve"> PAGEREF _Toc186973676 \h </w:instrText>
            </w:r>
            <w:r w:rsidRPr="00B63BD0">
              <w:rPr>
                <w:noProof/>
                <w:webHidden/>
              </w:rPr>
            </w:r>
            <w:r w:rsidRPr="00B63BD0">
              <w:rPr>
                <w:noProof/>
                <w:webHidden/>
              </w:rPr>
              <w:fldChar w:fldCharType="separate"/>
            </w:r>
            <w:r w:rsidR="00F8441A" w:rsidRPr="00B63BD0">
              <w:rPr>
                <w:noProof/>
                <w:webHidden/>
              </w:rPr>
              <w:t>4</w:t>
            </w:r>
            <w:r w:rsidRPr="00B63BD0">
              <w:rPr>
                <w:noProof/>
                <w:webHidden/>
              </w:rPr>
              <w:fldChar w:fldCharType="end"/>
            </w:r>
          </w:hyperlink>
        </w:p>
        <w:p w14:paraId="1A6534FE" w14:textId="033993B8" w:rsidR="001D78BB" w:rsidRPr="00B63BD0" w:rsidRDefault="001D78BB">
          <w:pPr>
            <w:pStyle w:val="TOC1"/>
            <w:rPr>
              <w:rFonts w:asciiTheme="minorHAnsi" w:eastAsiaTheme="minorEastAsia" w:hAnsiTheme="minorHAnsi" w:cstheme="minorBidi"/>
              <w:b w:val="0"/>
              <w:noProof/>
              <w:kern w:val="2"/>
              <w:sz w:val="24"/>
              <w:szCs w:val="24"/>
              <w:lang w:eastAsia="en-AU"/>
              <w14:ligatures w14:val="standardContextual"/>
            </w:rPr>
          </w:pPr>
          <w:hyperlink w:anchor="_Toc186973677" w:history="1">
            <w:r w:rsidRPr="00B63BD0">
              <w:rPr>
                <w:rStyle w:val="Hyperlink"/>
                <w:noProof/>
              </w:rPr>
              <w:t>Victorian Government advertising expenditure 2023–24</w:t>
            </w:r>
            <w:r w:rsidRPr="00B63BD0">
              <w:rPr>
                <w:noProof/>
                <w:webHidden/>
              </w:rPr>
              <w:tab/>
            </w:r>
            <w:r w:rsidRPr="00B63BD0">
              <w:rPr>
                <w:noProof/>
                <w:webHidden/>
              </w:rPr>
              <w:fldChar w:fldCharType="begin"/>
            </w:r>
            <w:r w:rsidRPr="00B63BD0">
              <w:rPr>
                <w:noProof/>
                <w:webHidden/>
              </w:rPr>
              <w:instrText xml:space="preserve"> PAGEREF _Toc186973677 \h </w:instrText>
            </w:r>
            <w:r w:rsidRPr="00B63BD0">
              <w:rPr>
                <w:noProof/>
                <w:webHidden/>
              </w:rPr>
            </w:r>
            <w:r w:rsidRPr="00B63BD0">
              <w:rPr>
                <w:noProof/>
                <w:webHidden/>
              </w:rPr>
              <w:fldChar w:fldCharType="separate"/>
            </w:r>
            <w:r w:rsidR="00F8441A" w:rsidRPr="00B63BD0">
              <w:rPr>
                <w:noProof/>
                <w:webHidden/>
              </w:rPr>
              <w:t>5</w:t>
            </w:r>
            <w:r w:rsidRPr="00B63BD0">
              <w:rPr>
                <w:noProof/>
                <w:webHidden/>
              </w:rPr>
              <w:fldChar w:fldCharType="end"/>
            </w:r>
          </w:hyperlink>
        </w:p>
        <w:p w14:paraId="37AEAC05" w14:textId="688B2002" w:rsidR="001D78BB" w:rsidRPr="00B63BD0" w:rsidRDefault="001D78BB">
          <w:pPr>
            <w:pStyle w:val="TOC2"/>
            <w:rPr>
              <w:rFonts w:eastAsiaTheme="minorEastAsia" w:cstheme="minorBidi"/>
              <w:noProof/>
              <w:kern w:val="2"/>
              <w:sz w:val="24"/>
              <w:szCs w:val="24"/>
              <w:lang w:eastAsia="en-AU"/>
              <w14:ligatures w14:val="standardContextual"/>
            </w:rPr>
          </w:pPr>
          <w:hyperlink w:anchor="_Toc186973678" w:history="1">
            <w:r w:rsidRPr="00B63BD0">
              <w:rPr>
                <w:rStyle w:val="Hyperlink"/>
                <w:noProof/>
              </w:rPr>
              <w:t>Total advertising expenditure by category – 2023–24</w:t>
            </w:r>
            <w:r w:rsidRPr="00B63BD0">
              <w:rPr>
                <w:noProof/>
                <w:webHidden/>
              </w:rPr>
              <w:tab/>
            </w:r>
            <w:r w:rsidRPr="00B63BD0">
              <w:rPr>
                <w:noProof/>
                <w:webHidden/>
              </w:rPr>
              <w:fldChar w:fldCharType="begin"/>
            </w:r>
            <w:r w:rsidRPr="00B63BD0">
              <w:rPr>
                <w:noProof/>
                <w:webHidden/>
              </w:rPr>
              <w:instrText xml:space="preserve"> PAGEREF _Toc186973678 \h </w:instrText>
            </w:r>
            <w:r w:rsidRPr="00B63BD0">
              <w:rPr>
                <w:noProof/>
                <w:webHidden/>
              </w:rPr>
            </w:r>
            <w:r w:rsidRPr="00B63BD0">
              <w:rPr>
                <w:noProof/>
                <w:webHidden/>
              </w:rPr>
              <w:fldChar w:fldCharType="separate"/>
            </w:r>
            <w:r w:rsidR="00F8441A" w:rsidRPr="00B63BD0">
              <w:rPr>
                <w:noProof/>
                <w:webHidden/>
              </w:rPr>
              <w:t>6</w:t>
            </w:r>
            <w:r w:rsidRPr="00B63BD0">
              <w:rPr>
                <w:noProof/>
                <w:webHidden/>
              </w:rPr>
              <w:fldChar w:fldCharType="end"/>
            </w:r>
          </w:hyperlink>
        </w:p>
        <w:p w14:paraId="430A1B0D" w14:textId="73DB51DE" w:rsidR="001D78BB" w:rsidRPr="00B63BD0" w:rsidRDefault="001D78BB">
          <w:pPr>
            <w:pStyle w:val="TOC2"/>
            <w:rPr>
              <w:rFonts w:eastAsiaTheme="minorEastAsia" w:cstheme="minorBidi"/>
              <w:noProof/>
              <w:kern w:val="2"/>
              <w:sz w:val="24"/>
              <w:szCs w:val="24"/>
              <w:lang w:eastAsia="en-AU"/>
              <w14:ligatures w14:val="standardContextual"/>
            </w:rPr>
          </w:pPr>
          <w:hyperlink w:anchor="_Toc186973679" w:history="1">
            <w:r w:rsidRPr="00B63BD0">
              <w:rPr>
                <w:rStyle w:val="Hyperlink"/>
                <w:noProof/>
              </w:rPr>
              <w:t>Victorian Government advertising expenditure by departments and agencies – 2023–24</w:t>
            </w:r>
            <w:r w:rsidRPr="00B63BD0">
              <w:rPr>
                <w:noProof/>
                <w:webHidden/>
              </w:rPr>
              <w:tab/>
            </w:r>
            <w:r w:rsidRPr="00B63BD0">
              <w:rPr>
                <w:noProof/>
                <w:webHidden/>
              </w:rPr>
              <w:fldChar w:fldCharType="begin"/>
            </w:r>
            <w:r w:rsidRPr="00B63BD0">
              <w:rPr>
                <w:noProof/>
                <w:webHidden/>
              </w:rPr>
              <w:instrText xml:space="preserve"> PAGEREF _Toc186973679 \h </w:instrText>
            </w:r>
            <w:r w:rsidRPr="00B63BD0">
              <w:rPr>
                <w:noProof/>
                <w:webHidden/>
              </w:rPr>
            </w:r>
            <w:r w:rsidRPr="00B63BD0">
              <w:rPr>
                <w:noProof/>
                <w:webHidden/>
              </w:rPr>
              <w:fldChar w:fldCharType="separate"/>
            </w:r>
            <w:r w:rsidR="00F8441A" w:rsidRPr="00B63BD0">
              <w:rPr>
                <w:noProof/>
                <w:webHidden/>
              </w:rPr>
              <w:t>6</w:t>
            </w:r>
            <w:r w:rsidRPr="00B63BD0">
              <w:rPr>
                <w:noProof/>
                <w:webHidden/>
              </w:rPr>
              <w:fldChar w:fldCharType="end"/>
            </w:r>
          </w:hyperlink>
        </w:p>
        <w:p w14:paraId="75BC9664" w14:textId="1904B5C9" w:rsidR="001D78BB" w:rsidRPr="00B63BD0" w:rsidRDefault="001D78BB">
          <w:pPr>
            <w:pStyle w:val="TOC2"/>
            <w:rPr>
              <w:rFonts w:eastAsiaTheme="minorEastAsia" w:cstheme="minorBidi"/>
              <w:noProof/>
              <w:kern w:val="2"/>
              <w:sz w:val="24"/>
              <w:szCs w:val="24"/>
              <w:lang w:eastAsia="en-AU"/>
              <w14:ligatures w14:val="standardContextual"/>
            </w:rPr>
          </w:pPr>
          <w:hyperlink w:anchor="_Toc186973680" w:history="1">
            <w:r w:rsidRPr="00B63BD0">
              <w:rPr>
                <w:rStyle w:val="Hyperlink"/>
                <w:noProof/>
              </w:rPr>
              <w:t>Top 10 Victorian Government advertisers by campaign expenditure – 2023–24</w:t>
            </w:r>
            <w:r w:rsidRPr="00B63BD0">
              <w:rPr>
                <w:noProof/>
                <w:webHidden/>
              </w:rPr>
              <w:tab/>
            </w:r>
            <w:r w:rsidRPr="00B63BD0">
              <w:rPr>
                <w:noProof/>
                <w:webHidden/>
              </w:rPr>
              <w:fldChar w:fldCharType="begin"/>
            </w:r>
            <w:r w:rsidRPr="00B63BD0">
              <w:rPr>
                <w:noProof/>
                <w:webHidden/>
              </w:rPr>
              <w:instrText xml:space="preserve"> PAGEREF _Toc186973680 \h </w:instrText>
            </w:r>
            <w:r w:rsidRPr="00B63BD0">
              <w:rPr>
                <w:noProof/>
                <w:webHidden/>
              </w:rPr>
            </w:r>
            <w:r w:rsidRPr="00B63BD0">
              <w:rPr>
                <w:noProof/>
                <w:webHidden/>
              </w:rPr>
              <w:fldChar w:fldCharType="separate"/>
            </w:r>
            <w:r w:rsidR="00F8441A" w:rsidRPr="00B63BD0">
              <w:rPr>
                <w:noProof/>
                <w:webHidden/>
              </w:rPr>
              <w:t>8</w:t>
            </w:r>
            <w:r w:rsidRPr="00B63BD0">
              <w:rPr>
                <w:noProof/>
                <w:webHidden/>
              </w:rPr>
              <w:fldChar w:fldCharType="end"/>
            </w:r>
          </w:hyperlink>
        </w:p>
        <w:p w14:paraId="5EE25DE8" w14:textId="76B8B8E5" w:rsidR="001D78BB" w:rsidRPr="00B63BD0" w:rsidRDefault="001D78BB">
          <w:pPr>
            <w:pStyle w:val="TOC2"/>
            <w:rPr>
              <w:rFonts w:eastAsiaTheme="minorEastAsia" w:cstheme="minorBidi"/>
              <w:noProof/>
              <w:kern w:val="2"/>
              <w:sz w:val="24"/>
              <w:szCs w:val="24"/>
              <w:lang w:eastAsia="en-AU"/>
              <w14:ligatures w14:val="standardContextual"/>
            </w:rPr>
          </w:pPr>
          <w:hyperlink w:anchor="_Toc186973681" w:history="1">
            <w:r w:rsidRPr="00B63BD0">
              <w:rPr>
                <w:rStyle w:val="Hyperlink"/>
                <w:noProof/>
              </w:rPr>
              <w:t>Major functional and recruitment advertisers – 2023–24</w:t>
            </w:r>
            <w:r w:rsidRPr="00B63BD0">
              <w:rPr>
                <w:noProof/>
                <w:webHidden/>
              </w:rPr>
              <w:tab/>
            </w:r>
            <w:r w:rsidRPr="00B63BD0">
              <w:rPr>
                <w:noProof/>
                <w:webHidden/>
              </w:rPr>
              <w:fldChar w:fldCharType="begin"/>
            </w:r>
            <w:r w:rsidRPr="00B63BD0">
              <w:rPr>
                <w:noProof/>
                <w:webHidden/>
              </w:rPr>
              <w:instrText xml:space="preserve"> PAGEREF _Toc186973681 \h </w:instrText>
            </w:r>
            <w:r w:rsidRPr="00B63BD0">
              <w:rPr>
                <w:noProof/>
                <w:webHidden/>
              </w:rPr>
            </w:r>
            <w:r w:rsidRPr="00B63BD0">
              <w:rPr>
                <w:noProof/>
                <w:webHidden/>
              </w:rPr>
              <w:fldChar w:fldCharType="separate"/>
            </w:r>
            <w:r w:rsidR="00F8441A" w:rsidRPr="00B63BD0">
              <w:rPr>
                <w:noProof/>
                <w:webHidden/>
              </w:rPr>
              <w:t>11</w:t>
            </w:r>
            <w:r w:rsidRPr="00B63BD0">
              <w:rPr>
                <w:noProof/>
                <w:webHidden/>
              </w:rPr>
              <w:fldChar w:fldCharType="end"/>
            </w:r>
          </w:hyperlink>
        </w:p>
        <w:p w14:paraId="2D39768F" w14:textId="735B6632" w:rsidR="001D78BB" w:rsidRPr="00B63BD0" w:rsidRDefault="001D78BB">
          <w:pPr>
            <w:pStyle w:val="TOC3"/>
            <w:rPr>
              <w:noProof/>
              <w:kern w:val="2"/>
              <w:sz w:val="24"/>
              <w:szCs w:val="24"/>
              <w:lang w:eastAsia="en-AU"/>
              <w14:ligatures w14:val="standardContextual"/>
            </w:rPr>
          </w:pPr>
          <w:hyperlink w:anchor="_Toc186973682" w:history="1">
            <w:r w:rsidRPr="00B63BD0">
              <w:rPr>
                <w:rStyle w:val="Hyperlink"/>
                <w:noProof/>
              </w:rPr>
              <w:t>Functional advertising</w:t>
            </w:r>
            <w:r w:rsidRPr="00B63BD0">
              <w:rPr>
                <w:noProof/>
                <w:webHidden/>
              </w:rPr>
              <w:tab/>
            </w:r>
            <w:r w:rsidRPr="00B63BD0">
              <w:rPr>
                <w:noProof/>
                <w:webHidden/>
              </w:rPr>
              <w:fldChar w:fldCharType="begin"/>
            </w:r>
            <w:r w:rsidRPr="00B63BD0">
              <w:rPr>
                <w:noProof/>
                <w:webHidden/>
              </w:rPr>
              <w:instrText xml:space="preserve"> PAGEREF _Toc186973682 \h </w:instrText>
            </w:r>
            <w:r w:rsidRPr="00B63BD0">
              <w:rPr>
                <w:noProof/>
                <w:webHidden/>
              </w:rPr>
            </w:r>
            <w:r w:rsidRPr="00B63BD0">
              <w:rPr>
                <w:noProof/>
                <w:webHidden/>
              </w:rPr>
              <w:fldChar w:fldCharType="separate"/>
            </w:r>
            <w:r w:rsidR="00F8441A" w:rsidRPr="00B63BD0">
              <w:rPr>
                <w:noProof/>
                <w:webHidden/>
              </w:rPr>
              <w:t>11</w:t>
            </w:r>
            <w:r w:rsidRPr="00B63BD0">
              <w:rPr>
                <w:noProof/>
                <w:webHidden/>
              </w:rPr>
              <w:fldChar w:fldCharType="end"/>
            </w:r>
          </w:hyperlink>
        </w:p>
        <w:p w14:paraId="1086074C" w14:textId="19E0EA28" w:rsidR="001D78BB" w:rsidRPr="00B63BD0" w:rsidRDefault="001D78BB">
          <w:pPr>
            <w:pStyle w:val="TOC3"/>
            <w:rPr>
              <w:noProof/>
              <w:kern w:val="2"/>
              <w:sz w:val="24"/>
              <w:szCs w:val="24"/>
              <w:lang w:eastAsia="en-AU"/>
              <w14:ligatures w14:val="standardContextual"/>
            </w:rPr>
          </w:pPr>
          <w:hyperlink w:anchor="_Toc186973683" w:history="1">
            <w:r w:rsidRPr="00B63BD0">
              <w:rPr>
                <w:rStyle w:val="Hyperlink"/>
                <w:noProof/>
              </w:rPr>
              <w:t>Recruitment advertising</w:t>
            </w:r>
            <w:r w:rsidRPr="00B63BD0">
              <w:rPr>
                <w:noProof/>
                <w:webHidden/>
              </w:rPr>
              <w:tab/>
            </w:r>
            <w:r w:rsidRPr="00B63BD0">
              <w:rPr>
                <w:noProof/>
                <w:webHidden/>
              </w:rPr>
              <w:fldChar w:fldCharType="begin"/>
            </w:r>
            <w:r w:rsidRPr="00B63BD0">
              <w:rPr>
                <w:noProof/>
                <w:webHidden/>
              </w:rPr>
              <w:instrText xml:space="preserve"> PAGEREF _Toc186973683 \h </w:instrText>
            </w:r>
            <w:r w:rsidRPr="00B63BD0">
              <w:rPr>
                <w:noProof/>
                <w:webHidden/>
              </w:rPr>
            </w:r>
            <w:r w:rsidRPr="00B63BD0">
              <w:rPr>
                <w:noProof/>
                <w:webHidden/>
              </w:rPr>
              <w:fldChar w:fldCharType="separate"/>
            </w:r>
            <w:r w:rsidR="00F8441A" w:rsidRPr="00B63BD0">
              <w:rPr>
                <w:noProof/>
                <w:webHidden/>
              </w:rPr>
              <w:t>11</w:t>
            </w:r>
            <w:r w:rsidRPr="00B63BD0">
              <w:rPr>
                <w:noProof/>
                <w:webHidden/>
              </w:rPr>
              <w:fldChar w:fldCharType="end"/>
            </w:r>
          </w:hyperlink>
        </w:p>
        <w:p w14:paraId="00D29CB2" w14:textId="1E379630" w:rsidR="001D78BB" w:rsidRPr="00B63BD0" w:rsidRDefault="001D78BB">
          <w:pPr>
            <w:pStyle w:val="TOC2"/>
            <w:rPr>
              <w:rFonts w:eastAsiaTheme="minorEastAsia" w:cstheme="minorBidi"/>
              <w:noProof/>
              <w:kern w:val="2"/>
              <w:sz w:val="24"/>
              <w:szCs w:val="24"/>
              <w:lang w:eastAsia="en-AU"/>
              <w14:ligatures w14:val="standardContextual"/>
            </w:rPr>
          </w:pPr>
          <w:hyperlink w:anchor="_Toc186973684" w:history="1">
            <w:r w:rsidRPr="00B63BD0">
              <w:rPr>
                <w:rStyle w:val="Hyperlink"/>
                <w:noProof/>
              </w:rPr>
              <w:t>Government advertising by channel – 2023–24</w:t>
            </w:r>
            <w:r w:rsidRPr="00B63BD0">
              <w:rPr>
                <w:noProof/>
                <w:webHidden/>
              </w:rPr>
              <w:tab/>
            </w:r>
            <w:r w:rsidRPr="00B63BD0">
              <w:rPr>
                <w:noProof/>
                <w:webHidden/>
              </w:rPr>
              <w:fldChar w:fldCharType="begin"/>
            </w:r>
            <w:r w:rsidRPr="00B63BD0">
              <w:rPr>
                <w:noProof/>
                <w:webHidden/>
              </w:rPr>
              <w:instrText xml:space="preserve"> PAGEREF _Toc186973684 \h </w:instrText>
            </w:r>
            <w:r w:rsidRPr="00B63BD0">
              <w:rPr>
                <w:noProof/>
                <w:webHidden/>
              </w:rPr>
            </w:r>
            <w:r w:rsidRPr="00B63BD0">
              <w:rPr>
                <w:noProof/>
                <w:webHidden/>
              </w:rPr>
              <w:fldChar w:fldCharType="separate"/>
            </w:r>
            <w:r w:rsidR="00F8441A" w:rsidRPr="00B63BD0">
              <w:rPr>
                <w:noProof/>
                <w:webHidden/>
              </w:rPr>
              <w:t>12</w:t>
            </w:r>
            <w:r w:rsidRPr="00B63BD0">
              <w:rPr>
                <w:noProof/>
                <w:webHidden/>
              </w:rPr>
              <w:fldChar w:fldCharType="end"/>
            </w:r>
          </w:hyperlink>
        </w:p>
        <w:p w14:paraId="2AD200FA" w14:textId="6FC343E2" w:rsidR="001D78BB" w:rsidRPr="00B63BD0" w:rsidRDefault="001D78BB">
          <w:pPr>
            <w:pStyle w:val="TOC2"/>
            <w:rPr>
              <w:rFonts w:eastAsiaTheme="minorEastAsia" w:cstheme="minorBidi"/>
              <w:noProof/>
              <w:kern w:val="2"/>
              <w:sz w:val="24"/>
              <w:szCs w:val="24"/>
              <w:lang w:eastAsia="en-AU"/>
              <w14:ligatures w14:val="standardContextual"/>
            </w:rPr>
          </w:pPr>
          <w:hyperlink w:anchor="_Toc186973685" w:history="1">
            <w:r w:rsidRPr="00B63BD0">
              <w:rPr>
                <w:rStyle w:val="Hyperlink"/>
                <w:noProof/>
              </w:rPr>
              <w:t>Government campaign advertising by communication priority areas</w:t>
            </w:r>
            <w:r w:rsidRPr="00B63BD0">
              <w:rPr>
                <w:noProof/>
                <w:webHidden/>
              </w:rPr>
              <w:tab/>
            </w:r>
            <w:r w:rsidRPr="00B63BD0">
              <w:rPr>
                <w:noProof/>
                <w:webHidden/>
              </w:rPr>
              <w:fldChar w:fldCharType="begin"/>
            </w:r>
            <w:r w:rsidRPr="00B63BD0">
              <w:rPr>
                <w:noProof/>
                <w:webHidden/>
              </w:rPr>
              <w:instrText xml:space="preserve"> PAGEREF _Toc186973685 \h </w:instrText>
            </w:r>
            <w:r w:rsidRPr="00B63BD0">
              <w:rPr>
                <w:noProof/>
                <w:webHidden/>
              </w:rPr>
            </w:r>
            <w:r w:rsidRPr="00B63BD0">
              <w:rPr>
                <w:noProof/>
                <w:webHidden/>
              </w:rPr>
              <w:fldChar w:fldCharType="separate"/>
            </w:r>
            <w:r w:rsidR="00F8441A" w:rsidRPr="00B63BD0">
              <w:rPr>
                <w:noProof/>
                <w:webHidden/>
              </w:rPr>
              <w:t>13</w:t>
            </w:r>
            <w:r w:rsidRPr="00B63BD0">
              <w:rPr>
                <w:noProof/>
                <w:webHidden/>
              </w:rPr>
              <w:fldChar w:fldCharType="end"/>
            </w:r>
          </w:hyperlink>
        </w:p>
        <w:p w14:paraId="557C4605" w14:textId="0D684A15" w:rsidR="001D78BB" w:rsidRPr="00B63BD0" w:rsidRDefault="001D78BB">
          <w:pPr>
            <w:pStyle w:val="TOC2"/>
            <w:rPr>
              <w:rFonts w:eastAsiaTheme="minorEastAsia" w:cstheme="minorBidi"/>
              <w:noProof/>
              <w:kern w:val="2"/>
              <w:sz w:val="24"/>
              <w:szCs w:val="24"/>
              <w:lang w:eastAsia="en-AU"/>
              <w14:ligatures w14:val="standardContextual"/>
            </w:rPr>
          </w:pPr>
          <w:hyperlink w:anchor="_Toc186973686" w:history="1">
            <w:r w:rsidRPr="00B63BD0">
              <w:rPr>
                <w:rStyle w:val="Hyperlink"/>
                <w:noProof/>
              </w:rPr>
              <w:t>Victorian Government communication targets</w:t>
            </w:r>
            <w:r w:rsidRPr="00B63BD0">
              <w:rPr>
                <w:noProof/>
                <w:webHidden/>
              </w:rPr>
              <w:tab/>
            </w:r>
            <w:r w:rsidRPr="00B63BD0">
              <w:rPr>
                <w:noProof/>
                <w:webHidden/>
              </w:rPr>
              <w:fldChar w:fldCharType="begin"/>
            </w:r>
            <w:r w:rsidRPr="00B63BD0">
              <w:rPr>
                <w:noProof/>
                <w:webHidden/>
              </w:rPr>
              <w:instrText xml:space="preserve"> PAGEREF _Toc186973686 \h </w:instrText>
            </w:r>
            <w:r w:rsidRPr="00B63BD0">
              <w:rPr>
                <w:noProof/>
                <w:webHidden/>
              </w:rPr>
            </w:r>
            <w:r w:rsidRPr="00B63BD0">
              <w:rPr>
                <w:noProof/>
                <w:webHidden/>
              </w:rPr>
              <w:fldChar w:fldCharType="separate"/>
            </w:r>
            <w:r w:rsidR="00F8441A" w:rsidRPr="00B63BD0">
              <w:rPr>
                <w:noProof/>
                <w:webHidden/>
              </w:rPr>
              <w:t>14</w:t>
            </w:r>
            <w:r w:rsidRPr="00B63BD0">
              <w:rPr>
                <w:noProof/>
                <w:webHidden/>
              </w:rPr>
              <w:fldChar w:fldCharType="end"/>
            </w:r>
          </w:hyperlink>
        </w:p>
        <w:p w14:paraId="1B9712EF" w14:textId="0285914A" w:rsidR="001D78BB" w:rsidRPr="00B63BD0" w:rsidRDefault="001D78BB">
          <w:pPr>
            <w:pStyle w:val="TOC3"/>
            <w:rPr>
              <w:noProof/>
              <w:kern w:val="2"/>
              <w:sz w:val="24"/>
              <w:szCs w:val="24"/>
              <w:lang w:eastAsia="en-AU"/>
              <w14:ligatures w14:val="standardContextual"/>
            </w:rPr>
          </w:pPr>
          <w:hyperlink w:anchor="_Toc186973687" w:history="1">
            <w:r w:rsidRPr="00B63BD0">
              <w:rPr>
                <w:rStyle w:val="Hyperlink"/>
                <w:noProof/>
              </w:rPr>
              <w:t>Regional media campaign advertising expenditure</w:t>
            </w:r>
            <w:r w:rsidRPr="00B63BD0">
              <w:rPr>
                <w:noProof/>
                <w:webHidden/>
              </w:rPr>
              <w:tab/>
            </w:r>
            <w:r w:rsidRPr="00B63BD0">
              <w:rPr>
                <w:noProof/>
                <w:webHidden/>
              </w:rPr>
              <w:fldChar w:fldCharType="begin"/>
            </w:r>
            <w:r w:rsidRPr="00B63BD0">
              <w:rPr>
                <w:noProof/>
                <w:webHidden/>
              </w:rPr>
              <w:instrText xml:space="preserve"> PAGEREF _Toc186973687 \h </w:instrText>
            </w:r>
            <w:r w:rsidRPr="00B63BD0">
              <w:rPr>
                <w:noProof/>
                <w:webHidden/>
              </w:rPr>
            </w:r>
            <w:r w:rsidRPr="00B63BD0">
              <w:rPr>
                <w:noProof/>
                <w:webHidden/>
              </w:rPr>
              <w:fldChar w:fldCharType="separate"/>
            </w:r>
            <w:r w:rsidR="00F8441A" w:rsidRPr="00B63BD0">
              <w:rPr>
                <w:noProof/>
                <w:webHidden/>
              </w:rPr>
              <w:t>14</w:t>
            </w:r>
            <w:r w:rsidRPr="00B63BD0">
              <w:rPr>
                <w:noProof/>
                <w:webHidden/>
              </w:rPr>
              <w:fldChar w:fldCharType="end"/>
            </w:r>
          </w:hyperlink>
        </w:p>
        <w:p w14:paraId="0DBE2635" w14:textId="60818770" w:rsidR="001D78BB" w:rsidRPr="00B63BD0" w:rsidRDefault="001D78BB">
          <w:pPr>
            <w:pStyle w:val="TOC3"/>
            <w:rPr>
              <w:noProof/>
              <w:kern w:val="2"/>
              <w:sz w:val="24"/>
              <w:szCs w:val="24"/>
              <w:lang w:eastAsia="en-AU"/>
              <w14:ligatures w14:val="standardContextual"/>
            </w:rPr>
          </w:pPr>
          <w:hyperlink w:anchor="_Toc186973688" w:history="1">
            <w:r w:rsidRPr="00B63BD0">
              <w:rPr>
                <w:rStyle w:val="Hyperlink"/>
                <w:noProof/>
              </w:rPr>
              <w:t>Multicultural media campaign advertising expenditure</w:t>
            </w:r>
            <w:r w:rsidRPr="00B63BD0">
              <w:rPr>
                <w:noProof/>
                <w:webHidden/>
              </w:rPr>
              <w:tab/>
            </w:r>
            <w:r w:rsidRPr="00B63BD0">
              <w:rPr>
                <w:noProof/>
                <w:webHidden/>
              </w:rPr>
              <w:fldChar w:fldCharType="begin"/>
            </w:r>
            <w:r w:rsidRPr="00B63BD0">
              <w:rPr>
                <w:noProof/>
                <w:webHidden/>
              </w:rPr>
              <w:instrText xml:space="preserve"> PAGEREF _Toc186973688 \h </w:instrText>
            </w:r>
            <w:r w:rsidRPr="00B63BD0">
              <w:rPr>
                <w:noProof/>
                <w:webHidden/>
              </w:rPr>
            </w:r>
            <w:r w:rsidRPr="00B63BD0">
              <w:rPr>
                <w:noProof/>
                <w:webHidden/>
              </w:rPr>
              <w:fldChar w:fldCharType="separate"/>
            </w:r>
            <w:r w:rsidR="00F8441A" w:rsidRPr="00B63BD0">
              <w:rPr>
                <w:noProof/>
                <w:webHidden/>
              </w:rPr>
              <w:t>14</w:t>
            </w:r>
            <w:r w:rsidRPr="00B63BD0">
              <w:rPr>
                <w:noProof/>
                <w:webHidden/>
              </w:rPr>
              <w:fldChar w:fldCharType="end"/>
            </w:r>
          </w:hyperlink>
        </w:p>
        <w:p w14:paraId="52CC6864" w14:textId="4245D0D7" w:rsidR="001D78BB" w:rsidRPr="00B63BD0" w:rsidRDefault="001D78BB">
          <w:pPr>
            <w:pStyle w:val="TOC1"/>
            <w:rPr>
              <w:rFonts w:asciiTheme="minorHAnsi" w:eastAsiaTheme="minorEastAsia" w:hAnsiTheme="minorHAnsi" w:cstheme="minorBidi"/>
              <w:b w:val="0"/>
              <w:noProof/>
              <w:kern w:val="2"/>
              <w:sz w:val="24"/>
              <w:szCs w:val="24"/>
              <w:lang w:eastAsia="en-AU"/>
              <w14:ligatures w14:val="standardContextual"/>
            </w:rPr>
          </w:pPr>
          <w:hyperlink w:anchor="_Toc186973689" w:history="1">
            <w:r w:rsidRPr="00B63BD0">
              <w:rPr>
                <w:rStyle w:val="Hyperlink"/>
                <w:noProof/>
              </w:rPr>
              <w:t>Government communication policies and guidelines</w:t>
            </w:r>
            <w:r w:rsidRPr="00B63BD0">
              <w:rPr>
                <w:noProof/>
                <w:webHidden/>
              </w:rPr>
              <w:tab/>
            </w:r>
            <w:r w:rsidRPr="00B63BD0">
              <w:rPr>
                <w:noProof/>
                <w:webHidden/>
              </w:rPr>
              <w:fldChar w:fldCharType="begin"/>
            </w:r>
            <w:r w:rsidRPr="00B63BD0">
              <w:rPr>
                <w:noProof/>
                <w:webHidden/>
              </w:rPr>
              <w:instrText xml:space="preserve"> PAGEREF _Toc186973689 \h </w:instrText>
            </w:r>
            <w:r w:rsidRPr="00B63BD0">
              <w:rPr>
                <w:noProof/>
                <w:webHidden/>
              </w:rPr>
            </w:r>
            <w:r w:rsidRPr="00B63BD0">
              <w:rPr>
                <w:noProof/>
                <w:webHidden/>
              </w:rPr>
              <w:fldChar w:fldCharType="separate"/>
            </w:r>
            <w:r w:rsidR="00F8441A" w:rsidRPr="00B63BD0">
              <w:rPr>
                <w:noProof/>
                <w:webHidden/>
              </w:rPr>
              <w:t>15</w:t>
            </w:r>
            <w:r w:rsidRPr="00B63BD0">
              <w:rPr>
                <w:noProof/>
                <w:webHidden/>
              </w:rPr>
              <w:fldChar w:fldCharType="end"/>
            </w:r>
          </w:hyperlink>
        </w:p>
        <w:p w14:paraId="2D1B4A14" w14:textId="06CD9375" w:rsidR="00474864" w:rsidRPr="00B63BD0" w:rsidRDefault="003E7B8D" w:rsidP="00474864">
          <w:pPr>
            <w:pStyle w:val="BodyText"/>
            <w:rPr>
              <w:noProof/>
            </w:rPr>
          </w:pPr>
          <w:r w:rsidRPr="00B63BD0">
            <w:rPr>
              <w:rFonts w:asciiTheme="majorHAnsi" w:eastAsia="Calibri" w:hAnsiTheme="majorHAnsi" w:cs="Calibri"/>
              <w:b/>
              <w:color w:val="0072CE" w:themeColor="accent1"/>
            </w:rPr>
            <w:fldChar w:fldCharType="end"/>
          </w:r>
        </w:p>
      </w:sdtContent>
    </w:sdt>
    <w:p w14:paraId="0AF5B32A" w14:textId="77777777" w:rsidR="00345BF7" w:rsidRPr="00B63BD0" w:rsidRDefault="00345BF7" w:rsidP="000A5A67">
      <w:pPr>
        <w:pStyle w:val="BodyText"/>
      </w:pPr>
    </w:p>
    <w:p w14:paraId="0EE71A31" w14:textId="77777777" w:rsidR="00281903" w:rsidRPr="00B63BD0" w:rsidRDefault="00281903" w:rsidP="00281903">
      <w:pPr>
        <w:pStyle w:val="BodyText"/>
        <w:sectPr w:rsidR="00281903" w:rsidRPr="00B63BD0" w:rsidSect="006F3B0F">
          <w:footerReference w:type="even" r:id="rId19"/>
          <w:footerReference w:type="default" r:id="rId20"/>
          <w:pgSz w:w="11906" w:h="16838" w:code="9"/>
          <w:pgMar w:top="851" w:right="851" w:bottom="851" w:left="851" w:header="397" w:footer="454" w:gutter="0"/>
          <w:pgNumType w:start="0"/>
          <w:cols w:space="708"/>
          <w:titlePg/>
          <w:docGrid w:linePitch="360"/>
        </w:sectPr>
      </w:pPr>
    </w:p>
    <w:p w14:paraId="6C323A45" w14:textId="77777777" w:rsidR="00A72153" w:rsidRPr="00B63BD0" w:rsidRDefault="00A72153" w:rsidP="000F145F">
      <w:pPr>
        <w:pStyle w:val="Heading1"/>
      </w:pPr>
      <w:bookmarkStart w:id="3" w:name="_Toc186973672"/>
      <w:r w:rsidRPr="00B63BD0">
        <w:lastRenderedPageBreak/>
        <w:t>Introduction</w:t>
      </w:r>
      <w:bookmarkEnd w:id="3"/>
    </w:p>
    <w:p w14:paraId="69F12881" w14:textId="3B886BED" w:rsidR="00B7439D" w:rsidRPr="00B63BD0" w:rsidRDefault="00A72153" w:rsidP="00B7439D">
      <w:pPr>
        <w:pStyle w:val="Introduction"/>
      </w:pPr>
      <w:r w:rsidRPr="00B63BD0">
        <w:t xml:space="preserve">This report provides an overview of Victorian Government media advertising expenditure for the period 1 July 2023 to 30 June 2024. </w:t>
      </w:r>
    </w:p>
    <w:p w14:paraId="63ABD8DE" w14:textId="3AA15E9D" w:rsidR="00B7439D" w:rsidRPr="00B63BD0" w:rsidRDefault="00A72153" w:rsidP="00B7439D">
      <w:pPr>
        <w:pStyle w:val="Heading2"/>
      </w:pPr>
      <w:bookmarkStart w:id="4" w:name="_Toc186973673"/>
      <w:bookmarkStart w:id="5" w:name="_Toc170135208"/>
      <w:r w:rsidRPr="00B63BD0">
        <w:t>Media advertising expenditure</w:t>
      </w:r>
      <w:bookmarkEnd w:id="4"/>
      <w:r w:rsidRPr="00B63BD0">
        <w:t xml:space="preserve"> </w:t>
      </w:r>
      <w:bookmarkEnd w:id="5"/>
    </w:p>
    <w:p w14:paraId="35F36BBA" w14:textId="77777777" w:rsidR="00A72153" w:rsidRPr="00B63BD0" w:rsidRDefault="00A72153" w:rsidP="000F145F">
      <w:pPr>
        <w:pStyle w:val="BodyText12ptAccessible"/>
      </w:pPr>
      <w:r w:rsidRPr="00B63BD0">
        <w:t xml:space="preserve">The Victorian Government purchases </w:t>
      </w:r>
      <w:proofErr w:type="gramStart"/>
      <w:r w:rsidRPr="00B63BD0">
        <w:t>the majority of</w:t>
      </w:r>
      <w:proofErr w:type="gramEnd"/>
      <w:r w:rsidRPr="00B63BD0">
        <w:t xml:space="preserve"> its advertising through the government’s Master Agency Media Services (MAMS) state purchase contract. </w:t>
      </w:r>
    </w:p>
    <w:p w14:paraId="56789D34" w14:textId="77777777" w:rsidR="00A72153" w:rsidRPr="00B63BD0" w:rsidRDefault="00A72153" w:rsidP="000F145F">
      <w:pPr>
        <w:pStyle w:val="BodyText12ptAccessible"/>
      </w:pPr>
      <w:r w:rsidRPr="00B63BD0">
        <w:t>The MAMS contract is managed by the Department of Government Services and covers media planning and buying on behalf of all Victorian Government public sector bodies.</w:t>
      </w:r>
    </w:p>
    <w:p w14:paraId="59AB47AC" w14:textId="5310BA67" w:rsidR="00A72153" w:rsidRPr="00B63BD0" w:rsidRDefault="00A72153" w:rsidP="000F145F">
      <w:pPr>
        <w:pStyle w:val="BodyText12ptAccessible"/>
      </w:pPr>
      <w:r w:rsidRPr="00B63BD0">
        <w:t xml:space="preserve">For more information about the MAMS contract visit the </w:t>
      </w:r>
      <w:hyperlink r:id="rId21" w:history="1">
        <w:r w:rsidRPr="00B63BD0">
          <w:rPr>
            <w:rStyle w:val="Hyperlink"/>
            <w:color w:val="0070C0"/>
            <w:u w:val="single"/>
          </w:rPr>
          <w:t>MAMS page on the Victorian Government procurement website</w:t>
        </w:r>
      </w:hyperlink>
      <w:r w:rsidRPr="00B63BD0">
        <w:t>.</w:t>
      </w:r>
    </w:p>
    <w:p w14:paraId="7CA3B221" w14:textId="77777777" w:rsidR="000F145F" w:rsidRPr="00B63BD0" w:rsidRDefault="000F145F" w:rsidP="000F145F">
      <w:pPr>
        <w:pStyle w:val="Heading2"/>
      </w:pPr>
      <w:bookmarkStart w:id="6" w:name="_Toc186973674"/>
      <w:r w:rsidRPr="00B63BD0">
        <w:t>Government advertising categories</w:t>
      </w:r>
      <w:bookmarkEnd w:id="6"/>
    </w:p>
    <w:p w14:paraId="20729AF4" w14:textId="77777777" w:rsidR="000F145F" w:rsidRPr="00B63BD0" w:rsidRDefault="000F145F" w:rsidP="005E1F84">
      <w:pPr>
        <w:pStyle w:val="BodyText12ptAccessible"/>
      </w:pPr>
      <w:r w:rsidRPr="00B63BD0">
        <w:t xml:space="preserve">The Victorian Government </w:t>
      </w:r>
      <w:hyperlink r:id="rId22" w:anchor="campaign-advertising" w:history="1">
        <w:r w:rsidRPr="00B63BD0">
          <w:rPr>
            <w:rStyle w:val="Hyperlink"/>
          </w:rPr>
          <w:t>classifies paid advertising into three categories</w:t>
        </w:r>
      </w:hyperlink>
      <w:r w:rsidRPr="00B63BD0">
        <w:t>:</w:t>
      </w:r>
    </w:p>
    <w:p w14:paraId="67AF45B3" w14:textId="77777777" w:rsidR="000F145F" w:rsidRPr="00B63BD0" w:rsidRDefault="000F145F" w:rsidP="005E1F84">
      <w:pPr>
        <w:pStyle w:val="BodyText12ptAccessible"/>
        <w:numPr>
          <w:ilvl w:val="0"/>
          <w:numId w:val="19"/>
        </w:numPr>
      </w:pPr>
      <w:r w:rsidRPr="00B63BD0">
        <w:rPr>
          <w:b/>
        </w:rPr>
        <w:t>Campaign advertising</w:t>
      </w:r>
      <w:r w:rsidRPr="00B63BD0">
        <w:t>, which is designed to inform, educate, motivate or change behaviour. It requires strategic planning of creative and media buying to achieve set objectives.</w:t>
      </w:r>
    </w:p>
    <w:p w14:paraId="4A11D3AC" w14:textId="77777777" w:rsidR="000F145F" w:rsidRPr="00B63BD0" w:rsidRDefault="000F145F" w:rsidP="005E1F84">
      <w:pPr>
        <w:pStyle w:val="BodyText12ptAccessible"/>
        <w:numPr>
          <w:ilvl w:val="0"/>
          <w:numId w:val="19"/>
        </w:numPr>
      </w:pPr>
      <w:r w:rsidRPr="00B63BD0">
        <w:rPr>
          <w:b/>
        </w:rPr>
        <w:t>Functional advertising</w:t>
      </w:r>
      <w:r w:rsidRPr="00B63BD0">
        <w:t>, which is intended to provide the public with information and is generally simple and informative and only appears for a short time. Examples include public notices, notifications of public meetings, requests for tender, enrolment notices, statutory or regulatory notices, and emergency or safety announcements.</w:t>
      </w:r>
    </w:p>
    <w:p w14:paraId="28F239B0" w14:textId="77777777" w:rsidR="000F145F" w:rsidRPr="00B63BD0" w:rsidRDefault="000F145F" w:rsidP="005E1F84">
      <w:pPr>
        <w:pStyle w:val="BodyText12ptAccessible"/>
        <w:numPr>
          <w:ilvl w:val="0"/>
          <w:numId w:val="19"/>
        </w:numPr>
      </w:pPr>
      <w:r w:rsidRPr="00B63BD0">
        <w:rPr>
          <w:b/>
        </w:rPr>
        <w:t>Recruitment advertising</w:t>
      </w:r>
      <w:r w:rsidRPr="00B63BD0">
        <w:t>, which is used to promote a specific job vacancy or a limited number of roles. Larger scale, industry-wide recruitment by government bodies – such as that undertaken by Victoria Police – is usually considered 'campaign' advertising.</w:t>
      </w:r>
    </w:p>
    <w:p w14:paraId="6F9BE45C" w14:textId="77777777" w:rsidR="000F145F" w:rsidRPr="00B63BD0" w:rsidRDefault="000F145F" w:rsidP="005E1F84">
      <w:pPr>
        <w:pStyle w:val="BodyText12ptAccessible"/>
      </w:pPr>
      <w:r w:rsidRPr="00B63BD0">
        <w:t>Collectively, functional and recruitment advertising are referred to as ‘non-campaign’ advertising.</w:t>
      </w:r>
    </w:p>
    <w:p w14:paraId="316B38F8" w14:textId="472DB7BB" w:rsidR="000F145F" w:rsidRPr="00B63BD0" w:rsidRDefault="000F145F" w:rsidP="005E1F84">
      <w:pPr>
        <w:pStyle w:val="BodyText12ptAccessible"/>
      </w:pPr>
      <w:r w:rsidRPr="00B63BD0">
        <w:t>For 2023–24, Optimum Media Direction Pty Ltd (OMD) was the government’s MAMS supplier for all campaign advertising</w:t>
      </w:r>
      <w:r w:rsidR="005E1F84" w:rsidRPr="00B63BD0">
        <w:t xml:space="preserve"> </w:t>
      </w:r>
      <w:r w:rsidRPr="00B63BD0">
        <w:t>and most ‘non-campaign</w:t>
      </w:r>
      <w:r w:rsidR="1DC40BEF" w:rsidRPr="00B63BD0">
        <w:t>’</w:t>
      </w:r>
      <w:r w:rsidRPr="00B63BD0">
        <w:t xml:space="preserve"> advertising. The expenditure figures presented in this report include expenditure data supplied by OMD.</w:t>
      </w:r>
    </w:p>
    <w:p w14:paraId="6746EB6D" w14:textId="77777777" w:rsidR="005E1F84" w:rsidRPr="00B63BD0" w:rsidRDefault="005E1F84" w:rsidP="003C38BE">
      <w:pPr>
        <w:pStyle w:val="Heading2"/>
        <w:keepNext/>
      </w:pPr>
      <w:bookmarkStart w:id="7" w:name="_Toc162453949"/>
      <w:bookmarkStart w:id="8" w:name="_Toc186973675"/>
      <w:r w:rsidRPr="00B63BD0">
        <w:lastRenderedPageBreak/>
        <w:t>Expenditure on major government campaigns</w:t>
      </w:r>
      <w:bookmarkEnd w:id="7"/>
      <w:bookmarkEnd w:id="8"/>
    </w:p>
    <w:p w14:paraId="26C29E79" w14:textId="77777777" w:rsidR="005E1F84" w:rsidRPr="00B63BD0" w:rsidRDefault="005E1F84" w:rsidP="003C38BE">
      <w:pPr>
        <w:pStyle w:val="DPCbody"/>
        <w:keepNext/>
      </w:pPr>
      <w:r w:rsidRPr="00B63BD0">
        <w:t>Each year, government departments and public bodies publish information within their annual reports about their expenditure on major advertising campaigns, as required by the relevant Financial Reporting Direction.</w:t>
      </w:r>
      <w:r w:rsidRPr="00B63BD0">
        <w:rPr>
          <w:rStyle w:val="FootnoteReference"/>
        </w:rPr>
        <w:footnoteReference w:id="2"/>
      </w:r>
      <w:r w:rsidRPr="00B63BD0">
        <w:t xml:space="preserve"> </w:t>
      </w:r>
    </w:p>
    <w:p w14:paraId="134654B0" w14:textId="494A56F4" w:rsidR="005E1F84" w:rsidRPr="00B63BD0" w:rsidRDefault="005E1F84" w:rsidP="005E1F84">
      <w:pPr>
        <w:pStyle w:val="DPCbody"/>
      </w:pPr>
      <w:r w:rsidRPr="00B63BD0">
        <w:t>For the 2023–24 financial year, departments and government bodies are required to report on advertising campaigns with a total media spend of $100,000 or greater (exclusive of GST), including:</w:t>
      </w:r>
    </w:p>
    <w:p w14:paraId="0C2B976B" w14:textId="77777777" w:rsidR="005E1F84" w:rsidRPr="00B63BD0" w:rsidRDefault="005E1F84" w:rsidP="005E1F84">
      <w:pPr>
        <w:pStyle w:val="DPCbullet1"/>
        <w:numPr>
          <w:ilvl w:val="0"/>
          <w:numId w:val="22"/>
        </w:numPr>
        <w:spacing w:after="40"/>
      </w:pPr>
      <w:r w:rsidRPr="00B63BD0">
        <w:t xml:space="preserve">the name of the advertising campaign </w:t>
      </w:r>
    </w:p>
    <w:p w14:paraId="7F5C8F2D" w14:textId="77777777" w:rsidR="005E1F84" w:rsidRPr="00B63BD0" w:rsidRDefault="005E1F84" w:rsidP="005E1F84">
      <w:pPr>
        <w:pStyle w:val="DPCbullet1"/>
        <w:numPr>
          <w:ilvl w:val="0"/>
          <w:numId w:val="22"/>
        </w:numPr>
        <w:spacing w:after="40"/>
      </w:pPr>
      <w:r w:rsidRPr="00B63BD0">
        <w:t xml:space="preserve">the start and end date of the campaign </w:t>
      </w:r>
    </w:p>
    <w:p w14:paraId="1CEDB11A" w14:textId="77777777" w:rsidR="005E1F84" w:rsidRPr="00B63BD0" w:rsidRDefault="005E1F84" w:rsidP="005E1F84">
      <w:pPr>
        <w:pStyle w:val="DPCbullet1"/>
        <w:numPr>
          <w:ilvl w:val="0"/>
          <w:numId w:val="22"/>
        </w:numPr>
        <w:spacing w:after="40"/>
      </w:pPr>
      <w:r w:rsidRPr="00B63BD0">
        <w:t>a summary of the campaign</w:t>
      </w:r>
    </w:p>
    <w:p w14:paraId="65B000BE" w14:textId="255215A7" w:rsidR="005E1F84" w:rsidRPr="00B63BD0" w:rsidRDefault="005E1F84" w:rsidP="005E1F84">
      <w:pPr>
        <w:pStyle w:val="DPCbullet1"/>
        <w:numPr>
          <w:ilvl w:val="0"/>
          <w:numId w:val="22"/>
        </w:numPr>
        <w:spacing w:after="40"/>
      </w:pPr>
      <w:r w:rsidRPr="00B63BD0">
        <w:t xml:space="preserve">details of </w:t>
      </w:r>
      <w:r w:rsidR="003418C4" w:rsidRPr="00B63BD0">
        <w:t xml:space="preserve">approved, planned and actual </w:t>
      </w:r>
      <w:r w:rsidRPr="00B63BD0">
        <w:t>campaign expenditure for the reporting period (exclusive of GST).</w:t>
      </w:r>
    </w:p>
    <w:p w14:paraId="2F4CF0A0" w14:textId="21E2021C" w:rsidR="005E1F84" w:rsidRPr="00B63BD0" w:rsidRDefault="005E1F84" w:rsidP="005E1F84">
      <w:pPr>
        <w:pStyle w:val="Heading2"/>
      </w:pPr>
      <w:bookmarkStart w:id="9" w:name="_Toc162453950"/>
      <w:bookmarkStart w:id="10" w:name="_Toc186973676"/>
      <w:r w:rsidRPr="00B63BD0">
        <w:t>Government advertising plan</w:t>
      </w:r>
      <w:r w:rsidR="003418C4" w:rsidRPr="00B63BD0">
        <w:t>s</w:t>
      </w:r>
      <w:bookmarkEnd w:id="9"/>
      <w:bookmarkEnd w:id="10"/>
    </w:p>
    <w:p w14:paraId="35B7FF2B" w14:textId="34B8A5FD" w:rsidR="005E1F84" w:rsidRPr="00B63BD0" w:rsidRDefault="005E1F84" w:rsidP="005E1F84">
      <w:pPr>
        <w:pStyle w:val="BodyText12ptAccessible"/>
      </w:pPr>
      <w:r w:rsidRPr="00B63BD0">
        <w:t xml:space="preserve">Each year the Victorian Government publishes an annual advertising plan, which provides an overview of government advertising campaigns for that year. </w:t>
      </w:r>
    </w:p>
    <w:p w14:paraId="21DF84D7" w14:textId="5F8E95E3" w:rsidR="005E1F84" w:rsidRPr="00B63BD0" w:rsidRDefault="005E1F84" w:rsidP="005E1F84">
      <w:pPr>
        <w:pStyle w:val="BodyText12ptAccessible"/>
      </w:pPr>
      <w:r w:rsidRPr="00B63BD0">
        <w:t xml:space="preserve">Victorian Government Advertising Plans are available on the </w:t>
      </w:r>
      <w:hyperlink r:id="rId23" w:history="1">
        <w:r w:rsidRPr="00B63BD0">
          <w:rPr>
            <w:rStyle w:val="Hyperlink"/>
            <w:color w:val="0070C0"/>
            <w:u w:val="single"/>
          </w:rPr>
          <w:t>vic.gov.au website</w:t>
        </w:r>
      </w:hyperlink>
      <w:r w:rsidRPr="00B63BD0">
        <w:t>.</w:t>
      </w:r>
    </w:p>
    <w:p w14:paraId="7C191F85" w14:textId="77777777" w:rsidR="005E1F84" w:rsidRPr="00B63BD0" w:rsidRDefault="005E1F84" w:rsidP="005E1F84">
      <w:pPr>
        <w:pStyle w:val="BodyText"/>
        <w:rPr>
          <w:rFonts w:ascii="VIC" w:hAnsi="VIC" w:cs="Times New Roman (Body CS)"/>
          <w:sz w:val="24"/>
          <w:szCs w:val="24"/>
          <w:lang w:eastAsia="en-US"/>
        </w:rPr>
      </w:pPr>
      <w:r w:rsidRPr="00B63BD0">
        <w:br w:type="page"/>
      </w:r>
    </w:p>
    <w:p w14:paraId="43599AA5" w14:textId="77777777" w:rsidR="000F145F" w:rsidRPr="00B63BD0" w:rsidRDefault="000F145F" w:rsidP="005E1F84">
      <w:pPr>
        <w:pStyle w:val="BodyText12ptAccessible"/>
      </w:pPr>
    </w:p>
    <w:p w14:paraId="27463186" w14:textId="19CB94DA" w:rsidR="003C38BE" w:rsidRPr="00B63BD0" w:rsidRDefault="003C38BE" w:rsidP="00FC4433">
      <w:pPr>
        <w:pStyle w:val="Heading1"/>
      </w:pPr>
      <w:bookmarkStart w:id="11" w:name="_Toc162453951"/>
      <w:bookmarkStart w:id="12" w:name="_Toc186973677"/>
      <w:r w:rsidRPr="00B63BD0">
        <w:t xml:space="preserve">Victorian Government advertising expenditure </w:t>
      </w:r>
      <w:bookmarkEnd w:id="11"/>
      <w:r w:rsidR="00FC4433" w:rsidRPr="00B63BD0">
        <w:t>2023–24</w:t>
      </w:r>
      <w:bookmarkEnd w:id="12"/>
    </w:p>
    <w:p w14:paraId="4AE6B3BA" w14:textId="06918EF4" w:rsidR="003C38BE" w:rsidRPr="00B63BD0" w:rsidRDefault="003C38BE" w:rsidP="003C38BE">
      <w:pPr>
        <w:pStyle w:val="DPCbody"/>
      </w:pPr>
      <w:r w:rsidRPr="00B63BD0">
        <w:t xml:space="preserve">The Victorian Government spent a total of </w:t>
      </w:r>
      <w:r w:rsidR="007432C2" w:rsidRPr="00B63BD0">
        <w:t xml:space="preserve">$103.2 million </w:t>
      </w:r>
      <w:r w:rsidRPr="00B63BD0">
        <w:t xml:space="preserve">on advertising from </w:t>
      </w:r>
      <w:r w:rsidRPr="00B63BD0">
        <w:br/>
        <w:t xml:space="preserve">1 July </w:t>
      </w:r>
      <w:r w:rsidR="00CB019E" w:rsidRPr="00B63BD0">
        <w:t xml:space="preserve">2023 </w:t>
      </w:r>
      <w:r w:rsidRPr="00B63BD0">
        <w:t xml:space="preserve">to 30 June </w:t>
      </w:r>
      <w:r w:rsidR="00CB019E" w:rsidRPr="00B63BD0">
        <w:t>2024</w:t>
      </w:r>
      <w:r w:rsidRPr="00B63BD0">
        <w:t xml:space="preserve">, comprising campaign and non-campaign advertising. </w:t>
      </w:r>
    </w:p>
    <w:p w14:paraId="0F89BC71" w14:textId="381AF4FA" w:rsidR="003C38BE" w:rsidRPr="00B63BD0" w:rsidRDefault="003C38BE" w:rsidP="003C38BE">
      <w:pPr>
        <w:pStyle w:val="DPCbody"/>
      </w:pPr>
      <w:r w:rsidRPr="00B63BD0">
        <w:t xml:space="preserve">Total government advertising expenditure for </w:t>
      </w:r>
      <w:r w:rsidR="00CB019E" w:rsidRPr="00B63BD0">
        <w:t xml:space="preserve">2023–24 </w:t>
      </w:r>
      <w:r w:rsidRPr="00B63BD0">
        <w:t>and previous years is shown in the chart below.</w:t>
      </w:r>
    </w:p>
    <w:p w14:paraId="08C9CCC5" w14:textId="77777777" w:rsidR="00FC4433" w:rsidRPr="00B63BD0" w:rsidRDefault="00CB019E" w:rsidP="00FC4433">
      <w:pPr>
        <w:pStyle w:val="DPCbody"/>
      </w:pPr>
      <w:r w:rsidRPr="00B63BD0">
        <w:rPr>
          <w:noProof/>
        </w:rPr>
        <w:drawing>
          <wp:inline distT="0" distB="0" distL="0" distR="0" wp14:anchorId="573FFF16" wp14:editId="6C6A6313">
            <wp:extent cx="6476365" cy="5276850"/>
            <wp:effectExtent l="0" t="0" r="63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2E8842D" w14:textId="77777777" w:rsidR="00FC4433" w:rsidRPr="00B63BD0" w:rsidRDefault="00FC4433" w:rsidP="00FC4433">
      <w:pPr>
        <w:pStyle w:val="BodyText"/>
        <w:rPr>
          <w:rFonts w:eastAsia="Times" w:cs="Arial"/>
          <w:sz w:val="24"/>
          <w:szCs w:val="22"/>
          <w:lang w:eastAsia="en-US"/>
        </w:rPr>
      </w:pPr>
      <w:r w:rsidRPr="00B63BD0">
        <w:br w:type="page"/>
      </w:r>
    </w:p>
    <w:p w14:paraId="2A2E4944" w14:textId="707ABF41" w:rsidR="00FC4433" w:rsidRPr="00B63BD0" w:rsidRDefault="00FC4433" w:rsidP="00FC4433">
      <w:pPr>
        <w:pStyle w:val="Heading2"/>
        <w:spacing w:after="240"/>
      </w:pPr>
      <w:bookmarkStart w:id="13" w:name="_Toc162453952"/>
      <w:bookmarkStart w:id="14" w:name="_Toc186973678"/>
      <w:r w:rsidRPr="00B63BD0">
        <w:lastRenderedPageBreak/>
        <w:t xml:space="preserve">Total advertising expenditure by category – </w:t>
      </w:r>
      <w:bookmarkEnd w:id="13"/>
      <w:r w:rsidRPr="00B63BD0">
        <w:t>2023–24</w:t>
      </w:r>
      <w:bookmarkEnd w:id="14"/>
    </w:p>
    <w:p w14:paraId="6B5934CA" w14:textId="3C1DC1B1" w:rsidR="00FC4433" w:rsidRPr="00B63BD0" w:rsidRDefault="00FC4433" w:rsidP="00FC4433">
      <w:pPr>
        <w:pStyle w:val="BodyText12ptAccessible"/>
      </w:pPr>
      <w:r w:rsidRPr="00B63BD0">
        <w:t xml:space="preserve">Campaign advertising accounted for </w:t>
      </w:r>
      <w:r w:rsidR="00F63A35" w:rsidRPr="00B63BD0">
        <w:t xml:space="preserve">79 </w:t>
      </w:r>
      <w:r w:rsidRPr="00B63BD0">
        <w:t xml:space="preserve">per cent of Victorian Government advertising expenditure in 2023–24. </w:t>
      </w:r>
    </w:p>
    <w:p w14:paraId="72B7A3C6" w14:textId="7A51618F" w:rsidR="00FC4433" w:rsidRPr="00B63BD0" w:rsidRDefault="00FC4433" w:rsidP="00FC4433">
      <w:pPr>
        <w:pStyle w:val="BodyText12ptAccessible"/>
      </w:pPr>
      <w:r w:rsidRPr="00B63BD0">
        <w:t xml:space="preserve">Non-campaign advertising, comprising functional and recruitment advertising, accounted for the remaining </w:t>
      </w:r>
      <w:r w:rsidR="00F63A35" w:rsidRPr="00B63BD0">
        <w:t xml:space="preserve">21 </w:t>
      </w:r>
      <w:r w:rsidRPr="00B63BD0">
        <w:t xml:space="preserve">per cent of advertising expenditure for the year. </w:t>
      </w:r>
    </w:p>
    <w:p w14:paraId="43460828" w14:textId="3F922791" w:rsidR="002C7C06" w:rsidRPr="00B63BD0" w:rsidRDefault="00F63A35" w:rsidP="002C7C06">
      <w:pPr>
        <w:pStyle w:val="Heading2"/>
      </w:pPr>
      <w:bookmarkStart w:id="15" w:name="_Toc186973679"/>
      <w:r w:rsidRPr="00B63BD0">
        <w:rPr>
          <w:noProof/>
        </w:rPr>
        <w:drawing>
          <wp:inline distT="0" distB="0" distL="0" distR="0" wp14:anchorId="0FA39811" wp14:editId="16D7049C">
            <wp:extent cx="6409055" cy="65151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FC4433" w:rsidRPr="00B63BD0">
        <w:br w:type="page"/>
      </w:r>
      <w:bookmarkStart w:id="16" w:name="_Toc162453953"/>
      <w:r w:rsidR="002C7C06" w:rsidRPr="00B63BD0">
        <w:lastRenderedPageBreak/>
        <w:t xml:space="preserve">Victorian Government advertising expenditure by departments and agencies – </w:t>
      </w:r>
      <w:bookmarkEnd w:id="16"/>
      <w:r w:rsidR="002C7C06" w:rsidRPr="00B63BD0">
        <w:t>2023–24</w:t>
      </w:r>
      <w:bookmarkEnd w:id="15"/>
    </w:p>
    <w:p w14:paraId="70B3C025" w14:textId="39CBB68D" w:rsidR="002C7C06" w:rsidRPr="00B63BD0" w:rsidRDefault="002C7C06" w:rsidP="002C7C06">
      <w:pPr>
        <w:pStyle w:val="DPCbody"/>
        <w:rPr>
          <w:bCs/>
          <w:iCs/>
        </w:rPr>
      </w:pPr>
      <w:r w:rsidRPr="00B63BD0">
        <w:t xml:space="preserve">The chart below shows Victorian Government expenditure by government departments and government agencies, as a percentage of total advertising expenditure for the 2023–24 financial year (comprising campaign, functional, and recruitment advertising). </w:t>
      </w:r>
    </w:p>
    <w:p w14:paraId="3ADF2E92" w14:textId="38D60EE2" w:rsidR="002C7C06" w:rsidRPr="00B63BD0" w:rsidRDefault="002C7C06" w:rsidP="002C7C06">
      <w:pPr>
        <w:pStyle w:val="DPCbody"/>
      </w:pPr>
      <w:r w:rsidRPr="00B63BD0">
        <w:t xml:space="preserve">In 2023–24, government agencies (such as Visit Victoria, the Transport Accident Commission and WorkSafe Victoria) accounted for </w:t>
      </w:r>
      <w:r w:rsidR="005913ED" w:rsidRPr="00B63BD0">
        <w:t>70</w:t>
      </w:r>
      <w:r w:rsidRPr="00B63BD0">
        <w:t xml:space="preserve"> per cent of total government advertising expenditure, while government departments (such as the Department of Education) accounted for </w:t>
      </w:r>
      <w:r w:rsidR="006A61BA" w:rsidRPr="00B63BD0">
        <w:t>30</w:t>
      </w:r>
      <w:r w:rsidRPr="00B63BD0">
        <w:t xml:space="preserve"> per cent of advertising expenditure.</w:t>
      </w:r>
    </w:p>
    <w:p w14:paraId="37B88184" w14:textId="567BE74E" w:rsidR="00FC4433" w:rsidRPr="00B63BD0" w:rsidRDefault="0065383F" w:rsidP="00604728">
      <w:pPr>
        <w:pStyle w:val="DPCbody"/>
      </w:pPr>
      <w:r w:rsidRPr="00B63BD0">
        <w:rPr>
          <w:noProof/>
        </w:rPr>
        <w:drawing>
          <wp:inline distT="0" distB="0" distL="0" distR="0" wp14:anchorId="3D873E4D" wp14:editId="26A70E05">
            <wp:extent cx="6409055" cy="6515100"/>
            <wp:effectExtent l="0" t="0" r="0" b="0"/>
            <wp:docPr id="1196496979" name="Chart 119649697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FC4433" w:rsidRPr="00B63BD0">
        <w:br w:type="page"/>
      </w:r>
    </w:p>
    <w:p w14:paraId="5031F3DC" w14:textId="5F8BC855" w:rsidR="00604728" w:rsidRPr="00B63BD0" w:rsidRDefault="00604728" w:rsidP="00604728">
      <w:pPr>
        <w:pStyle w:val="Heading2"/>
      </w:pPr>
      <w:bookmarkStart w:id="17" w:name="_Toc162453954"/>
      <w:bookmarkStart w:id="18" w:name="_Toc186973680"/>
      <w:r w:rsidRPr="00B63BD0">
        <w:lastRenderedPageBreak/>
        <w:t xml:space="preserve">Top 10 Victorian Government advertisers by campaign expenditure – </w:t>
      </w:r>
      <w:bookmarkEnd w:id="17"/>
      <w:r w:rsidRPr="00B63BD0">
        <w:t>2023–24</w:t>
      </w:r>
      <w:bookmarkEnd w:id="18"/>
    </w:p>
    <w:tbl>
      <w:tblPr>
        <w:tblStyle w:val="LightShading-Accent1"/>
        <w:tblW w:w="4824" w:type="pct"/>
        <w:tblBorders>
          <w:top w:val="none" w:sz="0" w:space="0" w:color="auto"/>
          <w:bottom w:val="none" w:sz="0" w:space="0" w:color="auto"/>
        </w:tblBorders>
        <w:tblLayout w:type="fixed"/>
        <w:tblLook w:val="0660" w:firstRow="1" w:lastRow="1" w:firstColumn="0" w:lastColumn="0" w:noHBand="1" w:noVBand="1"/>
      </w:tblPr>
      <w:tblGrid>
        <w:gridCol w:w="934"/>
        <w:gridCol w:w="2022"/>
        <w:gridCol w:w="4987"/>
        <w:gridCol w:w="1902"/>
      </w:tblGrid>
      <w:tr w:rsidR="00604728" w:rsidRPr="00B63BD0" w14:paraId="4516F2B4" w14:textId="77777777" w:rsidTr="00020EAE">
        <w:trPr>
          <w:cnfStyle w:val="100000000000" w:firstRow="1" w:lastRow="0" w:firstColumn="0" w:lastColumn="0" w:oddVBand="0" w:evenVBand="0" w:oddHBand="0" w:evenHBand="0" w:firstRowFirstColumn="0" w:firstRowLastColumn="0" w:lastRowFirstColumn="0" w:lastRowLastColumn="0"/>
          <w:cantSplit/>
          <w:trHeight w:val="434"/>
        </w:trPr>
        <w:tc>
          <w:tcPr>
            <w:tcW w:w="474" w:type="pct"/>
          </w:tcPr>
          <w:p w14:paraId="27651039" w14:textId="77777777" w:rsidR="00604728" w:rsidRPr="00B63BD0" w:rsidRDefault="00604728" w:rsidP="008678E5">
            <w:pPr>
              <w:pStyle w:val="DPCtablecolhead"/>
              <w:jc w:val="both"/>
              <w:rPr>
                <w:b/>
                <w:bCs w:val="0"/>
                <w:color w:val="auto"/>
                <w:sz w:val="24"/>
                <w:szCs w:val="24"/>
                <w:lang w:val="en-AU"/>
              </w:rPr>
            </w:pPr>
            <w:r w:rsidRPr="00B63BD0">
              <w:rPr>
                <w:b/>
                <w:bCs w:val="0"/>
                <w:color w:val="auto"/>
                <w:sz w:val="24"/>
                <w:szCs w:val="24"/>
                <w:lang w:val="en-AU"/>
              </w:rPr>
              <w:t>Rank</w:t>
            </w:r>
          </w:p>
        </w:tc>
        <w:tc>
          <w:tcPr>
            <w:tcW w:w="1027" w:type="pct"/>
          </w:tcPr>
          <w:p w14:paraId="6B2C1141" w14:textId="77777777" w:rsidR="00604728" w:rsidRPr="00B63BD0" w:rsidRDefault="00604728" w:rsidP="008678E5">
            <w:pPr>
              <w:pStyle w:val="DPCtablecolhead"/>
              <w:jc w:val="both"/>
              <w:rPr>
                <w:b/>
                <w:bCs w:val="0"/>
                <w:color w:val="auto"/>
                <w:sz w:val="24"/>
                <w:szCs w:val="24"/>
                <w:lang w:val="en-AU"/>
              </w:rPr>
            </w:pPr>
            <w:r w:rsidRPr="00B63BD0">
              <w:rPr>
                <w:b/>
                <w:bCs w:val="0"/>
                <w:color w:val="auto"/>
                <w:sz w:val="24"/>
                <w:szCs w:val="24"/>
                <w:lang w:val="en-AU"/>
              </w:rPr>
              <w:t>Advertiser</w:t>
            </w:r>
          </w:p>
        </w:tc>
        <w:tc>
          <w:tcPr>
            <w:tcW w:w="2533" w:type="pct"/>
          </w:tcPr>
          <w:p w14:paraId="149ECD72" w14:textId="77777777" w:rsidR="00604728" w:rsidRPr="00B63BD0" w:rsidRDefault="00604728" w:rsidP="008678E5">
            <w:pPr>
              <w:pStyle w:val="DPCtablecolhead"/>
              <w:jc w:val="both"/>
              <w:rPr>
                <w:b/>
                <w:bCs w:val="0"/>
                <w:color w:val="auto"/>
                <w:sz w:val="24"/>
                <w:szCs w:val="24"/>
                <w:lang w:val="en-AU"/>
              </w:rPr>
            </w:pPr>
            <w:r w:rsidRPr="00B63BD0">
              <w:rPr>
                <w:b/>
                <w:bCs w:val="0"/>
                <w:color w:val="auto"/>
                <w:sz w:val="24"/>
                <w:szCs w:val="24"/>
                <w:lang w:val="en-AU"/>
              </w:rPr>
              <w:t>Example campaigns</w:t>
            </w:r>
          </w:p>
        </w:tc>
        <w:tc>
          <w:tcPr>
            <w:tcW w:w="966" w:type="pct"/>
          </w:tcPr>
          <w:p w14:paraId="2B3C585F" w14:textId="77777777" w:rsidR="00604728" w:rsidRPr="00B63BD0" w:rsidRDefault="00604728" w:rsidP="008678E5">
            <w:pPr>
              <w:pStyle w:val="DPCtablecolhead"/>
              <w:jc w:val="both"/>
              <w:rPr>
                <w:b/>
                <w:bCs w:val="0"/>
                <w:color w:val="auto"/>
                <w:sz w:val="24"/>
                <w:szCs w:val="24"/>
                <w:lang w:val="en-AU"/>
              </w:rPr>
            </w:pPr>
            <w:r w:rsidRPr="00B63BD0">
              <w:rPr>
                <w:b/>
                <w:bCs w:val="0"/>
                <w:color w:val="auto"/>
                <w:sz w:val="24"/>
                <w:szCs w:val="24"/>
                <w:lang w:val="en-AU"/>
              </w:rPr>
              <w:t>Advertising expenditure (ex. GST)</w:t>
            </w:r>
          </w:p>
        </w:tc>
      </w:tr>
      <w:tr w:rsidR="00574A3D" w:rsidRPr="00B63BD0" w14:paraId="0203E601" w14:textId="77777777" w:rsidTr="00020EAE">
        <w:trPr>
          <w:cantSplit/>
        </w:trPr>
        <w:tc>
          <w:tcPr>
            <w:tcW w:w="474" w:type="pct"/>
            <w:tcBorders>
              <w:top w:val="single" w:sz="8" w:space="0" w:color="0072CE" w:themeColor="accent1"/>
              <w:bottom w:val="single" w:sz="4" w:space="0" w:color="auto"/>
            </w:tcBorders>
          </w:tcPr>
          <w:p w14:paraId="1C69B417" w14:textId="77777777" w:rsidR="00574A3D" w:rsidRPr="00B63BD0" w:rsidRDefault="00574A3D" w:rsidP="00574A3D">
            <w:pPr>
              <w:pStyle w:val="DPCtabletext"/>
              <w:rPr>
                <w:lang w:val="en-AU"/>
              </w:rPr>
            </w:pPr>
            <w:r w:rsidRPr="00B63BD0">
              <w:rPr>
                <w:lang w:val="en-AU"/>
              </w:rPr>
              <w:t>1</w:t>
            </w:r>
          </w:p>
        </w:tc>
        <w:tc>
          <w:tcPr>
            <w:tcW w:w="1027" w:type="pct"/>
            <w:tcBorders>
              <w:top w:val="single" w:sz="8" w:space="0" w:color="0072CE" w:themeColor="accent1"/>
              <w:bottom w:val="single" w:sz="4" w:space="0" w:color="auto"/>
            </w:tcBorders>
          </w:tcPr>
          <w:p w14:paraId="1E2EA1E3" w14:textId="7C0CE761" w:rsidR="00574A3D" w:rsidRPr="00B63BD0" w:rsidRDefault="00574A3D" w:rsidP="00574A3D">
            <w:pPr>
              <w:pStyle w:val="DPCtabletext"/>
              <w:rPr>
                <w:lang w:val="en-AU"/>
              </w:rPr>
            </w:pPr>
            <w:r w:rsidRPr="00B63BD0">
              <w:t>TAC</w:t>
            </w:r>
          </w:p>
        </w:tc>
        <w:tc>
          <w:tcPr>
            <w:tcW w:w="2533" w:type="pct"/>
            <w:tcBorders>
              <w:top w:val="single" w:sz="8" w:space="0" w:color="0072CE" w:themeColor="accent1"/>
              <w:bottom w:val="single" w:sz="4" w:space="0" w:color="auto"/>
            </w:tcBorders>
          </w:tcPr>
          <w:p w14:paraId="0143FD5D" w14:textId="77777777" w:rsidR="00F64F97" w:rsidRPr="00B63BD0" w:rsidRDefault="00574A3D" w:rsidP="00574A3D">
            <w:pPr>
              <w:pStyle w:val="DPCtabletext"/>
            </w:pPr>
            <w:r w:rsidRPr="00B63BD0">
              <w:rPr>
                <w:lang w:val="en-AU"/>
              </w:rPr>
              <w:t xml:space="preserve">TAC undertakes significant road safety campaigns in conjunction with </w:t>
            </w:r>
            <w:r w:rsidRPr="00B63BD0">
              <w:t xml:space="preserve">media partners across TV, radio, digital and targeted multicultural and sports media channels. Also includes a significant partnership with out-of-home (OOH) media suppliers </w:t>
            </w:r>
            <w:r w:rsidRPr="00B63BD0">
              <w:rPr>
                <w:szCs w:val="20"/>
                <w:lang w:val="en-AU"/>
              </w:rPr>
              <w:t>across Victoria to</w:t>
            </w:r>
            <w:r w:rsidRPr="00B63BD0">
              <w:t xml:space="preserve"> reach drivers while on the road. </w:t>
            </w:r>
          </w:p>
          <w:p w14:paraId="7E053889" w14:textId="474D7310" w:rsidR="00574A3D" w:rsidRPr="00B63BD0" w:rsidRDefault="00574A3D" w:rsidP="00574A3D">
            <w:pPr>
              <w:pStyle w:val="DPCtabletext"/>
              <w:rPr>
                <w:lang w:val="en-AU"/>
              </w:rPr>
            </w:pPr>
            <w:r w:rsidRPr="00B63BD0">
              <w:t xml:space="preserve">Specific </w:t>
            </w:r>
            <w:r w:rsidR="00F64F97" w:rsidRPr="00B63BD0">
              <w:t xml:space="preserve">2023–24 </w:t>
            </w:r>
            <w:r w:rsidRPr="00B63BD0">
              <w:t xml:space="preserve">campaigns targeted </w:t>
            </w:r>
            <w:r w:rsidR="00F64F97" w:rsidRPr="00B63BD0">
              <w:t xml:space="preserve">dangerous driving </w:t>
            </w:r>
            <w:r w:rsidR="00F64F97" w:rsidRPr="00B63BD0">
              <w:rPr>
                <w:lang w:val="en-AU"/>
              </w:rPr>
              <w:t>behaviours</w:t>
            </w:r>
            <w:r w:rsidR="00F64F97" w:rsidRPr="00B63BD0">
              <w:t xml:space="preserve"> such as speeding, distracted driving, and drink and drug driving, and </w:t>
            </w:r>
            <w:r w:rsidRPr="00B63BD0">
              <w:t>motorcycle safety</w:t>
            </w:r>
            <w:r w:rsidR="00F64F97" w:rsidRPr="00B63BD0">
              <w:t xml:space="preserve">. </w:t>
            </w:r>
            <w:r w:rsidRPr="00B63BD0">
              <w:t xml:space="preserve"> </w:t>
            </w:r>
          </w:p>
        </w:tc>
        <w:tc>
          <w:tcPr>
            <w:tcW w:w="966" w:type="pct"/>
            <w:tcBorders>
              <w:top w:val="single" w:sz="8" w:space="0" w:color="0072CE" w:themeColor="accent1"/>
              <w:bottom w:val="single" w:sz="4" w:space="0" w:color="auto"/>
            </w:tcBorders>
          </w:tcPr>
          <w:p w14:paraId="2956CD04" w14:textId="664398A2" w:rsidR="00574A3D" w:rsidRPr="00B63BD0" w:rsidRDefault="00574A3D" w:rsidP="00574A3D">
            <w:pPr>
              <w:pStyle w:val="DPCtabletext"/>
              <w:jc w:val="right"/>
              <w:rPr>
                <w:rFonts w:cstheme="minorHAnsi"/>
                <w:szCs w:val="24"/>
                <w:lang w:val="en-AU"/>
              </w:rPr>
            </w:pPr>
            <w:r w:rsidRPr="00B63BD0">
              <w:t xml:space="preserve"> $14,995,593 </w:t>
            </w:r>
          </w:p>
        </w:tc>
      </w:tr>
      <w:tr w:rsidR="00574A3D" w:rsidRPr="00B63BD0" w14:paraId="3F61D2BB" w14:textId="77777777" w:rsidTr="00020EAE">
        <w:trPr>
          <w:cantSplit/>
        </w:trPr>
        <w:tc>
          <w:tcPr>
            <w:tcW w:w="474" w:type="pct"/>
            <w:tcBorders>
              <w:top w:val="single" w:sz="8" w:space="0" w:color="0072CE" w:themeColor="accent1"/>
              <w:bottom w:val="single" w:sz="4" w:space="0" w:color="auto"/>
            </w:tcBorders>
          </w:tcPr>
          <w:p w14:paraId="6A9B55C7" w14:textId="77777777" w:rsidR="00574A3D" w:rsidRPr="00B63BD0" w:rsidRDefault="00574A3D" w:rsidP="00574A3D">
            <w:pPr>
              <w:pStyle w:val="DPCtabletext"/>
            </w:pPr>
            <w:r w:rsidRPr="00B63BD0">
              <w:t>2</w:t>
            </w:r>
          </w:p>
        </w:tc>
        <w:tc>
          <w:tcPr>
            <w:tcW w:w="1027" w:type="pct"/>
            <w:tcBorders>
              <w:top w:val="single" w:sz="8" w:space="0" w:color="0072CE" w:themeColor="accent1"/>
              <w:bottom w:val="single" w:sz="4" w:space="0" w:color="auto"/>
            </w:tcBorders>
          </w:tcPr>
          <w:p w14:paraId="6436B3F2" w14:textId="4DA2C182" w:rsidR="00574A3D" w:rsidRPr="00B63BD0" w:rsidRDefault="00574A3D" w:rsidP="00574A3D">
            <w:pPr>
              <w:pStyle w:val="DPCtabletext"/>
            </w:pPr>
            <w:r w:rsidRPr="00B63BD0">
              <w:t>Visit Victoria</w:t>
            </w:r>
          </w:p>
        </w:tc>
        <w:tc>
          <w:tcPr>
            <w:tcW w:w="2533" w:type="pct"/>
            <w:tcBorders>
              <w:top w:val="single" w:sz="8" w:space="0" w:color="0072CE" w:themeColor="accent1"/>
              <w:bottom w:val="single" w:sz="4" w:space="0" w:color="auto"/>
            </w:tcBorders>
          </w:tcPr>
          <w:p w14:paraId="21A2370A" w14:textId="6806F709" w:rsidR="00574A3D" w:rsidRPr="00B63BD0" w:rsidRDefault="00574A3D" w:rsidP="00574A3D">
            <w:pPr>
              <w:pStyle w:val="DPCtabletext"/>
              <w:rPr>
                <w:lang w:val="en-AU"/>
              </w:rPr>
            </w:pPr>
            <w:r w:rsidRPr="00B63BD0">
              <w:rPr>
                <w:lang w:val="en-AU"/>
              </w:rPr>
              <w:t xml:space="preserve">Major campaigns to support the Victorian tourism sector, including the </w:t>
            </w:r>
            <w:r w:rsidR="00F64F97" w:rsidRPr="00B63BD0">
              <w:rPr>
                <w:lang w:val="en-AU"/>
              </w:rPr>
              <w:t xml:space="preserve">major new </w:t>
            </w:r>
            <w:r w:rsidRPr="00B63BD0">
              <w:rPr>
                <w:lang w:val="en-AU"/>
              </w:rPr>
              <w:t>‘</w:t>
            </w:r>
            <w:r w:rsidR="00F64F97" w:rsidRPr="00B63BD0">
              <w:rPr>
                <w:lang w:val="en-AU"/>
              </w:rPr>
              <w:t xml:space="preserve">Victoria/Melbourne: Every Bit Different’ campaign, promoting Melbourne and </w:t>
            </w:r>
            <w:r w:rsidRPr="00B63BD0">
              <w:rPr>
                <w:lang w:val="en-AU"/>
              </w:rPr>
              <w:t>regional Victoria</w:t>
            </w:r>
            <w:r w:rsidR="00F64F97" w:rsidRPr="00B63BD0">
              <w:rPr>
                <w:lang w:val="en-AU"/>
              </w:rPr>
              <w:t xml:space="preserve"> to local and interstate audiences. </w:t>
            </w:r>
          </w:p>
        </w:tc>
        <w:tc>
          <w:tcPr>
            <w:tcW w:w="966" w:type="pct"/>
            <w:tcBorders>
              <w:top w:val="single" w:sz="8" w:space="0" w:color="0072CE" w:themeColor="accent1"/>
              <w:bottom w:val="single" w:sz="4" w:space="0" w:color="auto"/>
            </w:tcBorders>
          </w:tcPr>
          <w:p w14:paraId="6726323A" w14:textId="4A43722A" w:rsidR="00574A3D" w:rsidRPr="00B63BD0" w:rsidRDefault="00574A3D" w:rsidP="00574A3D">
            <w:pPr>
              <w:pStyle w:val="DPCtabletext"/>
              <w:jc w:val="right"/>
              <w:rPr>
                <w:rFonts w:cstheme="minorHAnsi"/>
                <w:szCs w:val="24"/>
              </w:rPr>
            </w:pPr>
            <w:r w:rsidRPr="00B63BD0">
              <w:t xml:space="preserve"> $12,859,868 </w:t>
            </w:r>
          </w:p>
        </w:tc>
      </w:tr>
      <w:tr w:rsidR="00574A3D" w:rsidRPr="00B63BD0" w14:paraId="7A059179" w14:textId="77777777" w:rsidTr="00020EAE">
        <w:trPr>
          <w:cantSplit/>
        </w:trPr>
        <w:tc>
          <w:tcPr>
            <w:tcW w:w="474" w:type="pct"/>
            <w:tcBorders>
              <w:top w:val="single" w:sz="8" w:space="0" w:color="0072CE" w:themeColor="accent1"/>
              <w:bottom w:val="single" w:sz="4" w:space="0" w:color="auto"/>
            </w:tcBorders>
          </w:tcPr>
          <w:p w14:paraId="26DE2CD9" w14:textId="77777777" w:rsidR="00574A3D" w:rsidRPr="00B63BD0" w:rsidRDefault="00574A3D" w:rsidP="00574A3D">
            <w:pPr>
              <w:pStyle w:val="DPCtabletext"/>
              <w:rPr>
                <w:lang w:val="en-AU"/>
              </w:rPr>
            </w:pPr>
            <w:r w:rsidRPr="00B63BD0">
              <w:rPr>
                <w:lang w:val="en-AU"/>
              </w:rPr>
              <w:t>3</w:t>
            </w:r>
          </w:p>
        </w:tc>
        <w:tc>
          <w:tcPr>
            <w:tcW w:w="1027" w:type="pct"/>
            <w:tcBorders>
              <w:top w:val="single" w:sz="8" w:space="0" w:color="0072CE" w:themeColor="accent1"/>
              <w:bottom w:val="single" w:sz="4" w:space="0" w:color="auto"/>
            </w:tcBorders>
          </w:tcPr>
          <w:p w14:paraId="346B3D4D" w14:textId="72031699" w:rsidR="00574A3D" w:rsidRPr="00B63BD0" w:rsidRDefault="004125ED" w:rsidP="00574A3D">
            <w:pPr>
              <w:pStyle w:val="DPCtabletext"/>
              <w:rPr>
                <w:lang w:val="en-AU"/>
              </w:rPr>
            </w:pPr>
            <w:r w:rsidRPr="00B63BD0">
              <w:t>Department of Justice and Community Safety</w:t>
            </w:r>
          </w:p>
        </w:tc>
        <w:tc>
          <w:tcPr>
            <w:tcW w:w="2533" w:type="pct"/>
            <w:tcBorders>
              <w:top w:val="single" w:sz="8" w:space="0" w:color="0072CE" w:themeColor="accent1"/>
              <w:bottom w:val="single" w:sz="4" w:space="0" w:color="auto"/>
            </w:tcBorders>
          </w:tcPr>
          <w:p w14:paraId="111B7CDB" w14:textId="03BE046E" w:rsidR="00574A3D" w:rsidRPr="00B63BD0" w:rsidRDefault="00574A3D" w:rsidP="00574A3D">
            <w:pPr>
              <w:pStyle w:val="DPCtabletext"/>
              <w:rPr>
                <w:lang w:val="en-AU"/>
              </w:rPr>
            </w:pPr>
            <w:r w:rsidRPr="00B63BD0">
              <w:rPr>
                <w:lang w:val="en-AU"/>
              </w:rPr>
              <w:t xml:space="preserve">Included major seasonal campaigns to improve community understanding of fire and fire risk, </w:t>
            </w:r>
            <w:r w:rsidR="00F64F97" w:rsidRPr="00B63BD0">
              <w:rPr>
                <w:lang w:val="en-AU"/>
              </w:rPr>
              <w:t xml:space="preserve">including the </w:t>
            </w:r>
            <w:r w:rsidRPr="00B63BD0">
              <w:rPr>
                <w:lang w:val="en-AU"/>
              </w:rPr>
              <w:t xml:space="preserve">Fire Danger Rating System, and increase water safety and reduce drowning incidents. Also undertook a </w:t>
            </w:r>
            <w:r w:rsidRPr="00B63BD0">
              <w:t xml:space="preserve">recruitment campaign to attract </w:t>
            </w:r>
            <w:r w:rsidRPr="00B63BD0">
              <w:rPr>
                <w:lang w:val="en-AU"/>
              </w:rPr>
              <w:t xml:space="preserve">applicants to </w:t>
            </w:r>
            <w:r w:rsidRPr="00B63BD0">
              <w:t xml:space="preserve">careers in </w:t>
            </w:r>
            <w:r w:rsidR="00F64F97" w:rsidRPr="00B63BD0">
              <w:t xml:space="preserve">corrections and </w:t>
            </w:r>
            <w:r w:rsidRPr="00B63BD0">
              <w:t xml:space="preserve">youth justice. </w:t>
            </w:r>
            <w:r w:rsidRPr="00B63BD0" w:rsidDel="004A4027">
              <w:rPr>
                <w:lang w:val="en-AU"/>
              </w:rPr>
              <w:t xml:space="preserve"> </w:t>
            </w:r>
          </w:p>
        </w:tc>
        <w:tc>
          <w:tcPr>
            <w:tcW w:w="966" w:type="pct"/>
            <w:tcBorders>
              <w:top w:val="single" w:sz="8" w:space="0" w:color="0072CE" w:themeColor="accent1"/>
              <w:bottom w:val="single" w:sz="4" w:space="0" w:color="auto"/>
            </w:tcBorders>
          </w:tcPr>
          <w:p w14:paraId="669194C7" w14:textId="187FA401" w:rsidR="00574A3D" w:rsidRPr="00B63BD0" w:rsidRDefault="00574A3D" w:rsidP="00574A3D">
            <w:pPr>
              <w:pStyle w:val="DPCtabletext"/>
              <w:jc w:val="right"/>
              <w:rPr>
                <w:rFonts w:cstheme="minorHAnsi"/>
                <w:szCs w:val="24"/>
                <w:lang w:val="en-AU"/>
              </w:rPr>
            </w:pPr>
            <w:r w:rsidRPr="00B63BD0">
              <w:t xml:space="preserve"> $5,955,681 </w:t>
            </w:r>
          </w:p>
        </w:tc>
      </w:tr>
      <w:tr w:rsidR="00574A3D" w:rsidRPr="00B63BD0" w14:paraId="08E85A0E" w14:textId="77777777" w:rsidTr="00020EAE">
        <w:trPr>
          <w:cantSplit/>
        </w:trPr>
        <w:tc>
          <w:tcPr>
            <w:tcW w:w="474" w:type="pct"/>
            <w:tcBorders>
              <w:top w:val="single" w:sz="8" w:space="0" w:color="0072CE" w:themeColor="accent1"/>
              <w:bottom w:val="single" w:sz="4" w:space="0" w:color="auto"/>
            </w:tcBorders>
          </w:tcPr>
          <w:p w14:paraId="42AAC079" w14:textId="77777777" w:rsidR="00574A3D" w:rsidRPr="00B63BD0" w:rsidRDefault="00574A3D" w:rsidP="00574A3D">
            <w:pPr>
              <w:pStyle w:val="DPCtabletext"/>
              <w:rPr>
                <w:lang w:val="en-AU"/>
              </w:rPr>
            </w:pPr>
            <w:r w:rsidRPr="00B63BD0">
              <w:rPr>
                <w:lang w:val="en-AU"/>
              </w:rPr>
              <w:lastRenderedPageBreak/>
              <w:t>4</w:t>
            </w:r>
          </w:p>
        </w:tc>
        <w:tc>
          <w:tcPr>
            <w:tcW w:w="1027" w:type="pct"/>
            <w:tcBorders>
              <w:top w:val="single" w:sz="8" w:space="0" w:color="0072CE" w:themeColor="accent1"/>
              <w:bottom w:val="single" w:sz="4" w:space="0" w:color="auto"/>
            </w:tcBorders>
          </w:tcPr>
          <w:p w14:paraId="2BA6C2FE" w14:textId="59DFA097" w:rsidR="00574A3D" w:rsidRPr="00B63BD0" w:rsidRDefault="00574A3D" w:rsidP="00574A3D">
            <w:pPr>
              <w:pStyle w:val="DPCtabletext"/>
              <w:rPr>
                <w:lang w:val="en-AU"/>
              </w:rPr>
            </w:pPr>
            <w:r w:rsidRPr="00B63BD0">
              <w:t>Department</w:t>
            </w:r>
            <w:r w:rsidR="004125ED" w:rsidRPr="00B63BD0">
              <w:t xml:space="preserve"> of Transport and Planning </w:t>
            </w:r>
          </w:p>
        </w:tc>
        <w:tc>
          <w:tcPr>
            <w:tcW w:w="2533" w:type="pct"/>
            <w:tcBorders>
              <w:top w:val="single" w:sz="8" w:space="0" w:color="0072CE" w:themeColor="accent1"/>
              <w:bottom w:val="single" w:sz="4" w:space="0" w:color="auto"/>
            </w:tcBorders>
          </w:tcPr>
          <w:p w14:paraId="3793465E" w14:textId="1AA8D6CF" w:rsidR="00574A3D" w:rsidRPr="00B63BD0" w:rsidRDefault="00574A3D" w:rsidP="00574A3D">
            <w:pPr>
              <w:pStyle w:val="DPCtabletext"/>
              <w:rPr>
                <w:lang w:val="en-AU"/>
              </w:rPr>
            </w:pPr>
            <w:r w:rsidRPr="00B63BD0">
              <w:rPr>
                <w:lang w:val="en-AU"/>
              </w:rPr>
              <w:t xml:space="preserve">Various campaigns under the Victoria’s Big Build brand, informing the public about disruptions associated with major transport infrastructure projects, such as the Metro Tunnel, Regional Rail Revival, Level Crossing Removal Project, </w:t>
            </w:r>
            <w:proofErr w:type="gramStart"/>
            <w:r w:rsidRPr="00B63BD0">
              <w:rPr>
                <w:lang w:val="en-AU"/>
              </w:rPr>
              <w:t>North</w:t>
            </w:r>
            <w:r w:rsidR="00D07545" w:rsidRPr="00B63BD0">
              <w:rPr>
                <w:lang w:val="en-AU"/>
              </w:rPr>
              <w:t xml:space="preserve"> </w:t>
            </w:r>
            <w:r w:rsidRPr="00B63BD0">
              <w:rPr>
                <w:lang w:val="en-AU"/>
              </w:rPr>
              <w:t>East</w:t>
            </w:r>
            <w:proofErr w:type="gramEnd"/>
            <w:r w:rsidRPr="00B63BD0">
              <w:rPr>
                <w:lang w:val="en-AU"/>
              </w:rPr>
              <w:t xml:space="preserve"> Link Project and the West Gate Tunnel Project. Also included </w:t>
            </w:r>
            <w:r w:rsidR="001524B2" w:rsidRPr="00B63BD0">
              <w:rPr>
                <w:lang w:val="en-AU"/>
              </w:rPr>
              <w:t xml:space="preserve">a new Myki ticketing campaign, and </w:t>
            </w:r>
            <w:r w:rsidRPr="00B63BD0">
              <w:rPr>
                <w:lang w:val="en-AU"/>
              </w:rPr>
              <w:t>public transport safety campaigns</w:t>
            </w:r>
            <w:r w:rsidR="001524B2" w:rsidRPr="00B63BD0">
              <w:rPr>
                <w:lang w:val="en-AU"/>
              </w:rPr>
              <w:t xml:space="preserve"> on driving with buses and pedestrian safety.</w:t>
            </w:r>
            <w:r w:rsidRPr="00B63BD0">
              <w:rPr>
                <w:lang w:val="en-AU"/>
              </w:rPr>
              <w:t xml:space="preserve"> </w:t>
            </w:r>
          </w:p>
        </w:tc>
        <w:tc>
          <w:tcPr>
            <w:tcW w:w="966" w:type="pct"/>
            <w:tcBorders>
              <w:top w:val="single" w:sz="8" w:space="0" w:color="0072CE" w:themeColor="accent1"/>
              <w:bottom w:val="single" w:sz="4" w:space="0" w:color="auto"/>
            </w:tcBorders>
          </w:tcPr>
          <w:p w14:paraId="27FF518D" w14:textId="73C37FAB" w:rsidR="00574A3D" w:rsidRPr="00B63BD0" w:rsidRDefault="00574A3D" w:rsidP="00574A3D">
            <w:pPr>
              <w:pStyle w:val="DPCtabletext"/>
              <w:jc w:val="right"/>
              <w:rPr>
                <w:rFonts w:cstheme="minorHAnsi"/>
                <w:szCs w:val="24"/>
                <w:lang w:val="en-AU"/>
              </w:rPr>
            </w:pPr>
            <w:r w:rsidRPr="00B63BD0">
              <w:t xml:space="preserve"> $5,921,670 </w:t>
            </w:r>
          </w:p>
        </w:tc>
      </w:tr>
      <w:tr w:rsidR="00574A3D" w:rsidRPr="00B63BD0" w14:paraId="311D2C50" w14:textId="77777777" w:rsidTr="00020EAE">
        <w:trPr>
          <w:cantSplit/>
        </w:trPr>
        <w:tc>
          <w:tcPr>
            <w:tcW w:w="474" w:type="pct"/>
            <w:tcBorders>
              <w:top w:val="single" w:sz="8" w:space="0" w:color="0072CE" w:themeColor="accent1"/>
              <w:bottom w:val="single" w:sz="4" w:space="0" w:color="auto"/>
            </w:tcBorders>
          </w:tcPr>
          <w:p w14:paraId="54D377AB" w14:textId="77777777" w:rsidR="00574A3D" w:rsidRPr="00B63BD0" w:rsidRDefault="00574A3D" w:rsidP="00574A3D">
            <w:pPr>
              <w:pStyle w:val="DPCtabletext"/>
              <w:rPr>
                <w:lang w:val="en-AU"/>
              </w:rPr>
            </w:pPr>
            <w:r w:rsidRPr="00B63BD0">
              <w:rPr>
                <w:lang w:val="en-AU"/>
              </w:rPr>
              <w:t>5</w:t>
            </w:r>
          </w:p>
        </w:tc>
        <w:tc>
          <w:tcPr>
            <w:tcW w:w="1027" w:type="pct"/>
            <w:tcBorders>
              <w:top w:val="single" w:sz="8" w:space="0" w:color="0072CE" w:themeColor="accent1"/>
              <w:bottom w:val="single" w:sz="4" w:space="0" w:color="auto"/>
            </w:tcBorders>
          </w:tcPr>
          <w:p w14:paraId="4FA2B7E2" w14:textId="44B75929" w:rsidR="00574A3D" w:rsidRPr="00B63BD0" w:rsidRDefault="00574A3D" w:rsidP="00574A3D">
            <w:pPr>
              <w:pStyle w:val="DPCtabletext"/>
              <w:rPr>
                <w:lang w:val="en-AU"/>
              </w:rPr>
            </w:pPr>
            <w:r w:rsidRPr="00B63BD0">
              <w:t>Victoria Police</w:t>
            </w:r>
          </w:p>
        </w:tc>
        <w:tc>
          <w:tcPr>
            <w:tcW w:w="2533" w:type="pct"/>
            <w:tcBorders>
              <w:top w:val="single" w:sz="8" w:space="0" w:color="0072CE" w:themeColor="accent1"/>
              <w:bottom w:val="single" w:sz="4" w:space="0" w:color="auto"/>
            </w:tcBorders>
          </w:tcPr>
          <w:p w14:paraId="30752DFF" w14:textId="4DB2A8F3" w:rsidR="00574A3D" w:rsidRPr="00B63BD0" w:rsidRDefault="0065306C" w:rsidP="00574A3D">
            <w:pPr>
              <w:pStyle w:val="DPCtabletext"/>
              <w:rPr>
                <w:lang w:val="en-AU"/>
              </w:rPr>
            </w:pPr>
            <w:r w:rsidRPr="00B63BD0">
              <w:t xml:space="preserve">Victoria Police undertook </w:t>
            </w:r>
            <w:r w:rsidR="00574A3D" w:rsidRPr="00B63BD0">
              <w:t>Major campaigns to attract new recruits to Victoria Police</w:t>
            </w:r>
            <w:r w:rsidRPr="00B63BD0">
              <w:t xml:space="preserve"> and to </w:t>
            </w:r>
            <w:r w:rsidR="00574A3D" w:rsidRPr="00B63BD0">
              <w:t xml:space="preserve">promote the Police Assistance Line and the Online Reporting portal. </w:t>
            </w:r>
          </w:p>
        </w:tc>
        <w:tc>
          <w:tcPr>
            <w:tcW w:w="966" w:type="pct"/>
            <w:tcBorders>
              <w:top w:val="single" w:sz="8" w:space="0" w:color="0072CE" w:themeColor="accent1"/>
              <w:bottom w:val="single" w:sz="4" w:space="0" w:color="auto"/>
            </w:tcBorders>
          </w:tcPr>
          <w:p w14:paraId="1A7261C3" w14:textId="2E05C400" w:rsidR="00574A3D" w:rsidRPr="00B63BD0" w:rsidRDefault="00574A3D" w:rsidP="00574A3D">
            <w:pPr>
              <w:pStyle w:val="DPCtabletext"/>
              <w:jc w:val="right"/>
              <w:rPr>
                <w:rFonts w:cstheme="minorHAnsi"/>
                <w:szCs w:val="24"/>
                <w:lang w:val="en-AU"/>
              </w:rPr>
            </w:pPr>
            <w:r w:rsidRPr="00B63BD0">
              <w:t xml:space="preserve"> $5,175,907 </w:t>
            </w:r>
          </w:p>
        </w:tc>
      </w:tr>
      <w:tr w:rsidR="00574A3D" w:rsidRPr="00B63BD0" w14:paraId="35BB2554" w14:textId="77777777" w:rsidTr="00020EAE">
        <w:trPr>
          <w:cantSplit/>
        </w:trPr>
        <w:tc>
          <w:tcPr>
            <w:tcW w:w="474" w:type="pct"/>
            <w:tcBorders>
              <w:top w:val="single" w:sz="8" w:space="0" w:color="0072CE" w:themeColor="accent1"/>
              <w:bottom w:val="single" w:sz="4" w:space="0" w:color="auto"/>
            </w:tcBorders>
          </w:tcPr>
          <w:p w14:paraId="4739D4ED" w14:textId="77777777" w:rsidR="00574A3D" w:rsidRPr="00B63BD0" w:rsidRDefault="00574A3D" w:rsidP="00574A3D">
            <w:pPr>
              <w:pStyle w:val="DPCtabletext"/>
            </w:pPr>
            <w:r w:rsidRPr="00B63BD0">
              <w:t>6</w:t>
            </w:r>
          </w:p>
        </w:tc>
        <w:tc>
          <w:tcPr>
            <w:tcW w:w="1027" w:type="pct"/>
            <w:tcBorders>
              <w:top w:val="single" w:sz="8" w:space="0" w:color="0072CE" w:themeColor="accent1"/>
              <w:bottom w:val="single" w:sz="4" w:space="0" w:color="auto"/>
            </w:tcBorders>
          </w:tcPr>
          <w:p w14:paraId="10AA561A" w14:textId="55877A5C" w:rsidR="00574A3D" w:rsidRPr="00B63BD0" w:rsidRDefault="00574A3D" w:rsidP="00574A3D">
            <w:pPr>
              <w:pStyle w:val="DPCtabletext"/>
            </w:pPr>
            <w:r w:rsidRPr="00B63BD0">
              <w:t>Department</w:t>
            </w:r>
            <w:r w:rsidR="004125ED" w:rsidRPr="00B63BD0">
              <w:t xml:space="preserve"> of Education</w:t>
            </w:r>
          </w:p>
        </w:tc>
        <w:tc>
          <w:tcPr>
            <w:tcW w:w="2533" w:type="pct"/>
            <w:tcBorders>
              <w:top w:val="single" w:sz="8" w:space="0" w:color="0072CE" w:themeColor="accent1"/>
              <w:bottom w:val="single" w:sz="4" w:space="0" w:color="auto"/>
            </w:tcBorders>
          </w:tcPr>
          <w:p w14:paraId="71B5DA4A" w14:textId="5A0847C5" w:rsidR="00574A3D" w:rsidRPr="00B63BD0" w:rsidRDefault="00574A3D" w:rsidP="00574A3D">
            <w:pPr>
              <w:pStyle w:val="DPCtabletext"/>
            </w:pPr>
            <w:r w:rsidRPr="00B63BD0">
              <w:rPr>
                <w:lang w:val="en-AU"/>
              </w:rPr>
              <w:t>Local and interstate recruitment campaigns to attract teachers to the early childhood and primary and secondary school sectors. Campaigns also highlighted the Free Kinder and Kinder Tick programs, and the ‘Many Talents One VCE’ campaign, increasing awareness of changes to VCE vocational pathways.</w:t>
            </w:r>
          </w:p>
        </w:tc>
        <w:tc>
          <w:tcPr>
            <w:tcW w:w="966" w:type="pct"/>
            <w:tcBorders>
              <w:top w:val="single" w:sz="8" w:space="0" w:color="0072CE" w:themeColor="accent1"/>
              <w:bottom w:val="single" w:sz="4" w:space="0" w:color="auto"/>
            </w:tcBorders>
          </w:tcPr>
          <w:p w14:paraId="68844796" w14:textId="2E3CF7A9" w:rsidR="00574A3D" w:rsidRPr="00B63BD0" w:rsidRDefault="00574A3D" w:rsidP="00574A3D">
            <w:pPr>
              <w:pStyle w:val="DPCtabletext"/>
              <w:jc w:val="right"/>
              <w:rPr>
                <w:rFonts w:cstheme="minorHAnsi"/>
                <w:szCs w:val="24"/>
              </w:rPr>
            </w:pPr>
            <w:r w:rsidRPr="00B63BD0">
              <w:t xml:space="preserve"> $4,945,738 </w:t>
            </w:r>
          </w:p>
        </w:tc>
      </w:tr>
      <w:tr w:rsidR="00574A3D" w:rsidRPr="00B63BD0" w14:paraId="07554B37" w14:textId="77777777" w:rsidTr="00020EAE">
        <w:trPr>
          <w:cantSplit/>
        </w:trPr>
        <w:tc>
          <w:tcPr>
            <w:tcW w:w="474" w:type="pct"/>
            <w:tcBorders>
              <w:top w:val="single" w:sz="8" w:space="0" w:color="0072CE" w:themeColor="accent1"/>
              <w:bottom w:val="single" w:sz="4" w:space="0" w:color="auto"/>
            </w:tcBorders>
          </w:tcPr>
          <w:p w14:paraId="6793C734" w14:textId="77777777" w:rsidR="00574A3D" w:rsidRPr="00B63BD0" w:rsidRDefault="00574A3D" w:rsidP="00574A3D">
            <w:pPr>
              <w:pStyle w:val="DPCtabletext"/>
            </w:pPr>
            <w:r w:rsidRPr="00B63BD0">
              <w:t>7</w:t>
            </w:r>
          </w:p>
        </w:tc>
        <w:tc>
          <w:tcPr>
            <w:tcW w:w="1027" w:type="pct"/>
            <w:tcBorders>
              <w:top w:val="single" w:sz="8" w:space="0" w:color="0072CE" w:themeColor="accent1"/>
              <w:bottom w:val="single" w:sz="4" w:space="0" w:color="auto"/>
            </w:tcBorders>
          </w:tcPr>
          <w:p w14:paraId="2B4DFEDE" w14:textId="307F5078" w:rsidR="00574A3D" w:rsidRPr="00B63BD0" w:rsidRDefault="00574A3D" w:rsidP="00574A3D">
            <w:pPr>
              <w:pStyle w:val="DPCtabletext"/>
            </w:pPr>
            <w:r w:rsidRPr="00B63BD0">
              <w:t>WorkSafe Victoria</w:t>
            </w:r>
          </w:p>
        </w:tc>
        <w:tc>
          <w:tcPr>
            <w:tcW w:w="2533" w:type="pct"/>
            <w:tcBorders>
              <w:top w:val="single" w:sz="8" w:space="0" w:color="0072CE" w:themeColor="accent1"/>
              <w:bottom w:val="single" w:sz="4" w:space="0" w:color="auto"/>
            </w:tcBorders>
          </w:tcPr>
          <w:p w14:paraId="6A37507B" w14:textId="714C103A" w:rsidR="00574A3D" w:rsidRPr="00B63BD0" w:rsidRDefault="0065306C" w:rsidP="00574A3D">
            <w:pPr>
              <w:pStyle w:val="DPCtabletext"/>
            </w:pPr>
            <w:r w:rsidRPr="00B63BD0">
              <w:t xml:space="preserve">WorkSafe Victoria undertook major campaigns to prevent work-related violence, improve safety in the agriculture industry, reduce gender-based violence and harassment in the workplace, and improve workplace safety for young workers. </w:t>
            </w:r>
          </w:p>
        </w:tc>
        <w:tc>
          <w:tcPr>
            <w:tcW w:w="966" w:type="pct"/>
            <w:tcBorders>
              <w:top w:val="single" w:sz="8" w:space="0" w:color="0072CE" w:themeColor="accent1"/>
              <w:bottom w:val="single" w:sz="4" w:space="0" w:color="auto"/>
            </w:tcBorders>
          </w:tcPr>
          <w:p w14:paraId="6717639C" w14:textId="73F5E90E" w:rsidR="00574A3D" w:rsidRPr="00B63BD0" w:rsidRDefault="00574A3D" w:rsidP="00574A3D">
            <w:pPr>
              <w:pStyle w:val="DPCtabletext"/>
              <w:jc w:val="right"/>
              <w:rPr>
                <w:rFonts w:cstheme="minorHAnsi"/>
                <w:szCs w:val="24"/>
              </w:rPr>
            </w:pPr>
            <w:r w:rsidRPr="00B63BD0">
              <w:t xml:space="preserve"> $3,571,045 </w:t>
            </w:r>
          </w:p>
        </w:tc>
      </w:tr>
      <w:tr w:rsidR="00574A3D" w:rsidRPr="00B63BD0" w14:paraId="22A4A431" w14:textId="77777777" w:rsidTr="00020EAE">
        <w:trPr>
          <w:cantSplit/>
        </w:trPr>
        <w:tc>
          <w:tcPr>
            <w:tcW w:w="474" w:type="pct"/>
            <w:tcBorders>
              <w:top w:val="single" w:sz="8" w:space="0" w:color="0072CE" w:themeColor="accent1"/>
              <w:bottom w:val="single" w:sz="4" w:space="0" w:color="auto"/>
            </w:tcBorders>
          </w:tcPr>
          <w:p w14:paraId="6E3333E7" w14:textId="77777777" w:rsidR="00574A3D" w:rsidRPr="00B63BD0" w:rsidRDefault="00574A3D" w:rsidP="00574A3D">
            <w:pPr>
              <w:pStyle w:val="DPCtabletext"/>
              <w:rPr>
                <w:lang w:val="en-AU"/>
              </w:rPr>
            </w:pPr>
            <w:r w:rsidRPr="00B63BD0">
              <w:rPr>
                <w:lang w:val="en-AU"/>
              </w:rPr>
              <w:t>8</w:t>
            </w:r>
          </w:p>
        </w:tc>
        <w:tc>
          <w:tcPr>
            <w:tcW w:w="1027" w:type="pct"/>
            <w:tcBorders>
              <w:top w:val="single" w:sz="8" w:space="0" w:color="0072CE" w:themeColor="accent1"/>
              <w:bottom w:val="single" w:sz="4" w:space="0" w:color="auto"/>
            </w:tcBorders>
          </w:tcPr>
          <w:p w14:paraId="3D5B043A" w14:textId="5940AB74" w:rsidR="00574A3D" w:rsidRPr="00B63BD0" w:rsidRDefault="00574A3D" w:rsidP="00574A3D">
            <w:pPr>
              <w:pStyle w:val="DPCtabletext"/>
              <w:rPr>
                <w:lang w:val="en-AU"/>
              </w:rPr>
            </w:pPr>
            <w:r w:rsidRPr="00B63BD0">
              <w:t>Department</w:t>
            </w:r>
            <w:r w:rsidR="004125ED" w:rsidRPr="00B63BD0">
              <w:t xml:space="preserve"> of Health</w:t>
            </w:r>
          </w:p>
        </w:tc>
        <w:tc>
          <w:tcPr>
            <w:tcW w:w="2533" w:type="pct"/>
            <w:tcBorders>
              <w:top w:val="single" w:sz="8" w:space="0" w:color="0072CE" w:themeColor="accent1"/>
              <w:bottom w:val="single" w:sz="4" w:space="0" w:color="auto"/>
            </w:tcBorders>
          </w:tcPr>
          <w:p w14:paraId="67BE00B5" w14:textId="77B811CC" w:rsidR="00574A3D" w:rsidRPr="00B63BD0" w:rsidRDefault="00481BB0" w:rsidP="00574A3D">
            <w:pPr>
              <w:pStyle w:val="DPCtabletext"/>
            </w:pPr>
            <w:r w:rsidRPr="00B63BD0">
              <w:rPr>
                <w:lang w:val="en-AU"/>
              </w:rPr>
              <w:t>Major campaigns to r</w:t>
            </w:r>
            <w:r w:rsidR="00574A3D" w:rsidRPr="00B63BD0">
              <w:rPr>
                <w:lang w:val="en-AU"/>
              </w:rPr>
              <w:t>ecruit mental health professionals to work in Victoria</w:t>
            </w:r>
            <w:r w:rsidRPr="00B63BD0">
              <w:rPr>
                <w:lang w:val="en-AU"/>
              </w:rPr>
              <w:t xml:space="preserve"> </w:t>
            </w:r>
            <w:r w:rsidR="00574A3D" w:rsidRPr="00B63BD0">
              <w:rPr>
                <w:lang w:val="en-AU"/>
              </w:rPr>
              <w:t xml:space="preserve">and </w:t>
            </w:r>
            <w:r w:rsidRPr="00B63BD0">
              <w:rPr>
                <w:lang w:val="en-AU"/>
              </w:rPr>
              <w:t xml:space="preserve">encourage </w:t>
            </w:r>
            <w:r w:rsidR="00574A3D" w:rsidRPr="00B63BD0">
              <w:rPr>
                <w:lang w:val="en-AU"/>
              </w:rPr>
              <w:t xml:space="preserve">Victorians </w:t>
            </w:r>
            <w:r w:rsidRPr="00B63BD0">
              <w:rPr>
                <w:lang w:val="en-AU"/>
              </w:rPr>
              <w:t xml:space="preserve">to contact </w:t>
            </w:r>
            <w:r w:rsidR="00574A3D" w:rsidRPr="00B63BD0">
              <w:rPr>
                <w:lang w:val="en-AU"/>
              </w:rPr>
              <w:t>000 for emergencies only. Also undertook various public health and safety campaigns</w:t>
            </w:r>
            <w:r w:rsidRPr="00B63BD0">
              <w:rPr>
                <w:lang w:val="en-AU"/>
              </w:rPr>
              <w:t>, including promoting mental health and wellbeing services,</w:t>
            </w:r>
            <w:r w:rsidR="00574A3D" w:rsidRPr="00B63BD0">
              <w:rPr>
                <w:lang w:val="en-AU"/>
              </w:rPr>
              <w:t xml:space="preserve"> </w:t>
            </w:r>
            <w:r w:rsidRPr="00B63BD0">
              <w:rPr>
                <w:lang w:val="en-AU"/>
              </w:rPr>
              <w:t>public fertility care services, winter COVID/flu health prevention, and prevention of mosquito-borne diseases.</w:t>
            </w:r>
          </w:p>
        </w:tc>
        <w:tc>
          <w:tcPr>
            <w:tcW w:w="966" w:type="pct"/>
            <w:tcBorders>
              <w:top w:val="single" w:sz="8" w:space="0" w:color="0072CE" w:themeColor="accent1"/>
              <w:bottom w:val="single" w:sz="4" w:space="0" w:color="auto"/>
            </w:tcBorders>
          </w:tcPr>
          <w:p w14:paraId="7F2DFF36" w14:textId="3BFAB60C" w:rsidR="00574A3D" w:rsidRPr="00B63BD0" w:rsidRDefault="00574A3D" w:rsidP="00574A3D">
            <w:pPr>
              <w:pStyle w:val="DPCtabletext"/>
              <w:jc w:val="right"/>
              <w:rPr>
                <w:rFonts w:cstheme="minorHAnsi"/>
                <w:szCs w:val="24"/>
                <w:lang w:val="en-AU"/>
              </w:rPr>
            </w:pPr>
            <w:r w:rsidRPr="00B63BD0">
              <w:t xml:space="preserve"> $2,429,695 </w:t>
            </w:r>
          </w:p>
        </w:tc>
      </w:tr>
      <w:tr w:rsidR="00574A3D" w:rsidRPr="00B63BD0" w14:paraId="53C90B0B" w14:textId="77777777" w:rsidTr="00020EAE">
        <w:trPr>
          <w:cantSplit/>
        </w:trPr>
        <w:tc>
          <w:tcPr>
            <w:tcW w:w="474" w:type="pct"/>
            <w:tcBorders>
              <w:top w:val="single" w:sz="8" w:space="0" w:color="0072CE" w:themeColor="accent1"/>
              <w:bottom w:val="single" w:sz="8" w:space="0" w:color="0072CE" w:themeColor="accent1"/>
            </w:tcBorders>
          </w:tcPr>
          <w:p w14:paraId="213BC318" w14:textId="77777777" w:rsidR="00574A3D" w:rsidRPr="00B63BD0" w:rsidRDefault="00574A3D" w:rsidP="00574A3D">
            <w:pPr>
              <w:pStyle w:val="DPCtabletext"/>
              <w:rPr>
                <w:lang w:val="en-AU"/>
              </w:rPr>
            </w:pPr>
            <w:r w:rsidRPr="00B63BD0">
              <w:rPr>
                <w:lang w:val="en-AU"/>
              </w:rPr>
              <w:lastRenderedPageBreak/>
              <w:t>9</w:t>
            </w:r>
          </w:p>
        </w:tc>
        <w:tc>
          <w:tcPr>
            <w:tcW w:w="1027" w:type="pct"/>
            <w:tcBorders>
              <w:top w:val="single" w:sz="8" w:space="0" w:color="0072CE" w:themeColor="accent1"/>
              <w:bottom w:val="single" w:sz="8" w:space="0" w:color="0072CE" w:themeColor="accent1"/>
            </w:tcBorders>
          </w:tcPr>
          <w:p w14:paraId="0CB83AA7" w14:textId="56D39755" w:rsidR="00574A3D" w:rsidRPr="00B63BD0" w:rsidRDefault="00574A3D" w:rsidP="00574A3D">
            <w:pPr>
              <w:pStyle w:val="DPCtabletext"/>
            </w:pPr>
            <w:r w:rsidRPr="00B63BD0">
              <w:t>National Gallery of Victoria</w:t>
            </w:r>
          </w:p>
        </w:tc>
        <w:tc>
          <w:tcPr>
            <w:tcW w:w="2533" w:type="pct"/>
            <w:tcBorders>
              <w:top w:val="single" w:sz="8" w:space="0" w:color="0072CE" w:themeColor="accent1"/>
              <w:bottom w:val="single" w:sz="8" w:space="0" w:color="0072CE" w:themeColor="accent1"/>
            </w:tcBorders>
          </w:tcPr>
          <w:p w14:paraId="12AEBE5C" w14:textId="10AB09F0" w:rsidR="00574A3D" w:rsidRPr="00B63BD0" w:rsidRDefault="00481BB0" w:rsidP="00580007">
            <w:pPr>
              <w:pStyle w:val="DPCtabletext"/>
              <w:rPr>
                <w:lang w:val="en-AU"/>
              </w:rPr>
            </w:pPr>
            <w:r w:rsidRPr="00B63BD0">
              <w:rPr>
                <w:lang w:val="en-AU"/>
              </w:rPr>
              <w:t xml:space="preserve">Annual campaign promoting the range of exhibits and events at NGV in 2023–24, including </w:t>
            </w:r>
            <w:r w:rsidR="00580007" w:rsidRPr="00B63BD0">
              <w:rPr>
                <w:i/>
                <w:iCs/>
                <w:lang w:val="en-AU"/>
              </w:rPr>
              <w:t>Pierre Bonnard: Designed by India Mahdavi</w:t>
            </w:r>
            <w:r w:rsidR="00580007" w:rsidRPr="00B63BD0">
              <w:rPr>
                <w:lang w:val="en-AU"/>
              </w:rPr>
              <w:t xml:space="preserve">, </w:t>
            </w:r>
            <w:r w:rsidR="00580007" w:rsidRPr="00B63BD0">
              <w:rPr>
                <w:i/>
                <w:iCs/>
                <w:lang w:val="en-AU"/>
              </w:rPr>
              <w:t>Triennial 2023</w:t>
            </w:r>
            <w:r w:rsidR="00580007" w:rsidRPr="00B63BD0">
              <w:rPr>
                <w:lang w:val="en-AU"/>
              </w:rPr>
              <w:t xml:space="preserve"> exhibition, </w:t>
            </w:r>
            <w:r w:rsidR="00580007" w:rsidRPr="00B63BD0">
              <w:rPr>
                <w:i/>
                <w:iCs/>
                <w:lang w:val="en-AU"/>
              </w:rPr>
              <w:t>Melbourne Winter Masterpieces 2024: Pharaoh</w:t>
            </w:r>
            <w:r w:rsidR="00580007" w:rsidRPr="00B63BD0">
              <w:rPr>
                <w:lang w:val="en-AU"/>
              </w:rPr>
              <w:t xml:space="preserve">, and </w:t>
            </w:r>
            <w:r w:rsidR="00580007" w:rsidRPr="00B63BD0">
              <w:rPr>
                <w:i/>
                <w:iCs/>
                <w:lang w:val="en-AU"/>
              </w:rPr>
              <w:t>Africa Fashion</w:t>
            </w:r>
            <w:r w:rsidR="00580007" w:rsidRPr="00B63BD0">
              <w:rPr>
                <w:lang w:val="en-AU"/>
              </w:rPr>
              <w:t>.</w:t>
            </w:r>
            <w:r w:rsidR="00580007" w:rsidRPr="00B63BD0">
              <w:rPr>
                <w:i/>
                <w:iCs/>
                <w:lang w:val="en-AU"/>
              </w:rPr>
              <w:t xml:space="preserve"> </w:t>
            </w:r>
          </w:p>
        </w:tc>
        <w:tc>
          <w:tcPr>
            <w:tcW w:w="966" w:type="pct"/>
            <w:tcBorders>
              <w:top w:val="single" w:sz="8" w:space="0" w:color="0072CE" w:themeColor="accent1"/>
              <w:bottom w:val="single" w:sz="8" w:space="0" w:color="0072CE" w:themeColor="accent1"/>
            </w:tcBorders>
          </w:tcPr>
          <w:p w14:paraId="54C990E9" w14:textId="1C26BCDC" w:rsidR="00574A3D" w:rsidRPr="00B63BD0" w:rsidRDefault="00574A3D" w:rsidP="00574A3D">
            <w:pPr>
              <w:pStyle w:val="DPCtabletext"/>
              <w:jc w:val="right"/>
              <w:rPr>
                <w:rFonts w:cstheme="minorHAnsi"/>
                <w:szCs w:val="24"/>
                <w:lang w:val="en-AU"/>
              </w:rPr>
            </w:pPr>
            <w:r w:rsidRPr="00B63BD0">
              <w:t xml:space="preserve"> $1,773,777 </w:t>
            </w:r>
          </w:p>
        </w:tc>
      </w:tr>
      <w:tr w:rsidR="00574A3D" w:rsidRPr="00B63BD0" w14:paraId="5F821917" w14:textId="77777777" w:rsidTr="00020EAE">
        <w:trPr>
          <w:cnfStyle w:val="010000000000" w:firstRow="0" w:lastRow="1" w:firstColumn="0" w:lastColumn="0" w:oddVBand="0" w:evenVBand="0" w:oddHBand="0" w:evenHBand="0" w:firstRowFirstColumn="0" w:firstRowLastColumn="0" w:lastRowFirstColumn="0" w:lastRowLastColumn="0"/>
          <w:cantSplit/>
        </w:trPr>
        <w:tc>
          <w:tcPr>
            <w:tcW w:w="474" w:type="pct"/>
            <w:tcBorders>
              <w:bottom w:val="single" w:sz="4" w:space="0" w:color="auto"/>
            </w:tcBorders>
          </w:tcPr>
          <w:p w14:paraId="62B97B03" w14:textId="77777777" w:rsidR="00574A3D" w:rsidRPr="00B63BD0" w:rsidRDefault="00574A3D" w:rsidP="00574A3D">
            <w:pPr>
              <w:pStyle w:val="DPCtabletext"/>
              <w:rPr>
                <w:b w:val="0"/>
                <w:bCs w:val="0"/>
              </w:rPr>
            </w:pPr>
            <w:r w:rsidRPr="00B63BD0">
              <w:rPr>
                <w:b w:val="0"/>
                <w:bCs w:val="0"/>
              </w:rPr>
              <w:t>10</w:t>
            </w:r>
          </w:p>
        </w:tc>
        <w:tc>
          <w:tcPr>
            <w:tcW w:w="1027" w:type="pct"/>
            <w:tcBorders>
              <w:bottom w:val="single" w:sz="4" w:space="0" w:color="auto"/>
            </w:tcBorders>
          </w:tcPr>
          <w:p w14:paraId="00B11004" w14:textId="032982AB" w:rsidR="00574A3D" w:rsidRPr="00B63BD0" w:rsidRDefault="00574A3D" w:rsidP="00574A3D">
            <w:pPr>
              <w:pStyle w:val="DPCtabletext"/>
              <w:rPr>
                <w:b w:val="0"/>
                <w:bCs w:val="0"/>
              </w:rPr>
            </w:pPr>
            <w:r w:rsidRPr="00B63BD0">
              <w:rPr>
                <w:b w:val="0"/>
                <w:bCs w:val="0"/>
              </w:rPr>
              <w:t>Department</w:t>
            </w:r>
            <w:r w:rsidR="00B513A2" w:rsidRPr="00B63BD0">
              <w:rPr>
                <w:b w:val="0"/>
                <w:bCs w:val="0"/>
              </w:rPr>
              <w:t xml:space="preserve"> of Families, Fairness and Housing</w:t>
            </w:r>
          </w:p>
        </w:tc>
        <w:tc>
          <w:tcPr>
            <w:tcW w:w="2533" w:type="pct"/>
            <w:tcBorders>
              <w:bottom w:val="single" w:sz="4" w:space="0" w:color="auto"/>
            </w:tcBorders>
          </w:tcPr>
          <w:p w14:paraId="23C0087A" w14:textId="3B41C29D" w:rsidR="00574A3D" w:rsidRPr="00B63BD0" w:rsidRDefault="00DE5AEA" w:rsidP="00574A3D">
            <w:pPr>
              <w:pStyle w:val="DPCtabletext"/>
              <w:rPr>
                <w:b w:val="0"/>
                <w:bCs w:val="0"/>
              </w:rPr>
            </w:pPr>
            <w:r w:rsidRPr="00B63BD0">
              <w:rPr>
                <w:b w:val="0"/>
                <w:bCs w:val="0"/>
              </w:rPr>
              <w:t>Campaigns included the ‘Jobs that Matter’ Community Services Sector workforce recruitment campaign</w:t>
            </w:r>
            <w:r w:rsidR="00314901" w:rsidRPr="00B63BD0">
              <w:rPr>
                <w:b w:val="0"/>
                <w:bCs w:val="0"/>
              </w:rPr>
              <w:t xml:space="preserve"> and the</w:t>
            </w:r>
            <w:r w:rsidRPr="00B63BD0">
              <w:rPr>
                <w:b w:val="0"/>
                <w:bCs w:val="0"/>
              </w:rPr>
              <w:t xml:space="preserve"> ‘Go Where You’re Needed’ Child Protection Workforce Recruitment </w:t>
            </w:r>
            <w:r w:rsidR="00314901" w:rsidRPr="00B63BD0">
              <w:rPr>
                <w:b w:val="0"/>
                <w:bCs w:val="0"/>
              </w:rPr>
              <w:t>c</w:t>
            </w:r>
            <w:r w:rsidRPr="00B63BD0">
              <w:rPr>
                <w:b w:val="0"/>
                <w:bCs w:val="0"/>
              </w:rPr>
              <w:t>ampaign</w:t>
            </w:r>
            <w:r w:rsidR="00314901" w:rsidRPr="00B63BD0">
              <w:rPr>
                <w:b w:val="0"/>
                <w:bCs w:val="0"/>
              </w:rPr>
              <w:t>.</w:t>
            </w:r>
          </w:p>
        </w:tc>
        <w:tc>
          <w:tcPr>
            <w:tcW w:w="966" w:type="pct"/>
            <w:tcBorders>
              <w:bottom w:val="single" w:sz="4" w:space="0" w:color="auto"/>
            </w:tcBorders>
          </w:tcPr>
          <w:p w14:paraId="1911EB71" w14:textId="1527F6E0" w:rsidR="00574A3D" w:rsidRPr="00B63BD0" w:rsidRDefault="00574A3D" w:rsidP="00574A3D">
            <w:pPr>
              <w:pStyle w:val="DPCtabletext"/>
              <w:jc w:val="right"/>
              <w:rPr>
                <w:rFonts w:cstheme="minorHAnsi"/>
                <w:b w:val="0"/>
                <w:bCs w:val="0"/>
                <w:szCs w:val="24"/>
              </w:rPr>
            </w:pPr>
            <w:r w:rsidRPr="00B63BD0">
              <w:t xml:space="preserve"> </w:t>
            </w:r>
            <w:r w:rsidRPr="00B63BD0">
              <w:rPr>
                <w:b w:val="0"/>
                <w:bCs w:val="0"/>
              </w:rPr>
              <w:t xml:space="preserve">$1,739,980 </w:t>
            </w:r>
          </w:p>
        </w:tc>
      </w:tr>
    </w:tbl>
    <w:p w14:paraId="1D09710B" w14:textId="148A8430" w:rsidR="00604728" w:rsidRPr="00B63BD0" w:rsidRDefault="00604728" w:rsidP="00604728">
      <w:pPr>
        <w:pStyle w:val="DPCbodyaftertablefigure"/>
        <w:spacing w:line="240" w:lineRule="auto"/>
        <w:rPr>
          <w:sz w:val="20"/>
          <w:szCs w:val="20"/>
        </w:rPr>
      </w:pPr>
      <w:r w:rsidRPr="00B63BD0">
        <w:rPr>
          <w:b/>
          <w:bCs/>
          <w:sz w:val="20"/>
          <w:szCs w:val="20"/>
        </w:rPr>
        <w:t>Note:</w:t>
      </w:r>
      <w:r w:rsidRPr="00B63BD0">
        <w:rPr>
          <w:sz w:val="20"/>
          <w:szCs w:val="20"/>
        </w:rPr>
        <w:t xml:space="preserve"> The above table contains consolidated campaign advertising expenditure data provided to the Department of Premier and Cabinet by OMD for the 2023–24 financial year. These figures include all paid campaign advertising undertaken via the government’s MAMS contract</w:t>
      </w:r>
      <w:r w:rsidRPr="00B63BD0">
        <w:rPr>
          <w:b/>
          <w:bCs/>
          <w:sz w:val="20"/>
          <w:szCs w:val="20"/>
        </w:rPr>
        <w:t>, including expenditure on campaigns with a media buy of less than $100,000.</w:t>
      </w:r>
      <w:r w:rsidRPr="00B63BD0">
        <w:rPr>
          <w:sz w:val="20"/>
          <w:szCs w:val="20"/>
        </w:rPr>
        <w:t xml:space="preserve">  </w:t>
      </w:r>
    </w:p>
    <w:p w14:paraId="0E428186" w14:textId="77777777" w:rsidR="00604728" w:rsidRPr="00B63BD0" w:rsidRDefault="00604728" w:rsidP="00604728">
      <w:pPr>
        <w:pStyle w:val="DPCbodyaftertablefigure"/>
        <w:spacing w:line="240" w:lineRule="auto"/>
        <w:rPr>
          <w:sz w:val="20"/>
          <w:szCs w:val="20"/>
        </w:rPr>
      </w:pPr>
      <w:r w:rsidRPr="00B63BD0">
        <w:rPr>
          <w:sz w:val="20"/>
          <w:szCs w:val="20"/>
        </w:rPr>
        <w:t>Expenditure figures presented in this report may differ from those published in the annual reports of government departments and public bodies, which are required to report only campaigns with a media value of $100,000 or more. Expenditure reported in annual reports may also include the value of media partnerships/sponsorships, and the costs of production and other fees associated with advertising campaigns.</w:t>
      </w:r>
      <w:r w:rsidRPr="00B63BD0">
        <w:br w:type="page"/>
      </w:r>
    </w:p>
    <w:p w14:paraId="23E60C4D" w14:textId="1281A1F1" w:rsidR="00604728" w:rsidRPr="00B63BD0" w:rsidRDefault="00604728" w:rsidP="00604728">
      <w:pPr>
        <w:pStyle w:val="Heading2"/>
      </w:pPr>
      <w:bookmarkStart w:id="19" w:name="_Toc474140317"/>
      <w:bookmarkStart w:id="20" w:name="_Toc162453955"/>
      <w:bookmarkStart w:id="21" w:name="_Toc186973681"/>
      <w:r w:rsidRPr="00B63BD0">
        <w:lastRenderedPageBreak/>
        <w:t xml:space="preserve">Major functional and recruitment advertisers – </w:t>
      </w:r>
      <w:bookmarkEnd w:id="19"/>
      <w:bookmarkEnd w:id="20"/>
      <w:r w:rsidR="00437D42" w:rsidRPr="00B63BD0">
        <w:t>2023–24</w:t>
      </w:r>
      <w:bookmarkEnd w:id="21"/>
    </w:p>
    <w:p w14:paraId="4B72A3CA" w14:textId="77777777" w:rsidR="00604728" w:rsidRPr="00B63BD0" w:rsidRDefault="00604728" w:rsidP="00604728">
      <w:pPr>
        <w:pStyle w:val="Heading3"/>
        <w:keepNext w:val="0"/>
        <w:keepLines w:val="0"/>
      </w:pPr>
      <w:bookmarkStart w:id="22" w:name="_Toc186973682"/>
      <w:r w:rsidRPr="00B63BD0">
        <w:t>Functional advertising</w:t>
      </w:r>
      <w:bookmarkEnd w:id="22"/>
    </w:p>
    <w:p w14:paraId="0802509B" w14:textId="0BC57656" w:rsidR="00604728" w:rsidRPr="00B63BD0" w:rsidRDefault="00604728" w:rsidP="00604728">
      <w:pPr>
        <w:pStyle w:val="DPCbody"/>
      </w:pPr>
      <w:r w:rsidRPr="00B63BD0">
        <w:t xml:space="preserve">In 2023–24, the highest spending government bodies for functional advertising were the Department of Transport and Planning, the </w:t>
      </w:r>
      <w:r w:rsidR="00F24D8D" w:rsidRPr="00B63BD0">
        <w:t>Department of Energy, Environment and Climate Action</w:t>
      </w:r>
      <w:r w:rsidRPr="00B63BD0">
        <w:t xml:space="preserve"> and the Department of Jobs, Skills, Industry and Regions.</w:t>
      </w:r>
    </w:p>
    <w:p w14:paraId="5BDB0414" w14:textId="77777777" w:rsidR="00604728" w:rsidRPr="00B63BD0" w:rsidRDefault="00604728" w:rsidP="00604728">
      <w:pPr>
        <w:pStyle w:val="Heading3"/>
        <w:keepNext w:val="0"/>
        <w:keepLines w:val="0"/>
      </w:pPr>
      <w:bookmarkStart w:id="23" w:name="_Toc186973683"/>
      <w:r w:rsidRPr="00B63BD0">
        <w:t>Recruitment advertising</w:t>
      </w:r>
      <w:bookmarkEnd w:id="23"/>
      <w:r w:rsidRPr="00B63BD0">
        <w:t xml:space="preserve"> </w:t>
      </w:r>
    </w:p>
    <w:p w14:paraId="7C384ED3" w14:textId="3E6539B6" w:rsidR="00604728" w:rsidRPr="00B63BD0" w:rsidRDefault="00604728" w:rsidP="00604728">
      <w:pPr>
        <w:pStyle w:val="DPCbody"/>
      </w:pPr>
      <w:r w:rsidRPr="00B63BD0">
        <w:t xml:space="preserve">In 2023–24, the highest spending government bodies for recruitment advertising were the Department of Health, Department of Justice and Community Safety and the Department of Education. </w:t>
      </w:r>
    </w:p>
    <w:p w14:paraId="03176E28" w14:textId="51B8701C" w:rsidR="00FC4433" w:rsidRPr="00B63BD0" w:rsidRDefault="00FC4433">
      <w:pPr>
        <w:rPr>
          <w:rFonts w:eastAsia="Times" w:cs="Arial"/>
          <w:color w:val="000000" w:themeColor="text1"/>
          <w:sz w:val="24"/>
          <w:szCs w:val="22"/>
          <w:lang w:eastAsia="en-US"/>
        </w:rPr>
      </w:pPr>
      <w:r w:rsidRPr="00B63BD0">
        <w:br w:type="page"/>
      </w:r>
    </w:p>
    <w:p w14:paraId="72B9FB46" w14:textId="7CC92BEF" w:rsidR="00437D42" w:rsidRPr="00B63BD0" w:rsidRDefault="00437D42" w:rsidP="00437D42">
      <w:pPr>
        <w:pStyle w:val="Heading2"/>
      </w:pPr>
      <w:bookmarkStart w:id="24" w:name="_Toc162453956"/>
      <w:bookmarkStart w:id="25" w:name="_Toc186973684"/>
      <w:r w:rsidRPr="00B63BD0">
        <w:lastRenderedPageBreak/>
        <w:t xml:space="preserve">Government advertising by channel – </w:t>
      </w:r>
      <w:bookmarkEnd w:id="24"/>
      <w:r w:rsidRPr="00B63BD0">
        <w:t>2023–24</w:t>
      </w:r>
      <w:bookmarkEnd w:id="25"/>
    </w:p>
    <w:p w14:paraId="63E9A07E" w14:textId="316A86AC" w:rsidR="00437D42" w:rsidRPr="00B63BD0" w:rsidRDefault="00437D42" w:rsidP="00437D42">
      <w:pPr>
        <w:pStyle w:val="DPCbody"/>
      </w:pPr>
      <w:r w:rsidRPr="00B63BD0">
        <w:t xml:space="preserve">The chart below shows percentage of total government advertising expenditure for 2023–24 per advertising channel. This includes </w:t>
      </w:r>
      <w:r w:rsidRPr="00B63BD0">
        <w:rPr>
          <w:b/>
          <w:bCs/>
        </w:rPr>
        <w:t>all</w:t>
      </w:r>
      <w:r w:rsidRPr="00B63BD0">
        <w:t xml:space="preserve"> government advertising: campaign, functional, and recruitment. </w:t>
      </w:r>
    </w:p>
    <w:p w14:paraId="14BEE98D" w14:textId="16DE9AE5" w:rsidR="00437D42" w:rsidRPr="00B63BD0" w:rsidRDefault="00437D42" w:rsidP="00437D42">
      <w:pPr>
        <w:pStyle w:val="DPCbody"/>
      </w:pPr>
      <w:r w:rsidRPr="00B63BD0">
        <w:t xml:space="preserve">Expenditure for 2023–24 showed advertising via digital and social media platforms accounted for </w:t>
      </w:r>
      <w:r w:rsidR="006528D1" w:rsidRPr="00B63BD0">
        <w:t xml:space="preserve">52.8 </w:t>
      </w:r>
      <w:r w:rsidRPr="00B63BD0">
        <w:t xml:space="preserve">cent of the government’s total spend, </w:t>
      </w:r>
      <w:r w:rsidR="4AE64982" w:rsidRPr="00B63BD0">
        <w:t>increasing from</w:t>
      </w:r>
      <w:r w:rsidRPr="00B63BD0">
        <w:t xml:space="preserve"> </w:t>
      </w:r>
      <w:r w:rsidR="006528D1" w:rsidRPr="00B63BD0">
        <w:t xml:space="preserve">46.6 </w:t>
      </w:r>
      <w:r w:rsidRPr="00B63BD0">
        <w:t xml:space="preserve">per cent in 2022–23. </w:t>
      </w:r>
    </w:p>
    <w:p w14:paraId="7B128FA6" w14:textId="7BE98243" w:rsidR="00437D42" w:rsidRPr="00B63BD0" w:rsidRDefault="00437D42" w:rsidP="00437D42">
      <w:pPr>
        <w:pStyle w:val="DPCbody"/>
      </w:pPr>
      <w:r w:rsidRPr="00B63BD0">
        <w:t xml:space="preserve">In 2023–24, expenditure on television advertising decreased to </w:t>
      </w:r>
      <w:r w:rsidR="006528D1" w:rsidRPr="00B63BD0">
        <w:t xml:space="preserve">9.4 </w:t>
      </w:r>
      <w:r w:rsidRPr="00B63BD0">
        <w:t xml:space="preserve">per cent of all advertising, compared to </w:t>
      </w:r>
      <w:r w:rsidR="006528D1" w:rsidRPr="00B63BD0">
        <w:t xml:space="preserve">15.0 </w:t>
      </w:r>
      <w:r w:rsidRPr="00B63BD0">
        <w:t xml:space="preserve">per cent in 2022–23, while expenditure on radio advertising decreased </w:t>
      </w:r>
      <w:r w:rsidR="006528D1" w:rsidRPr="00B63BD0">
        <w:t xml:space="preserve">slightly </w:t>
      </w:r>
      <w:r w:rsidRPr="00B63BD0">
        <w:t xml:space="preserve">to </w:t>
      </w:r>
      <w:r w:rsidR="006528D1" w:rsidRPr="00B63BD0">
        <w:t xml:space="preserve">10.8 </w:t>
      </w:r>
      <w:r w:rsidRPr="00B63BD0">
        <w:t xml:space="preserve">per cent in 2023–24 (compared to </w:t>
      </w:r>
      <w:r w:rsidR="006528D1" w:rsidRPr="00B63BD0">
        <w:t>11</w:t>
      </w:r>
      <w:r w:rsidRPr="00B63BD0">
        <w:t xml:space="preserve">.6 per cent in 2022–23). </w:t>
      </w:r>
    </w:p>
    <w:p w14:paraId="121DD3CF" w14:textId="546B505A" w:rsidR="00437D42" w:rsidRPr="00B63BD0" w:rsidRDefault="00437D42" w:rsidP="00437D42">
      <w:pPr>
        <w:pStyle w:val="DPCbody"/>
      </w:pPr>
      <w:r w:rsidRPr="00B63BD0">
        <w:t xml:space="preserve">Outdoor advertising </w:t>
      </w:r>
      <w:r w:rsidR="006528D1" w:rsidRPr="00B63BD0">
        <w:t xml:space="preserve">comprised </w:t>
      </w:r>
      <w:r w:rsidRPr="00B63BD0">
        <w:t>15.</w:t>
      </w:r>
      <w:r w:rsidR="006528D1" w:rsidRPr="00B63BD0">
        <w:t>4</w:t>
      </w:r>
      <w:r w:rsidRPr="00B63BD0">
        <w:t xml:space="preserve"> per cent, </w:t>
      </w:r>
      <w:proofErr w:type="gramStart"/>
      <w:r w:rsidR="006528D1" w:rsidRPr="00B63BD0">
        <w:t>similar to</w:t>
      </w:r>
      <w:proofErr w:type="gramEnd"/>
      <w:r w:rsidR="006528D1" w:rsidRPr="00B63BD0">
        <w:t xml:space="preserve"> the 15.7 </w:t>
      </w:r>
      <w:r w:rsidRPr="00B63BD0">
        <w:t xml:space="preserve">per cent </w:t>
      </w:r>
      <w:r w:rsidR="006528D1" w:rsidRPr="00B63BD0">
        <w:t xml:space="preserve">recorded </w:t>
      </w:r>
      <w:r w:rsidRPr="00B63BD0">
        <w:t xml:space="preserve">in </w:t>
      </w:r>
      <w:r w:rsidR="006528D1" w:rsidRPr="00B63BD0">
        <w:t>2022–23</w:t>
      </w:r>
      <w:r w:rsidRPr="00B63BD0">
        <w:t xml:space="preserve">, while press advertising </w:t>
      </w:r>
      <w:r w:rsidR="006528D1" w:rsidRPr="00B63BD0">
        <w:t>increased slightly to 10</w:t>
      </w:r>
      <w:r w:rsidRPr="00B63BD0">
        <w:t>.4 per cent of total advertising expenditure (compared to 9.</w:t>
      </w:r>
      <w:r w:rsidR="006528D1" w:rsidRPr="00B63BD0">
        <w:t>4</w:t>
      </w:r>
      <w:r w:rsidRPr="00B63BD0">
        <w:t xml:space="preserve"> per cent in 2022–23). </w:t>
      </w:r>
    </w:p>
    <w:p w14:paraId="08639B15" w14:textId="704134FD" w:rsidR="00437D42" w:rsidRPr="00B63BD0" w:rsidRDefault="00437D42" w:rsidP="00437D42">
      <w:pPr>
        <w:pStyle w:val="DPCbody"/>
      </w:pPr>
      <w:r w:rsidRPr="00B63BD0">
        <w:rPr>
          <w:noProof/>
        </w:rPr>
        <w:drawing>
          <wp:inline distT="0" distB="0" distL="0" distR="0" wp14:anchorId="109ACF3D" wp14:editId="64827C33">
            <wp:extent cx="6273800" cy="5419725"/>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A4FCEB6" w14:textId="77777777" w:rsidR="00437D42" w:rsidRPr="00B63BD0" w:rsidRDefault="00437D42" w:rsidP="00FC4433">
      <w:pPr>
        <w:pStyle w:val="DPCbody"/>
      </w:pPr>
    </w:p>
    <w:p w14:paraId="5E1AC74A" w14:textId="77777777" w:rsidR="007E1818" w:rsidRPr="00B63BD0" w:rsidRDefault="007E1818" w:rsidP="007E1818">
      <w:pPr>
        <w:pStyle w:val="Heading2"/>
      </w:pPr>
      <w:bookmarkStart w:id="26" w:name="_Toc162453957"/>
      <w:bookmarkStart w:id="27" w:name="_Toc186973685"/>
      <w:r w:rsidRPr="00B63BD0">
        <w:lastRenderedPageBreak/>
        <w:t>Government campaign advertising by communication priority areas</w:t>
      </w:r>
      <w:bookmarkEnd w:id="26"/>
      <w:bookmarkEnd w:id="27"/>
      <w:r w:rsidRPr="00B63BD0">
        <w:t xml:space="preserve"> </w:t>
      </w:r>
    </w:p>
    <w:p w14:paraId="445C4CA8" w14:textId="5103D022" w:rsidR="007E1818" w:rsidRPr="00B63BD0" w:rsidRDefault="007E1818" w:rsidP="007E1818">
      <w:pPr>
        <w:pStyle w:val="DPCbody"/>
      </w:pPr>
      <w:r w:rsidRPr="00B63BD0">
        <w:t>All campaign advertising undertaken by the Victorian Government during 2023–24 fulfilled one of five ‘priority areas’ for government communication:</w:t>
      </w:r>
    </w:p>
    <w:p w14:paraId="23F59CA7" w14:textId="77777777" w:rsidR="007E1818" w:rsidRPr="00B63BD0" w:rsidRDefault="007E1818" w:rsidP="007E1818">
      <w:pPr>
        <w:pStyle w:val="DPCbullet1"/>
        <w:numPr>
          <w:ilvl w:val="0"/>
          <w:numId w:val="23"/>
        </w:numPr>
      </w:pPr>
      <w:r w:rsidRPr="00B63BD0">
        <w:t xml:space="preserve">Public safety and behaviour change </w:t>
      </w:r>
    </w:p>
    <w:p w14:paraId="2087816B" w14:textId="77777777" w:rsidR="007E1818" w:rsidRPr="00B63BD0" w:rsidRDefault="007E1818" w:rsidP="007E1818">
      <w:pPr>
        <w:pStyle w:val="DPCbullet1"/>
        <w:numPr>
          <w:ilvl w:val="0"/>
          <w:numId w:val="23"/>
        </w:numPr>
      </w:pPr>
      <w:r w:rsidRPr="00B63BD0">
        <w:t xml:space="preserve">Building social cohesion, civic pride and community spirit </w:t>
      </w:r>
    </w:p>
    <w:p w14:paraId="097CBC0B" w14:textId="77777777" w:rsidR="007E1818" w:rsidRPr="00B63BD0" w:rsidRDefault="007E1818" w:rsidP="007E1818">
      <w:pPr>
        <w:pStyle w:val="DPCbullet1"/>
        <w:numPr>
          <w:ilvl w:val="0"/>
          <w:numId w:val="23"/>
        </w:numPr>
      </w:pPr>
      <w:r w:rsidRPr="00B63BD0">
        <w:t xml:space="preserve">Supporting commercial and economic investment in Victoria </w:t>
      </w:r>
    </w:p>
    <w:p w14:paraId="1146A121" w14:textId="77777777" w:rsidR="007E1818" w:rsidRPr="00B63BD0" w:rsidRDefault="007E1818" w:rsidP="007E1818">
      <w:pPr>
        <w:pStyle w:val="DPCbullet1"/>
        <w:numPr>
          <w:ilvl w:val="0"/>
          <w:numId w:val="23"/>
        </w:numPr>
      </w:pPr>
      <w:r w:rsidRPr="00B63BD0">
        <w:t xml:space="preserve">Generation of revenue to support Victorian institutions and events </w:t>
      </w:r>
    </w:p>
    <w:p w14:paraId="5DA02C21" w14:textId="77777777" w:rsidR="007E1818" w:rsidRPr="00B63BD0" w:rsidRDefault="007E1818" w:rsidP="007E1818">
      <w:pPr>
        <w:pStyle w:val="DPCbullet1"/>
        <w:numPr>
          <w:ilvl w:val="0"/>
          <w:numId w:val="23"/>
        </w:numPr>
      </w:pPr>
      <w:r w:rsidRPr="00B63BD0">
        <w:t>Ensuring compliance with legislative requirements.</w:t>
      </w:r>
    </w:p>
    <w:p w14:paraId="2D45D334" w14:textId="5E8093C9" w:rsidR="007E1818" w:rsidRPr="00B63BD0" w:rsidRDefault="007E1818" w:rsidP="007E1818">
      <w:pPr>
        <w:pStyle w:val="DPCbodyafterbullets"/>
      </w:pPr>
      <w:r w:rsidRPr="00B63BD0">
        <w:t xml:space="preserve">The chart below shows 2023–24 expenditure for each communication priority area, as a proportion of the government’s total expenditure on campaign advertising. </w:t>
      </w:r>
      <w:r w:rsidRPr="00B63BD0">
        <w:rPr>
          <w:noProof/>
        </w:rPr>
        <w:drawing>
          <wp:inline distT="0" distB="0" distL="0" distR="0" wp14:anchorId="6AC44A14" wp14:editId="43C84F5B">
            <wp:extent cx="6694805" cy="593407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6D50F71" w14:textId="77777777" w:rsidR="00165CD6" w:rsidRPr="00B63BD0" w:rsidRDefault="00165CD6">
      <w:pPr>
        <w:rPr>
          <w:b/>
          <w:color w:val="595959" w:themeColor="text1" w:themeTint="A6"/>
          <w:sz w:val="28"/>
        </w:rPr>
      </w:pPr>
      <w:bookmarkStart w:id="28" w:name="_Toc162453958"/>
      <w:r w:rsidRPr="00B63BD0">
        <w:br w:type="page"/>
      </w:r>
    </w:p>
    <w:p w14:paraId="36DCABD5" w14:textId="05B25E37" w:rsidR="007E1818" w:rsidRPr="00B63BD0" w:rsidRDefault="007E1818" w:rsidP="007E1818">
      <w:pPr>
        <w:pStyle w:val="Heading2"/>
      </w:pPr>
      <w:bookmarkStart w:id="29" w:name="_Toc186973686"/>
      <w:r w:rsidRPr="00B63BD0">
        <w:lastRenderedPageBreak/>
        <w:t>Victorian Government communication targets</w:t>
      </w:r>
      <w:bookmarkEnd w:id="28"/>
      <w:bookmarkEnd w:id="29"/>
      <w:r w:rsidRPr="00B63BD0">
        <w:t xml:space="preserve"> </w:t>
      </w:r>
    </w:p>
    <w:p w14:paraId="4AB8DD40" w14:textId="77777777" w:rsidR="007E1818" w:rsidRPr="00B63BD0" w:rsidRDefault="007E1818" w:rsidP="007E1818">
      <w:pPr>
        <w:pStyle w:val="DPCbody"/>
      </w:pPr>
      <w:r w:rsidRPr="00B63BD0">
        <w:t xml:space="preserve">The Victorian Government is committed to communicating with all Victorians and has advertising expenditure targets for regional and multicultural media to help ensure effective communication with these audiences.  </w:t>
      </w:r>
    </w:p>
    <w:p w14:paraId="310CB60B" w14:textId="77777777" w:rsidR="007E1818" w:rsidRPr="00B63BD0" w:rsidRDefault="007E1818" w:rsidP="007E1818">
      <w:pPr>
        <w:pStyle w:val="Heading3"/>
      </w:pPr>
      <w:bookmarkStart w:id="30" w:name="_Toc186973687"/>
      <w:r w:rsidRPr="00B63BD0">
        <w:t>Regional media campaign advertising expenditure</w:t>
      </w:r>
      <w:bookmarkEnd w:id="30"/>
      <w:r w:rsidRPr="00B63BD0">
        <w:t xml:space="preserve"> </w:t>
      </w:r>
    </w:p>
    <w:p w14:paraId="4FB09D03" w14:textId="77777777" w:rsidR="007E1818" w:rsidRPr="00B63BD0" w:rsidRDefault="007E1818" w:rsidP="007E1818">
      <w:pPr>
        <w:pStyle w:val="DPCbody"/>
      </w:pPr>
      <w:r w:rsidRPr="00B63BD0">
        <w:t xml:space="preserve">The Victorian Government’s </w:t>
      </w:r>
      <w:hyperlink r:id="rId29" w:anchor="reaching-regional-victorians" w:history="1">
        <w:r w:rsidRPr="00B63BD0">
          <w:rPr>
            <w:rStyle w:val="Hyperlink"/>
          </w:rPr>
          <w:t>Regional Communication Policy</w:t>
        </w:r>
      </w:hyperlink>
      <w:r w:rsidRPr="00B63BD0">
        <w:t xml:space="preserve"> requires that government departments and agencies place 15 per cent of their annual campaign media expenditure in Victoria with regional and rural media. </w:t>
      </w:r>
    </w:p>
    <w:p w14:paraId="45844DD6" w14:textId="77777777" w:rsidR="007E1818" w:rsidRPr="00B63BD0" w:rsidRDefault="007E1818" w:rsidP="007E1818">
      <w:pPr>
        <w:pStyle w:val="DPCbody"/>
      </w:pPr>
      <w:r w:rsidRPr="00B63BD0">
        <w:t xml:space="preserve">This includes, but is not limited to, dedicated regional press, radio and outdoor media buys for Victorian regional or rural audiences. The government also uses digital and social media advertising to reach audiences in regional Victoria. </w:t>
      </w:r>
    </w:p>
    <w:p w14:paraId="7FAAEB19" w14:textId="69A58FC3" w:rsidR="007E1818" w:rsidRPr="00B63BD0" w:rsidRDefault="007E1818" w:rsidP="007E1818">
      <w:pPr>
        <w:pStyle w:val="DPCbody"/>
      </w:pPr>
      <w:r w:rsidRPr="00B63BD0">
        <w:t xml:space="preserve">In </w:t>
      </w:r>
      <w:r w:rsidR="00A01AB6" w:rsidRPr="00B63BD0">
        <w:t>2023–24</w:t>
      </w:r>
      <w:r w:rsidRPr="00B63BD0">
        <w:t>, the Victorian Government spent $</w:t>
      </w:r>
      <w:r w:rsidR="00A01AB6" w:rsidRPr="00B63BD0">
        <w:t xml:space="preserve">18.5 </w:t>
      </w:r>
      <w:r w:rsidRPr="00B63BD0">
        <w:t xml:space="preserve">million on campaign advertising for regional and rural audiences in Victoria (including via digital and social media). This figure represents </w:t>
      </w:r>
      <w:r w:rsidR="00D506B5" w:rsidRPr="00B63BD0">
        <w:rPr>
          <w:b/>
          <w:bCs/>
        </w:rPr>
        <w:t>25.4</w:t>
      </w:r>
      <w:r w:rsidRPr="00B63BD0">
        <w:rPr>
          <w:b/>
          <w:bCs/>
        </w:rPr>
        <w:t xml:space="preserve"> per cent</w:t>
      </w:r>
      <w:r w:rsidRPr="00B63BD0">
        <w:t xml:space="preserve"> of the government’s total campaign advertising budget in Victoria. This result is well above the 15 per cent regional media expenditure target for government campaign advertising.</w:t>
      </w:r>
    </w:p>
    <w:p w14:paraId="5B0A0E8C" w14:textId="77777777" w:rsidR="007E1818" w:rsidRPr="00B63BD0" w:rsidRDefault="007E1818" w:rsidP="007E1818">
      <w:pPr>
        <w:pStyle w:val="Heading3"/>
      </w:pPr>
      <w:bookmarkStart w:id="31" w:name="_Toc186973688"/>
      <w:r w:rsidRPr="00B63BD0">
        <w:t>Multicultural media campaign advertising expenditure</w:t>
      </w:r>
      <w:bookmarkEnd w:id="31"/>
    </w:p>
    <w:p w14:paraId="2BDD036D" w14:textId="242A07AE" w:rsidR="007E1818" w:rsidRPr="00B63BD0" w:rsidRDefault="007E1818" w:rsidP="007E1818">
      <w:pPr>
        <w:pStyle w:val="DPCbody"/>
      </w:pPr>
      <w:r w:rsidRPr="00B63BD0">
        <w:t xml:space="preserve">For </w:t>
      </w:r>
      <w:r w:rsidR="00D506B5" w:rsidRPr="00B63BD0">
        <w:t>2023–24</w:t>
      </w:r>
      <w:r w:rsidRPr="00B63BD0">
        <w:t xml:space="preserve">, the </w:t>
      </w:r>
      <w:hyperlink r:id="rId30" w:anchor="communicating-with-multicultural-victorians" w:history="1">
        <w:r w:rsidRPr="00B63BD0">
          <w:rPr>
            <w:rStyle w:val="Hyperlink"/>
            <w:iCs/>
            <w:color w:val="auto"/>
          </w:rPr>
          <w:t xml:space="preserve">Victorian Government’s </w:t>
        </w:r>
        <w:r w:rsidRPr="00B63BD0">
          <w:rPr>
            <w:rStyle w:val="Hyperlink"/>
            <w:iCs/>
          </w:rPr>
          <w:t>Multicultural Communications Policy</w:t>
        </w:r>
      </w:hyperlink>
      <w:r w:rsidRPr="00B63BD0">
        <w:rPr>
          <w:rStyle w:val="Hyperlink"/>
          <w:i/>
        </w:rPr>
        <w:t xml:space="preserve"> </w:t>
      </w:r>
      <w:r w:rsidRPr="00B63BD0">
        <w:t xml:space="preserve">required that government departments and agencies commit a minimum of </w:t>
      </w:r>
      <w:r w:rsidR="00D506B5" w:rsidRPr="00B63BD0">
        <w:rPr>
          <w:b/>
          <w:bCs/>
        </w:rPr>
        <w:t>15</w:t>
      </w:r>
      <w:r w:rsidRPr="00B63BD0">
        <w:rPr>
          <w:b/>
          <w:bCs/>
        </w:rPr>
        <w:t xml:space="preserve"> per cent</w:t>
      </w:r>
      <w:r w:rsidRPr="00B63BD0">
        <w:t xml:space="preserve"> of their total campaign media expenditure in Victoria towards multicultural media. </w:t>
      </w:r>
      <w:r w:rsidR="00D506B5" w:rsidRPr="00B63BD0">
        <w:t xml:space="preserve">This minimum campaign expenditure requirement increased from </w:t>
      </w:r>
      <w:r w:rsidR="00D506B5" w:rsidRPr="00B63BD0">
        <w:rPr>
          <w:b/>
          <w:bCs/>
        </w:rPr>
        <w:t>5 per cent</w:t>
      </w:r>
      <w:r w:rsidR="00D506B5" w:rsidRPr="00B63BD0">
        <w:t xml:space="preserve"> for 2022–23 and prior years, to </w:t>
      </w:r>
      <w:r w:rsidR="00D506B5" w:rsidRPr="00B63BD0">
        <w:rPr>
          <w:b/>
          <w:bCs/>
        </w:rPr>
        <w:t xml:space="preserve">15 per cent </w:t>
      </w:r>
      <w:r w:rsidR="00D506B5" w:rsidRPr="00B63BD0">
        <w:t xml:space="preserve">for 2023–24 onwards. </w:t>
      </w:r>
    </w:p>
    <w:p w14:paraId="58D93C05" w14:textId="7096CD5D" w:rsidR="007E1818" w:rsidRPr="00B63BD0" w:rsidRDefault="007E1818" w:rsidP="007E1818">
      <w:pPr>
        <w:pStyle w:val="DPCbody"/>
      </w:pPr>
      <w:r w:rsidRPr="00B63BD0">
        <w:t xml:space="preserve">In </w:t>
      </w:r>
      <w:r w:rsidR="00D506B5" w:rsidRPr="00B63BD0">
        <w:t>2023–24</w:t>
      </w:r>
      <w:r w:rsidRPr="00B63BD0">
        <w:t>, the Victorian Government spent $</w:t>
      </w:r>
      <w:r w:rsidR="00A01AB6" w:rsidRPr="00B63BD0">
        <w:t xml:space="preserve">10.6 </w:t>
      </w:r>
      <w:r w:rsidRPr="00B63BD0">
        <w:t xml:space="preserve">million on campaign advertising targeting multicultural audiences in Victoria, across both ‘traditional’ and digital media (including social media platforms). </w:t>
      </w:r>
    </w:p>
    <w:p w14:paraId="20E07A56" w14:textId="3F9795B1" w:rsidR="007E1818" w:rsidRPr="00B63BD0" w:rsidRDefault="007E1818" w:rsidP="007E1818">
      <w:pPr>
        <w:pStyle w:val="DPCbody"/>
      </w:pPr>
      <w:r w:rsidRPr="00B63BD0">
        <w:t xml:space="preserve">This expenditure represents </w:t>
      </w:r>
      <w:r w:rsidR="00D506B5" w:rsidRPr="00B63BD0">
        <w:rPr>
          <w:b/>
          <w:bCs/>
        </w:rPr>
        <w:t xml:space="preserve">14.95 </w:t>
      </w:r>
      <w:r w:rsidRPr="00B63BD0">
        <w:rPr>
          <w:b/>
          <w:bCs/>
        </w:rPr>
        <w:t>per cent</w:t>
      </w:r>
      <w:r w:rsidRPr="00B63BD0">
        <w:t xml:space="preserve"> of the government’s total campaign advertising budget in Victoria</w:t>
      </w:r>
      <w:r w:rsidR="00D506B5" w:rsidRPr="00B63BD0">
        <w:t xml:space="preserve">. </w:t>
      </w:r>
    </w:p>
    <w:p w14:paraId="190E0094" w14:textId="25BBC126" w:rsidR="007E1818" w:rsidRPr="00B63BD0" w:rsidRDefault="007E1818">
      <w:pPr>
        <w:rPr>
          <w:rFonts w:eastAsia="Times" w:cs="Arial"/>
          <w:color w:val="000000" w:themeColor="text1"/>
          <w:sz w:val="24"/>
          <w:szCs w:val="22"/>
          <w:lang w:eastAsia="en-US"/>
        </w:rPr>
      </w:pPr>
      <w:r w:rsidRPr="00B63BD0">
        <w:br w:type="page"/>
      </w:r>
    </w:p>
    <w:p w14:paraId="6BF05031" w14:textId="77777777" w:rsidR="007E1818" w:rsidRPr="00B63BD0" w:rsidRDefault="007E1818" w:rsidP="007E1818">
      <w:pPr>
        <w:pStyle w:val="Heading1"/>
      </w:pPr>
      <w:bookmarkStart w:id="32" w:name="_Toc162453959"/>
      <w:bookmarkStart w:id="33" w:name="_Toc186973689"/>
      <w:r w:rsidRPr="00B63BD0">
        <w:lastRenderedPageBreak/>
        <w:t>Government communication policies and guidelines</w:t>
      </w:r>
      <w:bookmarkEnd w:id="32"/>
      <w:bookmarkEnd w:id="33"/>
    </w:p>
    <w:p w14:paraId="7D415D96" w14:textId="77777777" w:rsidR="007E1818" w:rsidRPr="00B63BD0" w:rsidRDefault="007E1818" w:rsidP="007E1818">
      <w:pPr>
        <w:pStyle w:val="DPCbody"/>
      </w:pPr>
      <w:r w:rsidRPr="00B63BD0">
        <w:t xml:space="preserve">Victorian Government communication policies and guidelines ensure that government communication is effective, well managed and responsive to the diverse needs of the Victorian community. Policies and guidelines are reviewed and updated from time to time as needed. </w:t>
      </w:r>
    </w:p>
    <w:p w14:paraId="2EED9816" w14:textId="4FB03203" w:rsidR="007E1818" w:rsidRPr="00B63BD0" w:rsidRDefault="007E1818" w:rsidP="007E1818">
      <w:pPr>
        <w:pStyle w:val="DPCbody"/>
      </w:pPr>
      <w:hyperlink r:id="rId31" w:history="1">
        <w:r w:rsidRPr="00B63BD0">
          <w:rPr>
            <w:rStyle w:val="Hyperlink"/>
          </w:rPr>
          <w:t>Current policies and guidelines are located on the vic.gov.au website</w:t>
        </w:r>
      </w:hyperlink>
    </w:p>
    <w:p w14:paraId="3133B226" w14:textId="35D07464" w:rsidR="003C38BE" w:rsidRPr="00B63BD0" w:rsidRDefault="003C38BE" w:rsidP="00FC4433">
      <w:pPr>
        <w:pStyle w:val="DPCbody"/>
        <w:rPr>
          <w:rFonts w:asciiTheme="majorHAnsi" w:eastAsiaTheme="majorEastAsia" w:hAnsiTheme="majorHAnsi" w:cstheme="majorBidi"/>
          <w:b/>
          <w:iCs/>
          <w:color w:val="0072CE" w:themeColor="accent1"/>
        </w:rPr>
      </w:pPr>
      <w:r w:rsidRPr="00B63BD0">
        <w:br w:type="page"/>
      </w:r>
    </w:p>
    <w:p w14:paraId="05D90CE0" w14:textId="77777777" w:rsidR="00B639AD" w:rsidRPr="00B63BD0" w:rsidRDefault="00B639AD" w:rsidP="00B639AD">
      <w:pPr>
        <w:pStyle w:val="Coverurl"/>
        <w:framePr w:wrap="around" w:x="852" w:anchorLock="1"/>
        <w:rPr>
          <w:rStyle w:val="Hyperlink"/>
        </w:rPr>
      </w:pPr>
      <w:r w:rsidRPr="00B63BD0">
        <w:lastRenderedPageBreak/>
        <w:fldChar w:fldCharType="begin"/>
      </w:r>
      <w:r w:rsidRPr="00B63BD0">
        <w:instrText>HYPERLINK "http://vic.gov.au/dpc" \o "Visit DPC"</w:instrText>
      </w:r>
      <w:r w:rsidRPr="00B63BD0">
        <w:fldChar w:fldCharType="separate"/>
      </w:r>
      <w:r w:rsidRPr="00B63BD0">
        <w:rPr>
          <w:rStyle w:val="Hyperlink"/>
        </w:rPr>
        <w:t>dpc.vic.gov.au</w:t>
      </w:r>
    </w:p>
    <w:p w14:paraId="63816604" w14:textId="1358E3AE" w:rsidR="003226EF" w:rsidRPr="003226EF" w:rsidRDefault="00B639AD" w:rsidP="003226EF">
      <w:pPr>
        <w:pStyle w:val="BodyText12ptAccessible"/>
        <w:rPr>
          <w:color w:val="201547" w:themeColor="text2"/>
          <w:lang w:eastAsia="en-AU"/>
        </w:rPr>
      </w:pPr>
      <w:r w:rsidRPr="00B63BD0">
        <w:rPr>
          <w:color w:val="201547" w:themeColor="text2"/>
          <w:lang w:eastAsia="en-AU"/>
        </w:rPr>
        <w:fldChar w:fldCharType="end"/>
      </w:r>
      <w:r w:rsidRPr="00B63BD0">
        <w:rPr>
          <w:rFonts w:ascii="VIC SemiBold" w:hAnsi="VIC SemiBold"/>
          <w:bCs/>
          <w:noProof/>
          <w:color w:val="FFFFFF" w:themeColor="background1"/>
        </w:rPr>
        <mc:AlternateContent>
          <mc:Choice Requires="wps">
            <w:drawing>
              <wp:anchor distT="0" distB="0" distL="114300" distR="114300" simplePos="0" relativeHeight="251658241" behindDoc="1" locked="1" layoutInCell="1" allowOverlap="1" wp14:anchorId="493D4B4F" wp14:editId="4F7EE69F">
                <wp:simplePos x="0" y="0"/>
                <wp:positionH relativeFrom="page">
                  <wp:posOffset>0</wp:posOffset>
                </wp:positionH>
                <wp:positionV relativeFrom="page">
                  <wp:posOffset>0</wp:posOffset>
                </wp:positionV>
                <wp:extent cx="7560000" cy="9360000"/>
                <wp:effectExtent l="0" t="0" r="3175" b="0"/>
                <wp:wrapNone/>
                <wp:docPr id="19616416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3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c="http://schemas.openxmlformats.org/drawingml/2006/chart" xmlns:a14="http://schemas.microsoft.com/office/drawing/2010/main" xmlns:asvg="http://schemas.microsoft.com/office/drawing/2016/SVG/main" xmlns:pic="http://schemas.openxmlformats.org/drawingml/2006/picture" xmlns:adec="http://schemas.microsoft.com/office/drawing/2017/decorative" xmlns:a="http://schemas.openxmlformats.org/drawingml/2006/main">
            <w:pict w14:anchorId="725A94D7">
              <v:rect id="Rectangle 1" style="position:absolute;margin-left:0;margin-top:0;width:595.3pt;height:73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201547 [3215]" stroked="f" strokeweight="1pt" w14:anchorId="6AF14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hVegIAAF8FAAAOAAAAZHJzL2Uyb0RvYy54bWysVEtv2zAMvg/YfxB0X51kfaxBnSJI0WFA&#10;0RZth55VWYoNyKJGKXGyXz9Ksp2uK3YY5oMsih8/PkTq4nLXGrZV6BuwJZ8eTThTVkLV2HXJvz9d&#10;f/rCmQ/CVsKAVSXfK88vFx8/XHRurmZQg6kUMiKxft65ktchuHlReFmrVvgjcMqSUgO2IpCI66JC&#10;0RF7a4rZZHJadICVQ5DKezq9ykq+SPxaKxnutPYqMFNyii2kFdP6EtdicSHmaxSubmQfhviHKFrR&#10;WHI6Ul2JINgGmz+o2kYieNDhSEJbgNaNVCkHymY6eZPNYy2cSrlQcbwby+T/H6283T66e6QydM7P&#10;PW1jFjuNbfxTfGyXirUfi6V2gUk6PDs5ndDHmSTd+ecsEE9xMHfow1cFLYubkiPdRiqS2N74kKED&#10;JHrzYJrqujEmCbED1Mog2wq6u7Cbxbsi8t9QxkashWiV1fGkOOSSdmFvVMQZ+6A0ayqKfpYCSW12&#10;cCKkVDZMs6oWlcq+pycxz977EFaKJRFGZk3+R+6eYEBmkoE70/T4aKpSl47Gk78Flo1Hi+QZbBiN&#10;28YCvkdgKKvec8YPRcqliVV6gWp/jwwhz4h38rqha7sRPtwLpKGgq6ZBD3e0aANdyaHfcVYD/nzv&#10;POKpV0nLWUdDVnL/YyNQcWa+Weri8+nxcZzKJByfnM1IwNeal9cau2lXQL0wpSfFybSN+GCGrUZo&#10;n+k9WEavpBJWku+Sy4CDsAp5+OlFkWq5TDCaRCfCjX10MpLHqsa2fNo9C3R97wZq+1sYBlLM37Rw&#10;xkZLC8tNAN2k/j7Uta83TXFqnP7Fic/EazmhDu/i4hcAAAD//wMAUEsDBBQABgAIAAAAIQA9q1cm&#10;4AAAAAcBAAAPAAAAZHJzL2Rvd25yZXYueG1sTI9BS8NAEIXvQv/DMgVvdrel1CbNpojgQUTEtoi9&#10;bbJjNjY7G7LbJvrr3XppL8Mb3vDeN9l6sA07YedrRxKmEwEMqXS6pkrCbvt0twTmgyKtGkco4Qc9&#10;rPPRTaZS7Xp6x9MmVCyGkE+VBBNCm3LuS4NW+YlrkaL35TqrQly7iutO9THcNnwmxIJbVVNsMKrF&#10;R4PlYXO0Etz3b7J76V8PxdYk5cd+Vn0+v/VS3o6HhxWwgEO4HMMZP6JDHpkKdyTtWSMhPhL+59mb&#10;JmIBrIhqfj8XwPOMX/PnfwAAAP//AwBQSwECLQAUAAYACAAAACEAtoM4kv4AAADhAQAAEwAAAAAA&#10;AAAAAAAAAAAAAAAAW0NvbnRlbnRfVHlwZXNdLnhtbFBLAQItABQABgAIAAAAIQA4/SH/1gAAAJQB&#10;AAALAAAAAAAAAAAAAAAAAC8BAABfcmVscy8ucmVsc1BLAQItABQABgAIAAAAIQC4XAhVegIAAF8F&#10;AAAOAAAAAAAAAAAAAAAAAC4CAABkcnMvZTJvRG9jLnhtbFBLAQItABQABgAIAAAAIQA9q1cm4AAA&#10;AAcBAAAPAAAAAAAAAAAAAAAAANQEAABkcnMvZG93bnJldi54bWxQSwUGAAAAAAQABADzAAAA4QUA&#10;AAAA&#10;">
                <w10:wrap anchorx="page" anchory="page"/>
                <w10:anchorlock/>
              </v:rect>
            </w:pict>
          </mc:Fallback>
        </mc:AlternateContent>
      </w:r>
      <w:r w:rsidR="00733A33" w:rsidRPr="00B63BD0">
        <w:rPr>
          <w:rStyle w:val="Strong"/>
          <w:noProof/>
          <w:color w:val="FFFFFF" w:themeColor="background1"/>
        </w:rPr>
        <w:drawing>
          <wp:anchor distT="0" distB="0" distL="114300" distR="114300" simplePos="0" relativeHeight="251658240" behindDoc="1" locked="0" layoutInCell="1" allowOverlap="1" wp14:anchorId="52624232" wp14:editId="1E92493D">
            <wp:simplePos x="0" y="0"/>
            <wp:positionH relativeFrom="page">
              <wp:posOffset>5368290</wp:posOffset>
            </wp:positionH>
            <wp:positionV relativeFrom="page">
              <wp:posOffset>9699244</wp:posOffset>
            </wp:positionV>
            <wp:extent cx="1818000" cy="540000"/>
            <wp:effectExtent l="0" t="0" r="0" b="0"/>
            <wp:wrapNone/>
            <wp:docPr id="178760192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01925" name="Graphic 1">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1818000" cy="540000"/>
                    </a:xfrm>
                    <a:prstGeom prst="rect">
                      <a:avLst/>
                    </a:prstGeom>
                  </pic:spPr>
                </pic:pic>
              </a:graphicData>
            </a:graphic>
            <wp14:sizeRelH relativeFrom="margin">
              <wp14:pctWidth>0</wp14:pctWidth>
            </wp14:sizeRelH>
            <wp14:sizeRelV relativeFrom="margin">
              <wp14:pctHeight>0</wp14:pctHeight>
            </wp14:sizeRelV>
          </wp:anchor>
        </w:drawing>
      </w:r>
    </w:p>
    <w:p w14:paraId="35A855BB" w14:textId="77777777" w:rsidR="003226EF" w:rsidRPr="003226EF" w:rsidRDefault="003226EF" w:rsidP="003226EF">
      <w:pPr>
        <w:pStyle w:val="BodyText"/>
        <w:rPr>
          <w:lang w:eastAsia="en-US"/>
        </w:rPr>
      </w:pPr>
    </w:p>
    <w:sectPr w:rsidR="003226EF" w:rsidRPr="003226EF" w:rsidSect="00BB5F09">
      <w:headerReference w:type="default" r:id="rId32"/>
      <w:footerReference w:type="default" r:id="rId33"/>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B929" w14:textId="77777777" w:rsidR="000A0FD6" w:rsidRDefault="000A0FD6" w:rsidP="00921FD3">
      <w:r>
        <w:separator/>
      </w:r>
    </w:p>
    <w:p w14:paraId="5F28008E" w14:textId="77777777" w:rsidR="000A0FD6" w:rsidRDefault="000A0FD6"/>
    <w:p w14:paraId="1CAA3D4D" w14:textId="77777777" w:rsidR="000A0FD6" w:rsidRDefault="000A0FD6"/>
    <w:p w14:paraId="49FE7429" w14:textId="77777777" w:rsidR="000A0FD6" w:rsidRDefault="000A0FD6"/>
    <w:p w14:paraId="41BB23C8" w14:textId="77777777" w:rsidR="000A0FD6" w:rsidRDefault="000A0FD6"/>
    <w:p w14:paraId="43589629" w14:textId="77777777" w:rsidR="000A0FD6" w:rsidRDefault="000A0FD6"/>
  </w:endnote>
  <w:endnote w:type="continuationSeparator" w:id="0">
    <w:p w14:paraId="71182C1C" w14:textId="77777777" w:rsidR="000A0FD6" w:rsidRDefault="000A0FD6" w:rsidP="00921FD3">
      <w:r>
        <w:continuationSeparator/>
      </w:r>
    </w:p>
    <w:p w14:paraId="47611559" w14:textId="77777777" w:rsidR="000A0FD6" w:rsidRDefault="000A0FD6"/>
    <w:p w14:paraId="727CD5D0" w14:textId="77777777" w:rsidR="000A0FD6" w:rsidRDefault="000A0FD6"/>
    <w:p w14:paraId="3A238EA4" w14:textId="77777777" w:rsidR="000A0FD6" w:rsidRDefault="000A0FD6"/>
    <w:p w14:paraId="0123E9A5" w14:textId="77777777" w:rsidR="000A0FD6" w:rsidRDefault="000A0FD6"/>
    <w:p w14:paraId="59C71E08" w14:textId="77777777" w:rsidR="000A0FD6" w:rsidRDefault="000A0FD6"/>
  </w:endnote>
  <w:endnote w:type="continuationNotice" w:id="1">
    <w:p w14:paraId="65322A67" w14:textId="77777777" w:rsidR="000A0FD6" w:rsidRDefault="000A0FD6"/>
    <w:p w14:paraId="50918B55" w14:textId="77777777" w:rsidR="000A0FD6" w:rsidRDefault="000A0FD6"/>
    <w:p w14:paraId="7A9B1484" w14:textId="77777777" w:rsidR="000A0FD6" w:rsidRDefault="000A0FD6"/>
    <w:p w14:paraId="2A6F0796" w14:textId="77777777" w:rsidR="000A0FD6" w:rsidRDefault="000A0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embedRegular r:id="rId1" w:subsetted="1" w:fontKey="{37B58EFD-4566-4346-8DD0-52A056381519}"/>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2" w:fontKey="{9D2F68EA-7D37-46FB-BAB3-B2B19B4E6406}"/>
    <w:embedBold r:id="rId3" w:fontKey="{BD89A67F-3A09-4906-9F42-B67B1CCF5BC6}"/>
    <w:embedItalic r:id="rId4" w:fontKey="{E142E149-8BF3-4E07-99DF-AAA6DCF358C4}"/>
    <w:embedBoldItalic r:id="rId5" w:fontKey="{3486160F-507A-445C-BDA5-AB3CAC35096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6" w:fontKey="{8C6C453E-84E5-4E10-BED3-D2FB768AEF4F}"/>
    <w:embedBold r:id="rId7" w:fontKey="{E01CC7B6-B569-48CA-8B84-6AAD8A7F83B8}"/>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variable"/>
    <w:sig w:usb0="E0002AFF" w:usb1="C0007841" w:usb2="00000009" w:usb3="00000000" w:csb0="000001FF" w:csb1="00000000"/>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8EF0" w14:textId="77777777" w:rsidR="002A4E35" w:rsidRDefault="002A4E35"/>
  <w:p w14:paraId="6A0F7C3B" w14:textId="77777777" w:rsidR="00BF70EB" w:rsidRDefault="00BF70EB">
    <w:pPr>
      <w:pStyle w:val="Footer"/>
    </w:pPr>
  </w:p>
  <w:p w14:paraId="6F1DC4C3" w14:textId="77777777" w:rsidR="002A4E35" w:rsidRDefault="002A4E35"/>
  <w:p w14:paraId="64126B2B" w14:textId="77777777" w:rsidR="002A4E35" w:rsidRDefault="002A4E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B1FC" w14:textId="77777777" w:rsidR="00150F5A" w:rsidRPr="00150F5A" w:rsidRDefault="00150F5A" w:rsidP="00150F5A">
    <w:pPr>
      <w:pStyle w:val="HeaderFooterSensitivityLabelSpace"/>
    </w:pPr>
    <w:r w:rsidRPr="00150F5A">
      <w:rPr>
        <w:noProof/>
      </w:rPr>
      <mc:AlternateContent>
        <mc:Choice Requires="wps">
          <w:drawing>
            <wp:anchor distT="0" distB="0" distL="0" distR="0" simplePos="0" relativeHeight="251658241" behindDoc="0" locked="0" layoutInCell="1" allowOverlap="1" wp14:anchorId="7B87FD8C" wp14:editId="2B16E6C3">
              <wp:simplePos x="541176" y="9974424"/>
              <wp:positionH relativeFrom="page">
                <wp:align>left</wp:align>
              </wp:positionH>
              <wp:positionV relativeFrom="page">
                <wp:align>bottom</wp:align>
              </wp:positionV>
              <wp:extent cx="759460" cy="437515"/>
              <wp:effectExtent l="0" t="0" r="2540" b="0"/>
              <wp:wrapNone/>
              <wp:docPr id="1851545292"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147DC3FA" w14:textId="77777777" w:rsidR="00150F5A" w:rsidRPr="009C4DD3" w:rsidRDefault="00150F5A" w:rsidP="00150F5A">
                          <w:pPr>
                            <w:spacing w:after="0"/>
                            <w:rPr>
                              <w:rFonts w:ascii="Calibri" w:hAnsi="Calibri"/>
                              <w:noProof/>
                              <w:color w:val="000000"/>
                              <w:sz w:val="22"/>
                              <w:szCs w:val="22"/>
                            </w:rPr>
                          </w:pPr>
                          <w:r w:rsidRPr="009C4DD3">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87FD8C" id="_x0000_t202" coordsize="21600,21600" o:spt="202" path="m,l,21600r21600,l21600,xe">
              <v:stroke joinstyle="miter"/>
              <v:path gradientshapeok="t" o:connecttype="rect"/>
            </v:shapetype>
            <v:shape id="Text Box 84" o:spid="_x0000_s1026" type="#_x0000_t202" alt="OFFICIAL" style="position:absolute;margin-left:0;margin-top:0;width:59.8pt;height:34.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LDwIAABoEAAAOAAAAZHJzL2Uyb0RvYy54bWysU01v2zAMvQ/YfxB0X+xkST+MOEXWIsOA&#10;oC2QDj0rshQbkERBUmJnv36U7CRbt1PRi0yR9CP5+DS/67QiB+F8A6ak41FOiTAcqsbsSvrzZfXl&#10;hhIfmKmYAiNKehSe3i0+f5q3thATqEFVwhEEMb5obUnrEGyRZZ7XQjM/AisMBiU4zQJe3S6rHGsR&#10;XatskudXWQuusg648B69D32QLhK+lIKHJym9CESVFHsL6XTp3MYzW8xZsXPM1g0f2mDv6EKzxmDR&#10;M9QDC4zsXfMPlG64Aw8yjDjoDKRsuEgz4DTj/M00m5pZkWZBcrw90+Q/DpY/Hjb22ZHQfYMOFxgJ&#10;aa0vPDrjPJ10On6xU4JxpPB4pk10gXB0Xs9up1cY4Riafr2ejWcRJbv8bJ0P3wVoEo2SOtxKIosd&#10;1j70qaeUWMvAqlEqbUaZvxyIGT3ZpcNohW7bDW1voTriNA76RXvLVw3WXDMfnpnDzWKbqNbwhIdU&#10;0JYUBouSGtyv//ljPhKOUUpaVEpJDUqZEvXD4CIms2meR2WlGxruZGyTMb7NZzFu9voeUIRjfA+W&#10;JzMmB3UypQP9imJexmoYYoZjzZJuT+Z96HWLj4GL5TIloYgsC2uzsTxCR7Iiky/dK3N2oDvgnh7h&#10;pCVWvGG9z41/ervcB+Q+rSQS27M58I0CTEsdHktU+J/3lHV50ovfAAAA//8DAFBLAwQUAAYACAAA&#10;ACEAOe3URdkAAAAEAQAADwAAAGRycy9kb3ducmV2LnhtbEyPTW/CMAyG75P4D5GRdhspHCromiK0&#10;L+26DgmOaWOaisbpGgPdv1/gwi6WrPfV48f5enSdOOMQWk8K5rMEBFLtTUuNgu33+9MSRGBNRnee&#10;UMEvBlgXk4dcZ8Zf6AvPJTciQihkWoFl7jMpQ23R6TDzPVLMDn5wmuM6NNIM+hLhrpOLJEml0y3F&#10;C1b3+GKxPpYnpyB9/djYfpfufw6L8Bkqf+TSvyn1OB03zyAYR76X4aof1aGITpU/kQmiUxAf4du8&#10;ZvNVCqKK4OUKZJHL//LFHwAAAP//AwBQSwECLQAUAAYACAAAACEAtoM4kv4AAADhAQAAEwAAAAAA&#10;AAAAAAAAAAAAAAAAW0NvbnRlbnRfVHlwZXNdLnhtbFBLAQItABQABgAIAAAAIQA4/SH/1gAAAJQB&#10;AAALAAAAAAAAAAAAAAAAAC8BAABfcmVscy8ucmVsc1BLAQItABQABgAIAAAAIQA/OP6LDwIAABoE&#10;AAAOAAAAAAAAAAAAAAAAAC4CAABkcnMvZTJvRG9jLnhtbFBLAQItABQABgAIAAAAIQA57dRF2QAA&#10;AAQBAAAPAAAAAAAAAAAAAAAAAGkEAABkcnMvZG93bnJldi54bWxQSwUGAAAAAAQABADzAAAAbwUA&#10;AAAA&#10;" filled="f" stroked="f">
              <v:textbox style="mso-fit-shape-to-text:t" inset="20pt,0,0,15pt">
                <w:txbxContent>
                  <w:p w14:paraId="147DC3FA" w14:textId="77777777" w:rsidR="00150F5A" w:rsidRPr="009C4DD3" w:rsidRDefault="00150F5A" w:rsidP="00150F5A">
                    <w:pPr>
                      <w:spacing w:after="0"/>
                      <w:rPr>
                        <w:rFonts w:ascii="Calibri" w:hAnsi="Calibri"/>
                        <w:noProof/>
                        <w:color w:val="000000"/>
                        <w:sz w:val="22"/>
                        <w:szCs w:val="22"/>
                      </w:rPr>
                    </w:pPr>
                    <w:r w:rsidRPr="009C4DD3">
                      <w:rPr>
                        <w:rFonts w:ascii="Calibri" w:hAnsi="Calibri"/>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6045" w14:textId="1E12BB75" w:rsidR="00150F5A" w:rsidRPr="001300C5" w:rsidRDefault="00150F5A" w:rsidP="003C38BE">
    <w:pPr>
      <w:tabs>
        <w:tab w:val="center" w:pos="5670"/>
        <w:tab w:val="right" w:pos="10206"/>
      </w:tabs>
      <w:contextualSpacing/>
      <w:rPr>
        <w:color w:val="0072CE" w:themeColor="accent1"/>
        <w:sz w:val="18"/>
      </w:rPr>
    </w:pPr>
    <w:r>
      <w:rPr>
        <w:noProof/>
        <w:color w:val="0072CE" w:themeColor="accent1"/>
        <w:sz w:val="18"/>
      </w:rPr>
      <mc:AlternateContent>
        <mc:Choice Requires="wps">
          <w:drawing>
            <wp:anchor distT="0" distB="0" distL="0" distR="0" simplePos="0" relativeHeight="251658242" behindDoc="0" locked="0" layoutInCell="1" allowOverlap="1" wp14:anchorId="2DFDE11B" wp14:editId="7FB1893E">
              <wp:simplePos x="541176" y="9974424"/>
              <wp:positionH relativeFrom="page">
                <wp:align>left</wp:align>
              </wp:positionH>
              <wp:positionV relativeFrom="page">
                <wp:align>bottom</wp:align>
              </wp:positionV>
              <wp:extent cx="759460" cy="437515"/>
              <wp:effectExtent l="0" t="0" r="2540" b="0"/>
              <wp:wrapNone/>
              <wp:docPr id="428234570"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5EF7279A" w14:textId="77777777" w:rsidR="00150F5A" w:rsidRPr="009C4DD3" w:rsidRDefault="00150F5A" w:rsidP="00150F5A">
                          <w:pPr>
                            <w:spacing w:after="0"/>
                            <w:rPr>
                              <w:rFonts w:ascii="Calibri" w:hAnsi="Calibri"/>
                              <w:noProof/>
                              <w:color w:val="000000"/>
                              <w:sz w:val="22"/>
                              <w:szCs w:val="22"/>
                            </w:rPr>
                          </w:pPr>
                          <w:r w:rsidRPr="009C4DD3">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FDE11B" id="_x0000_t202" coordsize="21600,21600" o:spt="202" path="m,l,21600r21600,l21600,xe">
              <v:stroke joinstyle="miter"/>
              <v:path gradientshapeok="t" o:connecttype="rect"/>
            </v:shapetype>
            <v:shape id="_x0000_s1027" type="#_x0000_t202" alt="OFFICIAL" style="position:absolute;margin-left:0;margin-top:0;width:59.8pt;height:34.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mEQIAACEEAAAOAAAAZHJzL2Uyb0RvYy54bWysU99v2jAQfp+0/8Hy+0hg0K4RoWKtmCah&#10;thKd+mwcm0SyfZZtSNhfv7MToOv2VPXFOd9d7sf3fZ7fdlqRg3C+AVPS8SinRBgOVWN2Jf31vPry&#10;jRIfmKmYAiNKehSe3i4+f5q3thATqEFVwhEsYnzR2pLWIdgiyzyvhWZ+BFYYDEpwmgW8ul1WOdZi&#10;da2ySZ5fZS24yjrgwnv03vdBukj1pRQ8PErpRSCqpDhbSKdL5zae2WLOip1jtm74MAZ7xxSaNQab&#10;nkvds8DI3jX/lNINd+BBhhEHnYGUDRdpB9xmnL/ZZlMzK9IuCI63Z5j8x5XlD4eNfXIkdN+hQwIj&#10;IK31hUdn3KeTTscvTkowjhAez7CJLhCOzuvZzfQKIxxD06/Xs/EsVskuP1vnww8BmkSjpA5ZSWCx&#10;w9qHPvWUEnsZWDVKJWaU+cuBNaMnu0wYrdBtO9JUr6bfQnXEpRz0fHvLVw22XjMfnphDgnFaFG14&#10;xEMqaEsKg0VJDe73//wxH3HHKCUtCqakBhVNifppkI/JbJrnUWDphoY7GdtkjG/yWYybvb4D1OIY&#10;n4XlyYzJQZ1M6UC/oKaXsRuGmOHYs6Tbk3kXevnim+BiuUxJqCXLwtpsLI+lI2YR0OfuhTk7oB6Q&#10;rgc4SYoVb8Dvc+Of3i73ASlIzER8ezQH2FGHidvhzUShv76nrMvLXvwBAAD//wMAUEsDBBQABgAI&#10;AAAAIQA57dRF2QAAAAQBAAAPAAAAZHJzL2Rvd25yZXYueG1sTI9Nb8IwDIbvk/gPkZF2GykcKuia&#10;IrQv7boOCY5pY5qKxukaA92/X+DCLpas99Xjx/l6dJ044xBaTwrmswQEUu1NS42C7ff70xJEYE1G&#10;d55QwS8GWBeTh1xnxl/oC88lNyJCKGRagWXuMylDbdHpMPM9UswOfnCa4zo00gz6EuGuk4skSaXT&#10;LcULVvf4YrE+lienIH392Nh+l+5/DovwGSp/5NK/KfU4HTfPIBhHvpfhqh/VoYhOlT+RCaJTEB/h&#10;27xm81UKoorg5Qpkkcv/8sUfAAAA//8DAFBLAQItABQABgAIAAAAIQC2gziS/gAAAOEBAAATAAAA&#10;AAAAAAAAAAAAAAAAAABbQ29udGVudF9UeXBlc10ueG1sUEsBAi0AFAAGAAgAAAAhADj9If/WAAAA&#10;lAEAAAsAAAAAAAAAAAAAAAAALwEAAF9yZWxzLy5yZWxzUEsBAi0AFAAGAAgAAAAhAMtutGYRAgAA&#10;IQQAAA4AAAAAAAAAAAAAAAAALgIAAGRycy9lMm9Eb2MueG1sUEsBAi0AFAAGAAgAAAAhADnt1EXZ&#10;AAAABAEAAA8AAAAAAAAAAAAAAAAAawQAAGRycy9kb3ducmV2LnhtbFBLBQYAAAAABAAEAPMAAABx&#10;BQAAAAA=&#10;" filled="f" stroked="f">
              <v:textbox style="mso-fit-shape-to-text:t" inset="20pt,0,0,15pt">
                <w:txbxContent>
                  <w:p w14:paraId="5EF7279A" w14:textId="77777777" w:rsidR="00150F5A" w:rsidRPr="009C4DD3" w:rsidRDefault="00150F5A" w:rsidP="00150F5A">
                    <w:pPr>
                      <w:spacing w:after="0"/>
                      <w:rPr>
                        <w:rFonts w:ascii="Calibri" w:hAnsi="Calibri"/>
                        <w:noProof/>
                        <w:color w:val="000000"/>
                        <w:sz w:val="22"/>
                        <w:szCs w:val="22"/>
                      </w:rPr>
                    </w:pPr>
                    <w:r w:rsidRPr="009C4DD3">
                      <w:rPr>
                        <w:rFonts w:ascii="Calibri" w:hAnsi="Calibri"/>
                        <w:noProof/>
                        <w:color w:val="000000"/>
                        <w:sz w:val="22"/>
                        <w:szCs w:val="22"/>
                      </w:rPr>
                      <w:t>OFFICIAL</w:t>
                    </w:r>
                  </w:p>
                </w:txbxContent>
              </v:textbox>
              <w10:wrap anchorx="page" anchory="page"/>
            </v:shape>
          </w:pict>
        </mc:Fallback>
      </mc:AlternateContent>
    </w:r>
    <w:r w:rsidRPr="001300C5">
      <w:rPr>
        <w:color w:val="0072CE" w:themeColor="accent1"/>
        <w:sz w:val="18"/>
      </w:rPr>
      <w:ptab w:relativeTo="margin" w:alignment="right" w:leader="none"/>
    </w:r>
    <w:r w:rsidRPr="001300C5">
      <w:rPr>
        <w:color w:val="0072CE" w:themeColor="accent1"/>
        <w:sz w:val="18"/>
      </w:rPr>
      <w:fldChar w:fldCharType="begin"/>
    </w:r>
    <w:r w:rsidRPr="001300C5">
      <w:rPr>
        <w:color w:val="0072CE" w:themeColor="accent1"/>
        <w:sz w:val="18"/>
      </w:rPr>
      <w:instrText xml:space="preserve"> PAGE   \* MERGEFORMAT </w:instrText>
    </w:r>
    <w:r w:rsidRPr="001300C5">
      <w:rPr>
        <w:color w:val="0072CE" w:themeColor="accent1"/>
        <w:sz w:val="18"/>
      </w:rPr>
      <w:fldChar w:fldCharType="separate"/>
    </w:r>
    <w:r>
      <w:rPr>
        <w:color w:val="0072CE" w:themeColor="accent1"/>
        <w:sz w:val="18"/>
      </w:rPr>
      <w:t>2</w:t>
    </w:r>
    <w:r w:rsidRPr="001300C5">
      <w:rPr>
        <w:color w:val="0072CE" w:themeColor="accent1"/>
        <w:sz w:val="18"/>
      </w:rPr>
      <w:fldChar w:fldCharType="end"/>
    </w:r>
  </w:p>
  <w:p w14:paraId="293B21B1" w14:textId="77777777" w:rsidR="00291C5A" w:rsidRPr="00150F5A" w:rsidRDefault="00291C5A" w:rsidP="00150F5A">
    <w:pPr>
      <w:pStyle w:val="HeaderFooterSensitivityLabe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2714" w14:textId="77777777" w:rsidR="000A0FD6" w:rsidRDefault="000A0FD6" w:rsidP="008F0B7B">
      <w:pPr>
        <w:pStyle w:val="BodyText"/>
      </w:pPr>
      <w:r>
        <w:separator/>
      </w:r>
    </w:p>
    <w:p w14:paraId="3A28F3B2" w14:textId="77777777" w:rsidR="000A0FD6" w:rsidRDefault="000A0FD6"/>
  </w:footnote>
  <w:footnote w:type="continuationSeparator" w:id="0">
    <w:p w14:paraId="08F91F06" w14:textId="77777777" w:rsidR="000A0FD6" w:rsidRPr="00D27532" w:rsidRDefault="000A0FD6" w:rsidP="00D27532">
      <w:pPr>
        <w:pStyle w:val="BodyText"/>
      </w:pPr>
      <w:r>
        <w:separator/>
      </w:r>
    </w:p>
    <w:p w14:paraId="5827CBB8" w14:textId="77777777" w:rsidR="000A0FD6" w:rsidRDefault="000A0FD6"/>
    <w:p w14:paraId="09BF47EF" w14:textId="77777777" w:rsidR="000A0FD6" w:rsidRDefault="000A0FD6"/>
    <w:p w14:paraId="0A37597E" w14:textId="77777777" w:rsidR="000A0FD6" w:rsidRDefault="000A0FD6"/>
  </w:footnote>
  <w:footnote w:type="continuationNotice" w:id="1">
    <w:p w14:paraId="71A8EA75" w14:textId="77777777" w:rsidR="000A0FD6" w:rsidRPr="00D27532" w:rsidRDefault="000A0FD6" w:rsidP="00D27532">
      <w:pPr>
        <w:pStyle w:val="BodyText"/>
      </w:pPr>
      <w:r>
        <w:separator/>
      </w:r>
    </w:p>
    <w:p w14:paraId="78378BAD" w14:textId="77777777" w:rsidR="000A0FD6" w:rsidRDefault="000A0FD6"/>
    <w:p w14:paraId="05F671C0" w14:textId="77777777" w:rsidR="000A0FD6" w:rsidRDefault="000A0FD6"/>
    <w:p w14:paraId="5A7676A4" w14:textId="77777777" w:rsidR="000A0FD6" w:rsidRDefault="000A0FD6"/>
  </w:footnote>
  <w:footnote w:id="2">
    <w:p w14:paraId="2C19721C" w14:textId="22F6D4ED" w:rsidR="005E1F84" w:rsidRDefault="005E1F84" w:rsidP="005E1F84">
      <w:pPr>
        <w:pStyle w:val="FootnoteText"/>
      </w:pPr>
      <w:r w:rsidRPr="003418C4">
        <w:rPr>
          <w:rStyle w:val="FootnoteReference"/>
        </w:rPr>
        <w:footnoteRef/>
      </w:r>
      <w:r w:rsidRPr="003418C4">
        <w:t xml:space="preserve"> For </w:t>
      </w:r>
      <w:r w:rsidR="003418C4" w:rsidRPr="003418C4">
        <w:t>2023–24</w:t>
      </w:r>
      <w:r w:rsidRPr="003418C4">
        <w:t xml:space="preserve">, the relevant Financial Reporting Direction was FRD 22 </w:t>
      </w:r>
      <w:r w:rsidRPr="003418C4">
        <w:rPr>
          <w:i/>
          <w:iCs/>
        </w:rPr>
        <w:t>Standard Disclosures in the Report of Operations</w:t>
      </w:r>
      <w:r w:rsidRPr="003418C4">
        <w:t xml:space="preserve"> (April 202</w:t>
      </w:r>
      <w:r w:rsidR="003418C4" w:rsidRPr="003418C4">
        <w:t>4</w:t>
      </w:r>
      <w:r w:rsidRPr="003418C4">
        <w:t>)</w:t>
      </w:r>
      <w:r w:rsidRPr="003418C4">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59DC" w14:textId="77777777" w:rsidR="00F342B7" w:rsidRDefault="00CF57AB">
    <w:pPr>
      <w:pStyle w:val="Header"/>
    </w:pPr>
    <w:r>
      <w:rPr>
        <w:noProof/>
      </w:rPr>
      <mc:AlternateContent>
        <mc:Choice Requires="wpg">
          <w:drawing>
            <wp:anchor distT="0" distB="0" distL="114300" distR="114300" simplePos="0" relativeHeight="251658240" behindDoc="1" locked="1" layoutInCell="1" allowOverlap="1" wp14:anchorId="289F86E8" wp14:editId="0B073160">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8DACC39">
            <v:group id="Graphic 1" style="position:absolute;margin-left:0;margin-top:0;width:595.55pt;height:29.5pt;z-index:-251656192;mso-position-horizontal-relative:page;mso-position-vertical-relative:page;mso-width-relative:margin;mso-height-relative:margin" alt="&quot;&quot;" coordsize="75638,3759" o:spid="_x0000_s1026" w14:anchorId="750B9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style="position:absolute;left:65359;width:10279;height:3759;visibility:visible;mso-wrap-style:square;v-text-anchor:middle" coordsize="1027905,375997" o:spid="_x0000_s1027" fillcolor="#ccf0ee [3214]" stroked="f" strokeweight=".35264mm" path="m,l175341,375997r852564,l1027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v:stroke joinstyle="miter"/>
                <v:path arrowok="t" o:connecttype="custom" o:connectlocs="0,0;175341,375997;1027905,375997;1027905,0;0,0" o:connectangles="0,0,0,0,0"/>
              </v:shape>
              <v:shape id="Freeform 1397984603" style="position:absolute;left:63580;width:8271;height:3759;visibility:visible;mso-wrap-style:square;v-text-anchor:middle" coordsize="827153,375997" o:spid="_x0000_s1028" fillcolor="#201547 [3215]" stroked="f" strokeweight=".35264mm" path="m653082,375997l,375997,174070,,827153,,653082,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v:stroke joinstyle="miter"/>
                <v:path arrowok="t" o:connecttype="custom" o:connectlocs="653082,375997;0,375997;174070,0;827153,0;653082,375997" o:connectangles="0,0,0,0,0"/>
              </v:shape>
              <v:shape id="Freeform 618870894" style="position:absolute;left:61674;width:8437;height:3759;visibility:visible;mso-wrap-style:square;v-text-anchor:middle" coordsize="843670,375997" o:spid="_x0000_s1029" fillcolor="#87189d [3205]" stroked="f" strokeweight=".35264mm" path="m175341,375997r668330,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v:stroke joinstyle="miter"/>
                <v:path arrowok="t" o:connecttype="custom" o:connectlocs="175341,375997;843671,375997;668330,0;0,0;175341,375997" o:connectangles="0,0,0,0,0"/>
              </v:shape>
              <v:shape id="Freeform 1150911424" style="position:absolute;left:49540;width:8424;height:3759;visibility:visible;mso-wrap-style:square;v-text-anchor:middle" coordsize="842400,375997" o:spid="_x0000_s1030" fillcolor="#852d8f" stroked="f" strokeweight=".35264mm" path="m175341,375997r667059,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v:stroke joinstyle="miter"/>
                <v:path arrowok="t" o:connecttype="custom" o:connectlocs="175341,375997;842400,375997;668330,0;0,0;175341,375997" o:connectangles="0,0,0,0,0"/>
              </v:shape>
              <v:shape id="Freeform 1959626685" style="position:absolute;width:61674;height:3759;visibility:visible;mso-wrap-style:square;v-text-anchor:middle" coordsize="6167435,375997" o:spid="_x0000_s1031" fillcolor="#0072ce [3204]" stroked="f" strokeweight=".35264mm" path="m6167435,l5993365,375997,,375997,,,6167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v:stroke joinstyle="miter"/>
                <v:path arrowok="t" o:connecttype="custom" o:connectlocs="6167435,0;5993365,375997;0,375997;0,0;6167435,0" o:connectangles="0,0,0,0,0"/>
              </v:shape>
              <v:shape id="Freeform 1951097419" style="position:absolute;left:53263;width:8411;height:3759;visibility:visible;mso-wrap-style:square;v-text-anchor:middle" coordsize="841129,375997" o:spid="_x0000_s1032" fillcolor="#00b5ef [3206]" stroked="f" strokeweight=".35264mm" path="m667059,375997l,375997,174070,,841129,,667059,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3" w15:restartNumberingAfterBreak="0">
    <w:nsid w:val="129E75C5"/>
    <w:multiLevelType w:val="multilevel"/>
    <w:tmpl w:val="0002A950"/>
    <w:lvl w:ilvl="0">
      <w:start w:val="1"/>
      <w:numFmt w:val="bullet"/>
      <w:lvlText w:val="▪"/>
      <w:lvlJc w:val="left"/>
      <w:pPr>
        <w:ind w:left="284" w:hanging="284"/>
      </w:pPr>
      <w:rPr>
        <w:rFonts w:ascii="Calibri" w:hAnsi="Calibri" w:hint="default"/>
        <w:sz w:val="22"/>
        <w:szCs w:val="22"/>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4F7509D"/>
    <w:multiLevelType w:val="hybridMultilevel"/>
    <w:tmpl w:val="99783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2"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729B6DCA"/>
    <w:multiLevelType w:val="hybridMultilevel"/>
    <w:tmpl w:val="5A6EA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7AD81349"/>
    <w:multiLevelType w:val="hybridMultilevel"/>
    <w:tmpl w:val="F2901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5"/>
  </w:num>
  <w:num w:numId="2" w16cid:durableId="503790137">
    <w:abstractNumId w:val="11"/>
  </w:num>
  <w:num w:numId="3" w16cid:durableId="2012565857">
    <w:abstractNumId w:val="4"/>
  </w:num>
  <w:num w:numId="4" w16cid:durableId="76903290">
    <w:abstractNumId w:val="7"/>
  </w:num>
  <w:num w:numId="5" w16cid:durableId="2010210550">
    <w:abstractNumId w:val="5"/>
  </w:num>
  <w:num w:numId="6" w16cid:durableId="837189291">
    <w:abstractNumId w:val="19"/>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1"/>
  </w:num>
  <w:num w:numId="10" w16cid:durableId="783112715">
    <w:abstractNumId w:val="0"/>
  </w:num>
  <w:num w:numId="11" w16cid:durableId="4720608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3"/>
  </w:num>
  <w:num w:numId="13" w16cid:durableId="1048383676">
    <w:abstractNumId w:val="2"/>
  </w:num>
  <w:num w:numId="14" w16cid:durableId="724064763">
    <w:abstractNumId w:val="10"/>
  </w:num>
  <w:num w:numId="15" w16cid:durableId="1273320527">
    <w:abstractNumId w:val="9"/>
  </w:num>
  <w:num w:numId="16" w16cid:durableId="604773466">
    <w:abstractNumId w:val="6"/>
  </w:num>
  <w:num w:numId="17" w16cid:durableId="410204198">
    <w:abstractNumId w:val="10"/>
  </w:num>
  <w:num w:numId="18" w16cid:durableId="2053386066">
    <w:abstractNumId w:val="17"/>
  </w:num>
  <w:num w:numId="19" w16cid:durableId="390620269">
    <w:abstractNumId w:val="18"/>
  </w:num>
  <w:num w:numId="20" w16cid:durableId="514198017">
    <w:abstractNumId w:val="12"/>
  </w:num>
  <w:num w:numId="21" w16cid:durableId="559025700">
    <w:abstractNumId w:val="3"/>
  </w:num>
  <w:num w:numId="22" w16cid:durableId="983462163">
    <w:abstractNumId w:val="8"/>
  </w:num>
  <w:num w:numId="23" w16cid:durableId="5893854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BC"/>
    <w:rsid w:val="00002729"/>
    <w:rsid w:val="00002C93"/>
    <w:rsid w:val="00003583"/>
    <w:rsid w:val="00003709"/>
    <w:rsid w:val="00003E3B"/>
    <w:rsid w:val="00005754"/>
    <w:rsid w:val="00005FC0"/>
    <w:rsid w:val="000067A6"/>
    <w:rsid w:val="00007437"/>
    <w:rsid w:val="000100A3"/>
    <w:rsid w:val="0001088E"/>
    <w:rsid w:val="0001412A"/>
    <w:rsid w:val="00014D02"/>
    <w:rsid w:val="00015148"/>
    <w:rsid w:val="0001616A"/>
    <w:rsid w:val="00016B87"/>
    <w:rsid w:val="00020713"/>
    <w:rsid w:val="00020EAE"/>
    <w:rsid w:val="00021A2F"/>
    <w:rsid w:val="00024B98"/>
    <w:rsid w:val="00025B3C"/>
    <w:rsid w:val="0002627E"/>
    <w:rsid w:val="00026FE4"/>
    <w:rsid w:val="000277AD"/>
    <w:rsid w:val="00027A61"/>
    <w:rsid w:val="00030C2E"/>
    <w:rsid w:val="000319D3"/>
    <w:rsid w:val="000330D7"/>
    <w:rsid w:val="000339CA"/>
    <w:rsid w:val="000369F8"/>
    <w:rsid w:val="00036B4A"/>
    <w:rsid w:val="0003751F"/>
    <w:rsid w:val="00037776"/>
    <w:rsid w:val="00041B38"/>
    <w:rsid w:val="0004321A"/>
    <w:rsid w:val="00043FD4"/>
    <w:rsid w:val="0004413C"/>
    <w:rsid w:val="00044CEA"/>
    <w:rsid w:val="00044D19"/>
    <w:rsid w:val="00046ACD"/>
    <w:rsid w:val="00046BB3"/>
    <w:rsid w:val="00051B1A"/>
    <w:rsid w:val="0005225F"/>
    <w:rsid w:val="0005359F"/>
    <w:rsid w:val="00055779"/>
    <w:rsid w:val="000557C6"/>
    <w:rsid w:val="00055A33"/>
    <w:rsid w:val="00056AAF"/>
    <w:rsid w:val="00060D01"/>
    <w:rsid w:val="000618EA"/>
    <w:rsid w:val="0006217A"/>
    <w:rsid w:val="00070CE1"/>
    <w:rsid w:val="00070EC3"/>
    <w:rsid w:val="00072B2F"/>
    <w:rsid w:val="00073820"/>
    <w:rsid w:val="00074C16"/>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0FD6"/>
    <w:rsid w:val="000A1059"/>
    <w:rsid w:val="000A1360"/>
    <w:rsid w:val="000A1927"/>
    <w:rsid w:val="000A2F39"/>
    <w:rsid w:val="000A381D"/>
    <w:rsid w:val="000A5A67"/>
    <w:rsid w:val="000A65D2"/>
    <w:rsid w:val="000A739E"/>
    <w:rsid w:val="000A7E35"/>
    <w:rsid w:val="000B05DF"/>
    <w:rsid w:val="000B10A2"/>
    <w:rsid w:val="000B10B9"/>
    <w:rsid w:val="000B147C"/>
    <w:rsid w:val="000B25F4"/>
    <w:rsid w:val="000B3148"/>
    <w:rsid w:val="000B3C22"/>
    <w:rsid w:val="000B4613"/>
    <w:rsid w:val="000B619D"/>
    <w:rsid w:val="000B640C"/>
    <w:rsid w:val="000B69BA"/>
    <w:rsid w:val="000B6D9E"/>
    <w:rsid w:val="000B7F4B"/>
    <w:rsid w:val="000C2FC8"/>
    <w:rsid w:val="000C30EA"/>
    <w:rsid w:val="000C4189"/>
    <w:rsid w:val="000C52D3"/>
    <w:rsid w:val="000C5C30"/>
    <w:rsid w:val="000C6E4F"/>
    <w:rsid w:val="000C724F"/>
    <w:rsid w:val="000C7612"/>
    <w:rsid w:val="000D2C1A"/>
    <w:rsid w:val="000D2FF2"/>
    <w:rsid w:val="000D3809"/>
    <w:rsid w:val="000D4F4F"/>
    <w:rsid w:val="000D5CAC"/>
    <w:rsid w:val="000D6B77"/>
    <w:rsid w:val="000D737E"/>
    <w:rsid w:val="000E015F"/>
    <w:rsid w:val="000E0434"/>
    <w:rsid w:val="000E11C1"/>
    <w:rsid w:val="000E163E"/>
    <w:rsid w:val="000E1E8C"/>
    <w:rsid w:val="000E384B"/>
    <w:rsid w:val="000E569E"/>
    <w:rsid w:val="000E578E"/>
    <w:rsid w:val="000E60A3"/>
    <w:rsid w:val="000E7003"/>
    <w:rsid w:val="000F118D"/>
    <w:rsid w:val="000F145F"/>
    <w:rsid w:val="000F31B8"/>
    <w:rsid w:val="000F4BB7"/>
    <w:rsid w:val="000F61C4"/>
    <w:rsid w:val="000F66DC"/>
    <w:rsid w:val="000F689C"/>
    <w:rsid w:val="000F6AC0"/>
    <w:rsid w:val="001014BF"/>
    <w:rsid w:val="00102B6E"/>
    <w:rsid w:val="00103873"/>
    <w:rsid w:val="00105220"/>
    <w:rsid w:val="00105DB2"/>
    <w:rsid w:val="0010768D"/>
    <w:rsid w:val="00107B0D"/>
    <w:rsid w:val="00107F77"/>
    <w:rsid w:val="001106A0"/>
    <w:rsid w:val="00111273"/>
    <w:rsid w:val="00111713"/>
    <w:rsid w:val="00111775"/>
    <w:rsid w:val="00112470"/>
    <w:rsid w:val="0011288A"/>
    <w:rsid w:val="00112FAD"/>
    <w:rsid w:val="00113F05"/>
    <w:rsid w:val="00114812"/>
    <w:rsid w:val="00114A73"/>
    <w:rsid w:val="00114FF1"/>
    <w:rsid w:val="001150FE"/>
    <w:rsid w:val="00115A96"/>
    <w:rsid w:val="00116545"/>
    <w:rsid w:val="00116563"/>
    <w:rsid w:val="00116CED"/>
    <w:rsid w:val="0011767C"/>
    <w:rsid w:val="00125B3E"/>
    <w:rsid w:val="001269A2"/>
    <w:rsid w:val="00127421"/>
    <w:rsid w:val="00130108"/>
    <w:rsid w:val="00131292"/>
    <w:rsid w:val="0013204F"/>
    <w:rsid w:val="00132C13"/>
    <w:rsid w:val="00132C9F"/>
    <w:rsid w:val="00133704"/>
    <w:rsid w:val="0013421B"/>
    <w:rsid w:val="00134CAE"/>
    <w:rsid w:val="001359E7"/>
    <w:rsid w:val="00135EFC"/>
    <w:rsid w:val="00140DE1"/>
    <w:rsid w:val="0014157C"/>
    <w:rsid w:val="001419CE"/>
    <w:rsid w:val="00142478"/>
    <w:rsid w:val="001439D4"/>
    <w:rsid w:val="00145987"/>
    <w:rsid w:val="0014602B"/>
    <w:rsid w:val="001476EF"/>
    <w:rsid w:val="00150CAE"/>
    <w:rsid w:val="00150F5A"/>
    <w:rsid w:val="0015137D"/>
    <w:rsid w:val="001524B2"/>
    <w:rsid w:val="001524E1"/>
    <w:rsid w:val="001533A2"/>
    <w:rsid w:val="00156291"/>
    <w:rsid w:val="00161815"/>
    <w:rsid w:val="00163C71"/>
    <w:rsid w:val="00163F0B"/>
    <w:rsid w:val="0016469D"/>
    <w:rsid w:val="00164D7F"/>
    <w:rsid w:val="001656A1"/>
    <w:rsid w:val="00165CD6"/>
    <w:rsid w:val="00166413"/>
    <w:rsid w:val="0017068C"/>
    <w:rsid w:val="0017070F"/>
    <w:rsid w:val="00171F16"/>
    <w:rsid w:val="001728CA"/>
    <w:rsid w:val="001729CC"/>
    <w:rsid w:val="00172CF0"/>
    <w:rsid w:val="00173BFD"/>
    <w:rsid w:val="00174347"/>
    <w:rsid w:val="001743EB"/>
    <w:rsid w:val="00177BE8"/>
    <w:rsid w:val="00177EE2"/>
    <w:rsid w:val="00177F07"/>
    <w:rsid w:val="00180847"/>
    <w:rsid w:val="00180CE8"/>
    <w:rsid w:val="001816D7"/>
    <w:rsid w:val="00181EAF"/>
    <w:rsid w:val="0018381A"/>
    <w:rsid w:val="001838AB"/>
    <w:rsid w:val="0018395E"/>
    <w:rsid w:val="001840E4"/>
    <w:rsid w:val="0018488D"/>
    <w:rsid w:val="001879A8"/>
    <w:rsid w:val="00187AB5"/>
    <w:rsid w:val="0019091F"/>
    <w:rsid w:val="001909B9"/>
    <w:rsid w:val="00192261"/>
    <w:rsid w:val="001934EB"/>
    <w:rsid w:val="001942C1"/>
    <w:rsid w:val="00194A85"/>
    <w:rsid w:val="001A0AAF"/>
    <w:rsid w:val="001A15D5"/>
    <w:rsid w:val="001A1F72"/>
    <w:rsid w:val="001A2AF9"/>
    <w:rsid w:val="001A35E5"/>
    <w:rsid w:val="001A369D"/>
    <w:rsid w:val="001A3D04"/>
    <w:rsid w:val="001A52C5"/>
    <w:rsid w:val="001A628B"/>
    <w:rsid w:val="001A7330"/>
    <w:rsid w:val="001B2E63"/>
    <w:rsid w:val="001B3C6A"/>
    <w:rsid w:val="001B3EE6"/>
    <w:rsid w:val="001B455D"/>
    <w:rsid w:val="001B4F9A"/>
    <w:rsid w:val="001B5F79"/>
    <w:rsid w:val="001C07C2"/>
    <w:rsid w:val="001C0A67"/>
    <w:rsid w:val="001C1CD0"/>
    <w:rsid w:val="001C256D"/>
    <w:rsid w:val="001C27E8"/>
    <w:rsid w:val="001C2A79"/>
    <w:rsid w:val="001C43B2"/>
    <w:rsid w:val="001C460A"/>
    <w:rsid w:val="001C4B93"/>
    <w:rsid w:val="001C4E88"/>
    <w:rsid w:val="001C4F13"/>
    <w:rsid w:val="001C7625"/>
    <w:rsid w:val="001D0245"/>
    <w:rsid w:val="001D2709"/>
    <w:rsid w:val="001D2CB0"/>
    <w:rsid w:val="001D4524"/>
    <w:rsid w:val="001D4C98"/>
    <w:rsid w:val="001D5D2C"/>
    <w:rsid w:val="001D754D"/>
    <w:rsid w:val="001D78BB"/>
    <w:rsid w:val="001D79ED"/>
    <w:rsid w:val="001E04AA"/>
    <w:rsid w:val="001E0611"/>
    <w:rsid w:val="001E0762"/>
    <w:rsid w:val="001E1988"/>
    <w:rsid w:val="001E3E92"/>
    <w:rsid w:val="001E407B"/>
    <w:rsid w:val="001E4186"/>
    <w:rsid w:val="001E4E96"/>
    <w:rsid w:val="001E5187"/>
    <w:rsid w:val="001E52C6"/>
    <w:rsid w:val="001E5591"/>
    <w:rsid w:val="001E6F39"/>
    <w:rsid w:val="001E79F1"/>
    <w:rsid w:val="001F010F"/>
    <w:rsid w:val="001F04A9"/>
    <w:rsid w:val="001F1BB2"/>
    <w:rsid w:val="001F1F71"/>
    <w:rsid w:val="001F2523"/>
    <w:rsid w:val="001F35AC"/>
    <w:rsid w:val="001F398C"/>
    <w:rsid w:val="001F485D"/>
    <w:rsid w:val="001F55F4"/>
    <w:rsid w:val="001F6828"/>
    <w:rsid w:val="001F6A6F"/>
    <w:rsid w:val="00201363"/>
    <w:rsid w:val="00202CE4"/>
    <w:rsid w:val="00202F93"/>
    <w:rsid w:val="002071A5"/>
    <w:rsid w:val="00211B93"/>
    <w:rsid w:val="00214F3C"/>
    <w:rsid w:val="00215155"/>
    <w:rsid w:val="00215832"/>
    <w:rsid w:val="00216462"/>
    <w:rsid w:val="00216B6C"/>
    <w:rsid w:val="00216D02"/>
    <w:rsid w:val="00216D4C"/>
    <w:rsid w:val="00217CEB"/>
    <w:rsid w:val="00217D92"/>
    <w:rsid w:val="00220968"/>
    <w:rsid w:val="00221E20"/>
    <w:rsid w:val="0022241B"/>
    <w:rsid w:val="0022397C"/>
    <w:rsid w:val="00224507"/>
    <w:rsid w:val="00224DDA"/>
    <w:rsid w:val="002255B8"/>
    <w:rsid w:val="00226C27"/>
    <w:rsid w:val="00226F6E"/>
    <w:rsid w:val="002313EF"/>
    <w:rsid w:val="00231D84"/>
    <w:rsid w:val="00232594"/>
    <w:rsid w:val="002329AB"/>
    <w:rsid w:val="00233115"/>
    <w:rsid w:val="00233579"/>
    <w:rsid w:val="00234568"/>
    <w:rsid w:val="002351BC"/>
    <w:rsid w:val="00235BE7"/>
    <w:rsid w:val="00237028"/>
    <w:rsid w:val="002376C0"/>
    <w:rsid w:val="002409AB"/>
    <w:rsid w:val="002409FA"/>
    <w:rsid w:val="00242FF9"/>
    <w:rsid w:val="002434EF"/>
    <w:rsid w:val="00243AE2"/>
    <w:rsid w:val="002454F4"/>
    <w:rsid w:val="00246264"/>
    <w:rsid w:val="00246957"/>
    <w:rsid w:val="00246A79"/>
    <w:rsid w:val="002510E3"/>
    <w:rsid w:val="0025118A"/>
    <w:rsid w:val="00252F18"/>
    <w:rsid w:val="00254215"/>
    <w:rsid w:val="00254690"/>
    <w:rsid w:val="00254FCE"/>
    <w:rsid w:val="002562B0"/>
    <w:rsid w:val="00257237"/>
    <w:rsid w:val="002573C8"/>
    <w:rsid w:val="002606FB"/>
    <w:rsid w:val="0026156A"/>
    <w:rsid w:val="00262546"/>
    <w:rsid w:val="0026264B"/>
    <w:rsid w:val="0026278D"/>
    <w:rsid w:val="00263B26"/>
    <w:rsid w:val="0026496F"/>
    <w:rsid w:val="002660F6"/>
    <w:rsid w:val="00266388"/>
    <w:rsid w:val="002667C8"/>
    <w:rsid w:val="002669AE"/>
    <w:rsid w:val="0026731D"/>
    <w:rsid w:val="00267565"/>
    <w:rsid w:val="00267830"/>
    <w:rsid w:val="0027053A"/>
    <w:rsid w:val="00272278"/>
    <w:rsid w:val="00274BF9"/>
    <w:rsid w:val="00275F66"/>
    <w:rsid w:val="0027645B"/>
    <w:rsid w:val="00280BFC"/>
    <w:rsid w:val="00281626"/>
    <w:rsid w:val="00281877"/>
    <w:rsid w:val="00281903"/>
    <w:rsid w:val="00282330"/>
    <w:rsid w:val="002839D6"/>
    <w:rsid w:val="00286B1E"/>
    <w:rsid w:val="002919A0"/>
    <w:rsid w:val="00291C5A"/>
    <w:rsid w:val="0029290D"/>
    <w:rsid w:val="00292E2B"/>
    <w:rsid w:val="00292F47"/>
    <w:rsid w:val="00293887"/>
    <w:rsid w:val="0029399F"/>
    <w:rsid w:val="002942EF"/>
    <w:rsid w:val="00294E98"/>
    <w:rsid w:val="002962AC"/>
    <w:rsid w:val="00296B07"/>
    <w:rsid w:val="002A2397"/>
    <w:rsid w:val="002A34A2"/>
    <w:rsid w:val="002A4E35"/>
    <w:rsid w:val="002A5060"/>
    <w:rsid w:val="002B0358"/>
    <w:rsid w:val="002B0369"/>
    <w:rsid w:val="002B0A86"/>
    <w:rsid w:val="002B0A93"/>
    <w:rsid w:val="002B1E6B"/>
    <w:rsid w:val="002B269F"/>
    <w:rsid w:val="002B30EA"/>
    <w:rsid w:val="002B34E8"/>
    <w:rsid w:val="002B3EF8"/>
    <w:rsid w:val="002B603E"/>
    <w:rsid w:val="002B6077"/>
    <w:rsid w:val="002B7332"/>
    <w:rsid w:val="002C0375"/>
    <w:rsid w:val="002C29B0"/>
    <w:rsid w:val="002C3E25"/>
    <w:rsid w:val="002C4C7F"/>
    <w:rsid w:val="002C57CB"/>
    <w:rsid w:val="002C62E1"/>
    <w:rsid w:val="002C6ADB"/>
    <w:rsid w:val="002C7C06"/>
    <w:rsid w:val="002D06D6"/>
    <w:rsid w:val="002D0D5F"/>
    <w:rsid w:val="002D167C"/>
    <w:rsid w:val="002D2051"/>
    <w:rsid w:val="002D2C2A"/>
    <w:rsid w:val="002D391F"/>
    <w:rsid w:val="002E1F08"/>
    <w:rsid w:val="002E1FC5"/>
    <w:rsid w:val="002E25A0"/>
    <w:rsid w:val="002E34BF"/>
    <w:rsid w:val="002E35EE"/>
    <w:rsid w:val="002E5A39"/>
    <w:rsid w:val="002E5FC8"/>
    <w:rsid w:val="002E6A83"/>
    <w:rsid w:val="002F113F"/>
    <w:rsid w:val="002F206E"/>
    <w:rsid w:val="002F2554"/>
    <w:rsid w:val="002F278D"/>
    <w:rsid w:val="002F3821"/>
    <w:rsid w:val="002F3873"/>
    <w:rsid w:val="002F509E"/>
    <w:rsid w:val="002F5419"/>
    <w:rsid w:val="002F575C"/>
    <w:rsid w:val="002F5849"/>
    <w:rsid w:val="002F6787"/>
    <w:rsid w:val="002F6B03"/>
    <w:rsid w:val="0030002F"/>
    <w:rsid w:val="003002D8"/>
    <w:rsid w:val="0030059C"/>
    <w:rsid w:val="00301448"/>
    <w:rsid w:val="00301C9B"/>
    <w:rsid w:val="00302B5E"/>
    <w:rsid w:val="00303D1D"/>
    <w:rsid w:val="003040CA"/>
    <w:rsid w:val="00305D59"/>
    <w:rsid w:val="00305D69"/>
    <w:rsid w:val="00311DB0"/>
    <w:rsid w:val="00312BFC"/>
    <w:rsid w:val="00314157"/>
    <w:rsid w:val="00314901"/>
    <w:rsid w:val="00316E09"/>
    <w:rsid w:val="003174DC"/>
    <w:rsid w:val="00317A45"/>
    <w:rsid w:val="0032039E"/>
    <w:rsid w:val="003207C1"/>
    <w:rsid w:val="00320A84"/>
    <w:rsid w:val="00321B51"/>
    <w:rsid w:val="00321DF2"/>
    <w:rsid w:val="003226EF"/>
    <w:rsid w:val="0032396E"/>
    <w:rsid w:val="00324F56"/>
    <w:rsid w:val="00325EE2"/>
    <w:rsid w:val="0033030D"/>
    <w:rsid w:val="003319F3"/>
    <w:rsid w:val="00332624"/>
    <w:rsid w:val="00335096"/>
    <w:rsid w:val="00335C9E"/>
    <w:rsid w:val="0033658D"/>
    <w:rsid w:val="003378D1"/>
    <w:rsid w:val="00340CA0"/>
    <w:rsid w:val="00341877"/>
    <w:rsid w:val="003418C4"/>
    <w:rsid w:val="00341CE1"/>
    <w:rsid w:val="0034214B"/>
    <w:rsid w:val="00344845"/>
    <w:rsid w:val="00344B84"/>
    <w:rsid w:val="00345BF7"/>
    <w:rsid w:val="00347536"/>
    <w:rsid w:val="0034790C"/>
    <w:rsid w:val="00350372"/>
    <w:rsid w:val="00351075"/>
    <w:rsid w:val="003516BF"/>
    <w:rsid w:val="00353985"/>
    <w:rsid w:val="00354F6D"/>
    <w:rsid w:val="00355312"/>
    <w:rsid w:val="00357784"/>
    <w:rsid w:val="00361A74"/>
    <w:rsid w:val="00362B74"/>
    <w:rsid w:val="00362F86"/>
    <w:rsid w:val="0036379C"/>
    <w:rsid w:val="003638D9"/>
    <w:rsid w:val="00364485"/>
    <w:rsid w:val="00364C8A"/>
    <w:rsid w:val="00364F93"/>
    <w:rsid w:val="003656D5"/>
    <w:rsid w:val="003661D1"/>
    <w:rsid w:val="00367533"/>
    <w:rsid w:val="00367751"/>
    <w:rsid w:val="00367A43"/>
    <w:rsid w:val="00367D91"/>
    <w:rsid w:val="0037026F"/>
    <w:rsid w:val="0037070A"/>
    <w:rsid w:val="003707FD"/>
    <w:rsid w:val="00372C9F"/>
    <w:rsid w:val="00374AD7"/>
    <w:rsid w:val="00374C56"/>
    <w:rsid w:val="00375B8F"/>
    <w:rsid w:val="00376882"/>
    <w:rsid w:val="00376DC9"/>
    <w:rsid w:val="00380906"/>
    <w:rsid w:val="00382D9C"/>
    <w:rsid w:val="003846B2"/>
    <w:rsid w:val="00384FC9"/>
    <w:rsid w:val="0038503D"/>
    <w:rsid w:val="0038513D"/>
    <w:rsid w:val="003877E6"/>
    <w:rsid w:val="00390D95"/>
    <w:rsid w:val="003915CA"/>
    <w:rsid w:val="00392092"/>
    <w:rsid w:val="00393908"/>
    <w:rsid w:val="0039443B"/>
    <w:rsid w:val="00394652"/>
    <w:rsid w:val="003953F8"/>
    <w:rsid w:val="003963C6"/>
    <w:rsid w:val="003A0362"/>
    <w:rsid w:val="003A04BC"/>
    <w:rsid w:val="003A0E8F"/>
    <w:rsid w:val="003A2B4F"/>
    <w:rsid w:val="003A3C20"/>
    <w:rsid w:val="003A44F5"/>
    <w:rsid w:val="003A4F5C"/>
    <w:rsid w:val="003A533D"/>
    <w:rsid w:val="003B0508"/>
    <w:rsid w:val="003B05D0"/>
    <w:rsid w:val="003B11A1"/>
    <w:rsid w:val="003B19B3"/>
    <w:rsid w:val="003B2CDC"/>
    <w:rsid w:val="003B3A76"/>
    <w:rsid w:val="003B3C46"/>
    <w:rsid w:val="003B5983"/>
    <w:rsid w:val="003B5DBC"/>
    <w:rsid w:val="003B7E23"/>
    <w:rsid w:val="003C0215"/>
    <w:rsid w:val="003C38BE"/>
    <w:rsid w:val="003C3BEE"/>
    <w:rsid w:val="003C3E43"/>
    <w:rsid w:val="003C41AC"/>
    <w:rsid w:val="003C4795"/>
    <w:rsid w:val="003C57CC"/>
    <w:rsid w:val="003C5B9E"/>
    <w:rsid w:val="003C68CF"/>
    <w:rsid w:val="003C6DDB"/>
    <w:rsid w:val="003C6E18"/>
    <w:rsid w:val="003C7279"/>
    <w:rsid w:val="003C7DDF"/>
    <w:rsid w:val="003D0829"/>
    <w:rsid w:val="003D121F"/>
    <w:rsid w:val="003D3D47"/>
    <w:rsid w:val="003D4A72"/>
    <w:rsid w:val="003D55AC"/>
    <w:rsid w:val="003E1FC0"/>
    <w:rsid w:val="003E2D57"/>
    <w:rsid w:val="003E7427"/>
    <w:rsid w:val="003E7B8D"/>
    <w:rsid w:val="003F034D"/>
    <w:rsid w:val="003F2986"/>
    <w:rsid w:val="003F35BA"/>
    <w:rsid w:val="003F3C1A"/>
    <w:rsid w:val="003F443B"/>
    <w:rsid w:val="003F5577"/>
    <w:rsid w:val="003F5A8C"/>
    <w:rsid w:val="003F5CB8"/>
    <w:rsid w:val="003F66CB"/>
    <w:rsid w:val="003F6794"/>
    <w:rsid w:val="0040049B"/>
    <w:rsid w:val="004008F8"/>
    <w:rsid w:val="00401E1E"/>
    <w:rsid w:val="0040323D"/>
    <w:rsid w:val="00403322"/>
    <w:rsid w:val="00404B96"/>
    <w:rsid w:val="00405C4D"/>
    <w:rsid w:val="00407FEC"/>
    <w:rsid w:val="0041074F"/>
    <w:rsid w:val="004116A7"/>
    <w:rsid w:val="004117CD"/>
    <w:rsid w:val="004125ED"/>
    <w:rsid w:val="004127CC"/>
    <w:rsid w:val="004131BC"/>
    <w:rsid w:val="00414499"/>
    <w:rsid w:val="00414A53"/>
    <w:rsid w:val="00414BBA"/>
    <w:rsid w:val="0041511C"/>
    <w:rsid w:val="004158CF"/>
    <w:rsid w:val="00420FAE"/>
    <w:rsid w:val="00422B11"/>
    <w:rsid w:val="00422CD0"/>
    <w:rsid w:val="00422DCC"/>
    <w:rsid w:val="00422FD5"/>
    <w:rsid w:val="00423543"/>
    <w:rsid w:val="00425CE6"/>
    <w:rsid w:val="00426EE8"/>
    <w:rsid w:val="00430DD9"/>
    <w:rsid w:val="004310B3"/>
    <w:rsid w:val="004312E8"/>
    <w:rsid w:val="004313CA"/>
    <w:rsid w:val="00431AD6"/>
    <w:rsid w:val="00432DB3"/>
    <w:rsid w:val="0043431C"/>
    <w:rsid w:val="00437D42"/>
    <w:rsid w:val="0044053B"/>
    <w:rsid w:val="00443586"/>
    <w:rsid w:val="00443864"/>
    <w:rsid w:val="00444053"/>
    <w:rsid w:val="00446065"/>
    <w:rsid w:val="00446E19"/>
    <w:rsid w:val="00446E28"/>
    <w:rsid w:val="00447CF6"/>
    <w:rsid w:val="00451895"/>
    <w:rsid w:val="00453F7C"/>
    <w:rsid w:val="0045569A"/>
    <w:rsid w:val="004561DF"/>
    <w:rsid w:val="004564FA"/>
    <w:rsid w:val="004567FF"/>
    <w:rsid w:val="00456C2D"/>
    <w:rsid w:val="00457FB8"/>
    <w:rsid w:val="00460F74"/>
    <w:rsid w:val="00464235"/>
    <w:rsid w:val="00465194"/>
    <w:rsid w:val="004656EB"/>
    <w:rsid w:val="00465996"/>
    <w:rsid w:val="00465BB0"/>
    <w:rsid w:val="004670A7"/>
    <w:rsid w:val="00470991"/>
    <w:rsid w:val="00470E72"/>
    <w:rsid w:val="004712B1"/>
    <w:rsid w:val="00471918"/>
    <w:rsid w:val="00472B80"/>
    <w:rsid w:val="0047302D"/>
    <w:rsid w:val="00473934"/>
    <w:rsid w:val="00473FB7"/>
    <w:rsid w:val="00474864"/>
    <w:rsid w:val="00474DC3"/>
    <w:rsid w:val="00475A28"/>
    <w:rsid w:val="004761E8"/>
    <w:rsid w:val="004766D2"/>
    <w:rsid w:val="004769DB"/>
    <w:rsid w:val="00477AB6"/>
    <w:rsid w:val="00481165"/>
    <w:rsid w:val="00481BB0"/>
    <w:rsid w:val="00482B97"/>
    <w:rsid w:val="00482E74"/>
    <w:rsid w:val="0048376E"/>
    <w:rsid w:val="00483979"/>
    <w:rsid w:val="00483FF3"/>
    <w:rsid w:val="0048671F"/>
    <w:rsid w:val="00486745"/>
    <w:rsid w:val="004873A8"/>
    <w:rsid w:val="00490890"/>
    <w:rsid w:val="00492842"/>
    <w:rsid w:val="00495D51"/>
    <w:rsid w:val="004964CC"/>
    <w:rsid w:val="00496E18"/>
    <w:rsid w:val="0049713B"/>
    <w:rsid w:val="004A3184"/>
    <w:rsid w:val="004A4836"/>
    <w:rsid w:val="004A59BB"/>
    <w:rsid w:val="004A6C09"/>
    <w:rsid w:val="004A6C25"/>
    <w:rsid w:val="004A7DBB"/>
    <w:rsid w:val="004A7EA0"/>
    <w:rsid w:val="004A7F6C"/>
    <w:rsid w:val="004B13EA"/>
    <w:rsid w:val="004B1E94"/>
    <w:rsid w:val="004B29B9"/>
    <w:rsid w:val="004B2B4A"/>
    <w:rsid w:val="004B3B66"/>
    <w:rsid w:val="004B48BF"/>
    <w:rsid w:val="004C02EC"/>
    <w:rsid w:val="004C0AA2"/>
    <w:rsid w:val="004C18F4"/>
    <w:rsid w:val="004C1A21"/>
    <w:rsid w:val="004C1FE7"/>
    <w:rsid w:val="004C2F6B"/>
    <w:rsid w:val="004C35B2"/>
    <w:rsid w:val="004C4421"/>
    <w:rsid w:val="004C5242"/>
    <w:rsid w:val="004C54AD"/>
    <w:rsid w:val="004C7432"/>
    <w:rsid w:val="004C75EC"/>
    <w:rsid w:val="004C7798"/>
    <w:rsid w:val="004C7EF9"/>
    <w:rsid w:val="004D2217"/>
    <w:rsid w:val="004D3942"/>
    <w:rsid w:val="004D41AC"/>
    <w:rsid w:val="004D4D99"/>
    <w:rsid w:val="004D7F18"/>
    <w:rsid w:val="004E0321"/>
    <w:rsid w:val="004E0A64"/>
    <w:rsid w:val="004E147A"/>
    <w:rsid w:val="004E1EF6"/>
    <w:rsid w:val="004E22FD"/>
    <w:rsid w:val="004E30DB"/>
    <w:rsid w:val="004E3220"/>
    <w:rsid w:val="004E5760"/>
    <w:rsid w:val="004E5A0B"/>
    <w:rsid w:val="004E6A3A"/>
    <w:rsid w:val="004E7D00"/>
    <w:rsid w:val="004F36F7"/>
    <w:rsid w:val="004F38DE"/>
    <w:rsid w:val="004F47F5"/>
    <w:rsid w:val="004F4880"/>
    <w:rsid w:val="004F634E"/>
    <w:rsid w:val="004F668A"/>
    <w:rsid w:val="004F6D4C"/>
    <w:rsid w:val="004F6FE8"/>
    <w:rsid w:val="004F730E"/>
    <w:rsid w:val="004F74BC"/>
    <w:rsid w:val="004F776D"/>
    <w:rsid w:val="004F77CB"/>
    <w:rsid w:val="0050049D"/>
    <w:rsid w:val="00500B67"/>
    <w:rsid w:val="005013DC"/>
    <w:rsid w:val="00501683"/>
    <w:rsid w:val="00501DE4"/>
    <w:rsid w:val="00502574"/>
    <w:rsid w:val="00503522"/>
    <w:rsid w:val="0050436A"/>
    <w:rsid w:val="005077EB"/>
    <w:rsid w:val="005152D9"/>
    <w:rsid w:val="00517E3C"/>
    <w:rsid w:val="00520735"/>
    <w:rsid w:val="005207DF"/>
    <w:rsid w:val="005215D9"/>
    <w:rsid w:val="005218C6"/>
    <w:rsid w:val="0052307A"/>
    <w:rsid w:val="00525F28"/>
    <w:rsid w:val="0052633A"/>
    <w:rsid w:val="00526E69"/>
    <w:rsid w:val="00527388"/>
    <w:rsid w:val="00527689"/>
    <w:rsid w:val="00527D8B"/>
    <w:rsid w:val="00530B13"/>
    <w:rsid w:val="00531EBE"/>
    <w:rsid w:val="0053238E"/>
    <w:rsid w:val="00532E15"/>
    <w:rsid w:val="00533C71"/>
    <w:rsid w:val="00533D2D"/>
    <w:rsid w:val="00535C1B"/>
    <w:rsid w:val="005409DF"/>
    <w:rsid w:val="00540FBA"/>
    <w:rsid w:val="0054236C"/>
    <w:rsid w:val="005435A9"/>
    <w:rsid w:val="00544E33"/>
    <w:rsid w:val="00547069"/>
    <w:rsid w:val="00547627"/>
    <w:rsid w:val="00550F70"/>
    <w:rsid w:val="0055107D"/>
    <w:rsid w:val="00551B17"/>
    <w:rsid w:val="005524D9"/>
    <w:rsid w:val="0055273C"/>
    <w:rsid w:val="00557905"/>
    <w:rsid w:val="00557ABF"/>
    <w:rsid w:val="00557E8D"/>
    <w:rsid w:val="0056144D"/>
    <w:rsid w:val="00561884"/>
    <w:rsid w:val="00561EDF"/>
    <w:rsid w:val="00562EB7"/>
    <w:rsid w:val="00563C78"/>
    <w:rsid w:val="00565136"/>
    <w:rsid w:val="00566274"/>
    <w:rsid w:val="005665AE"/>
    <w:rsid w:val="005666FC"/>
    <w:rsid w:val="005668BE"/>
    <w:rsid w:val="0056756E"/>
    <w:rsid w:val="00567C83"/>
    <w:rsid w:val="00567D3C"/>
    <w:rsid w:val="00570729"/>
    <w:rsid w:val="00570FF1"/>
    <w:rsid w:val="00571EDC"/>
    <w:rsid w:val="005739A5"/>
    <w:rsid w:val="0057443E"/>
    <w:rsid w:val="00574A3D"/>
    <w:rsid w:val="00576F5B"/>
    <w:rsid w:val="00576FCB"/>
    <w:rsid w:val="0057714C"/>
    <w:rsid w:val="00577376"/>
    <w:rsid w:val="00580007"/>
    <w:rsid w:val="00581A1C"/>
    <w:rsid w:val="00582D98"/>
    <w:rsid w:val="005835D6"/>
    <w:rsid w:val="00583F3E"/>
    <w:rsid w:val="0058424A"/>
    <w:rsid w:val="00584C2A"/>
    <w:rsid w:val="005864AC"/>
    <w:rsid w:val="00586CF7"/>
    <w:rsid w:val="00591292"/>
    <w:rsid w:val="005913ED"/>
    <w:rsid w:val="0059142C"/>
    <w:rsid w:val="00591975"/>
    <w:rsid w:val="0059207E"/>
    <w:rsid w:val="00594DAC"/>
    <w:rsid w:val="005952FF"/>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7D08"/>
    <w:rsid w:val="005B0170"/>
    <w:rsid w:val="005B18C7"/>
    <w:rsid w:val="005B1EA5"/>
    <w:rsid w:val="005B1FE5"/>
    <w:rsid w:val="005B2F8C"/>
    <w:rsid w:val="005B411D"/>
    <w:rsid w:val="005B4302"/>
    <w:rsid w:val="005B4ADB"/>
    <w:rsid w:val="005B5339"/>
    <w:rsid w:val="005B5B35"/>
    <w:rsid w:val="005B6412"/>
    <w:rsid w:val="005B6714"/>
    <w:rsid w:val="005B77B3"/>
    <w:rsid w:val="005C06FC"/>
    <w:rsid w:val="005C0FEB"/>
    <w:rsid w:val="005C16D0"/>
    <w:rsid w:val="005C19DF"/>
    <w:rsid w:val="005C1C4F"/>
    <w:rsid w:val="005C319A"/>
    <w:rsid w:val="005C5116"/>
    <w:rsid w:val="005C5152"/>
    <w:rsid w:val="005C5484"/>
    <w:rsid w:val="005C58ED"/>
    <w:rsid w:val="005C7661"/>
    <w:rsid w:val="005C7688"/>
    <w:rsid w:val="005C7699"/>
    <w:rsid w:val="005C7C60"/>
    <w:rsid w:val="005D093E"/>
    <w:rsid w:val="005D19EE"/>
    <w:rsid w:val="005D28D4"/>
    <w:rsid w:val="005D4920"/>
    <w:rsid w:val="005D59F3"/>
    <w:rsid w:val="005D66AB"/>
    <w:rsid w:val="005D68FB"/>
    <w:rsid w:val="005D727B"/>
    <w:rsid w:val="005D7D80"/>
    <w:rsid w:val="005E133C"/>
    <w:rsid w:val="005E1EE8"/>
    <w:rsid w:val="005E1F84"/>
    <w:rsid w:val="005E3064"/>
    <w:rsid w:val="005E4947"/>
    <w:rsid w:val="005E5E73"/>
    <w:rsid w:val="005E5EC0"/>
    <w:rsid w:val="005F04CB"/>
    <w:rsid w:val="005F081B"/>
    <w:rsid w:val="005F0B8B"/>
    <w:rsid w:val="005F1786"/>
    <w:rsid w:val="005F252B"/>
    <w:rsid w:val="005F3452"/>
    <w:rsid w:val="005F3F41"/>
    <w:rsid w:val="005F49BF"/>
    <w:rsid w:val="005F4D0E"/>
    <w:rsid w:val="005F4E00"/>
    <w:rsid w:val="005F4E21"/>
    <w:rsid w:val="005F6784"/>
    <w:rsid w:val="005F6919"/>
    <w:rsid w:val="005F7461"/>
    <w:rsid w:val="005F7DC8"/>
    <w:rsid w:val="0060047F"/>
    <w:rsid w:val="00604066"/>
    <w:rsid w:val="00604728"/>
    <w:rsid w:val="00604F1E"/>
    <w:rsid w:val="0060640B"/>
    <w:rsid w:val="00607A97"/>
    <w:rsid w:val="00607F1A"/>
    <w:rsid w:val="006104C0"/>
    <w:rsid w:val="00610C28"/>
    <w:rsid w:val="00610FD7"/>
    <w:rsid w:val="00613A4E"/>
    <w:rsid w:val="00614C8E"/>
    <w:rsid w:val="00617BA0"/>
    <w:rsid w:val="0062036B"/>
    <w:rsid w:val="006208A0"/>
    <w:rsid w:val="006209CA"/>
    <w:rsid w:val="00625C3F"/>
    <w:rsid w:val="0062664C"/>
    <w:rsid w:val="00627701"/>
    <w:rsid w:val="00630439"/>
    <w:rsid w:val="00630C52"/>
    <w:rsid w:val="00631356"/>
    <w:rsid w:val="00631E73"/>
    <w:rsid w:val="00633BB1"/>
    <w:rsid w:val="00634883"/>
    <w:rsid w:val="00634DC4"/>
    <w:rsid w:val="0063593D"/>
    <w:rsid w:val="00635A04"/>
    <w:rsid w:val="00637DC3"/>
    <w:rsid w:val="00640AC3"/>
    <w:rsid w:val="00640D34"/>
    <w:rsid w:val="006451FB"/>
    <w:rsid w:val="00646F75"/>
    <w:rsid w:val="00647578"/>
    <w:rsid w:val="00651F10"/>
    <w:rsid w:val="006520C0"/>
    <w:rsid w:val="006528D1"/>
    <w:rsid w:val="00652A1D"/>
    <w:rsid w:val="0065300A"/>
    <w:rsid w:val="0065306C"/>
    <w:rsid w:val="0065383F"/>
    <w:rsid w:val="00653A26"/>
    <w:rsid w:val="00654CAD"/>
    <w:rsid w:val="00654E9D"/>
    <w:rsid w:val="00655221"/>
    <w:rsid w:val="006559EA"/>
    <w:rsid w:val="00656676"/>
    <w:rsid w:val="00657AE4"/>
    <w:rsid w:val="0066005B"/>
    <w:rsid w:val="0066587B"/>
    <w:rsid w:val="006664DE"/>
    <w:rsid w:val="006667FD"/>
    <w:rsid w:val="00671864"/>
    <w:rsid w:val="00672E68"/>
    <w:rsid w:val="0067300D"/>
    <w:rsid w:val="00674361"/>
    <w:rsid w:val="00675ACB"/>
    <w:rsid w:val="00676178"/>
    <w:rsid w:val="0067638B"/>
    <w:rsid w:val="00677741"/>
    <w:rsid w:val="0068068A"/>
    <w:rsid w:val="006817D7"/>
    <w:rsid w:val="006832BE"/>
    <w:rsid w:val="00683C09"/>
    <w:rsid w:val="00686E73"/>
    <w:rsid w:val="00690089"/>
    <w:rsid w:val="006902D1"/>
    <w:rsid w:val="00690780"/>
    <w:rsid w:val="006911F3"/>
    <w:rsid w:val="00691A1A"/>
    <w:rsid w:val="00693A3C"/>
    <w:rsid w:val="00693BE4"/>
    <w:rsid w:val="006955A9"/>
    <w:rsid w:val="006964B3"/>
    <w:rsid w:val="0069696F"/>
    <w:rsid w:val="006969D4"/>
    <w:rsid w:val="00697DA7"/>
    <w:rsid w:val="006A10E4"/>
    <w:rsid w:val="006A1305"/>
    <w:rsid w:val="006A1B29"/>
    <w:rsid w:val="006A2387"/>
    <w:rsid w:val="006A288E"/>
    <w:rsid w:val="006A2F1E"/>
    <w:rsid w:val="006A3006"/>
    <w:rsid w:val="006A3DC3"/>
    <w:rsid w:val="006A48B6"/>
    <w:rsid w:val="006A53BA"/>
    <w:rsid w:val="006A61BA"/>
    <w:rsid w:val="006B20C5"/>
    <w:rsid w:val="006B3040"/>
    <w:rsid w:val="006B318B"/>
    <w:rsid w:val="006B3941"/>
    <w:rsid w:val="006B43B3"/>
    <w:rsid w:val="006B632F"/>
    <w:rsid w:val="006B6E27"/>
    <w:rsid w:val="006B6F3B"/>
    <w:rsid w:val="006B7246"/>
    <w:rsid w:val="006C1A48"/>
    <w:rsid w:val="006C211C"/>
    <w:rsid w:val="006C2468"/>
    <w:rsid w:val="006C4799"/>
    <w:rsid w:val="006C5EDD"/>
    <w:rsid w:val="006C5F6F"/>
    <w:rsid w:val="006C6EEC"/>
    <w:rsid w:val="006D08D4"/>
    <w:rsid w:val="006D0C35"/>
    <w:rsid w:val="006D0D78"/>
    <w:rsid w:val="006D2F45"/>
    <w:rsid w:val="006D3D51"/>
    <w:rsid w:val="006D5224"/>
    <w:rsid w:val="006D5DEF"/>
    <w:rsid w:val="006E00E3"/>
    <w:rsid w:val="006E1939"/>
    <w:rsid w:val="006E3B7C"/>
    <w:rsid w:val="006E448C"/>
    <w:rsid w:val="006E4A18"/>
    <w:rsid w:val="006E50FF"/>
    <w:rsid w:val="006E5998"/>
    <w:rsid w:val="006E76C9"/>
    <w:rsid w:val="006E79DB"/>
    <w:rsid w:val="006F05B5"/>
    <w:rsid w:val="006F14B6"/>
    <w:rsid w:val="006F17A1"/>
    <w:rsid w:val="006F1C9E"/>
    <w:rsid w:val="006F2421"/>
    <w:rsid w:val="006F2BCD"/>
    <w:rsid w:val="006F2F1E"/>
    <w:rsid w:val="006F3B0F"/>
    <w:rsid w:val="006F44BD"/>
    <w:rsid w:val="006F59E2"/>
    <w:rsid w:val="006F7478"/>
    <w:rsid w:val="006F77D2"/>
    <w:rsid w:val="006F795C"/>
    <w:rsid w:val="007009DF"/>
    <w:rsid w:val="007013A7"/>
    <w:rsid w:val="00701E08"/>
    <w:rsid w:val="00702CB8"/>
    <w:rsid w:val="00703330"/>
    <w:rsid w:val="007046A7"/>
    <w:rsid w:val="0070590E"/>
    <w:rsid w:val="00705BED"/>
    <w:rsid w:val="00705F2B"/>
    <w:rsid w:val="00706E8B"/>
    <w:rsid w:val="00707B45"/>
    <w:rsid w:val="007132D0"/>
    <w:rsid w:val="007137D9"/>
    <w:rsid w:val="00715166"/>
    <w:rsid w:val="00715276"/>
    <w:rsid w:val="007152DE"/>
    <w:rsid w:val="0072008C"/>
    <w:rsid w:val="00720731"/>
    <w:rsid w:val="00720ADC"/>
    <w:rsid w:val="0072140E"/>
    <w:rsid w:val="00721F12"/>
    <w:rsid w:val="00725FA2"/>
    <w:rsid w:val="00726618"/>
    <w:rsid w:val="007274C0"/>
    <w:rsid w:val="007326DD"/>
    <w:rsid w:val="007329B6"/>
    <w:rsid w:val="00733284"/>
    <w:rsid w:val="007332A7"/>
    <w:rsid w:val="00733A33"/>
    <w:rsid w:val="0073461F"/>
    <w:rsid w:val="007358D7"/>
    <w:rsid w:val="00736CB7"/>
    <w:rsid w:val="0073746B"/>
    <w:rsid w:val="00737E19"/>
    <w:rsid w:val="00740467"/>
    <w:rsid w:val="00741843"/>
    <w:rsid w:val="00742F66"/>
    <w:rsid w:val="007432C2"/>
    <w:rsid w:val="007448D8"/>
    <w:rsid w:val="00746077"/>
    <w:rsid w:val="007462BD"/>
    <w:rsid w:val="007465BC"/>
    <w:rsid w:val="00747A4E"/>
    <w:rsid w:val="007507BE"/>
    <w:rsid w:val="0075091E"/>
    <w:rsid w:val="007516CF"/>
    <w:rsid w:val="007527DA"/>
    <w:rsid w:val="00753703"/>
    <w:rsid w:val="00755CC0"/>
    <w:rsid w:val="007608EB"/>
    <w:rsid w:val="00760D80"/>
    <w:rsid w:val="007618EF"/>
    <w:rsid w:val="00761BD1"/>
    <w:rsid w:val="00761EE9"/>
    <w:rsid w:val="00761FF3"/>
    <w:rsid w:val="0076281D"/>
    <w:rsid w:val="0076385B"/>
    <w:rsid w:val="00763C24"/>
    <w:rsid w:val="00764823"/>
    <w:rsid w:val="00766510"/>
    <w:rsid w:val="00766F2C"/>
    <w:rsid w:val="007673EB"/>
    <w:rsid w:val="00770B1F"/>
    <w:rsid w:val="007712A6"/>
    <w:rsid w:val="007725E4"/>
    <w:rsid w:val="00773685"/>
    <w:rsid w:val="00773A93"/>
    <w:rsid w:val="00773B1E"/>
    <w:rsid w:val="00774488"/>
    <w:rsid w:val="007751EE"/>
    <w:rsid w:val="007762E5"/>
    <w:rsid w:val="007769B6"/>
    <w:rsid w:val="007772E3"/>
    <w:rsid w:val="007776A5"/>
    <w:rsid w:val="00777DD6"/>
    <w:rsid w:val="00777E1D"/>
    <w:rsid w:val="00777F96"/>
    <w:rsid w:val="00780E79"/>
    <w:rsid w:val="00783D38"/>
    <w:rsid w:val="007843E1"/>
    <w:rsid w:val="007851C8"/>
    <w:rsid w:val="00785FBC"/>
    <w:rsid w:val="00786863"/>
    <w:rsid w:val="00790147"/>
    <w:rsid w:val="007920A1"/>
    <w:rsid w:val="007923BA"/>
    <w:rsid w:val="007934E1"/>
    <w:rsid w:val="00793E01"/>
    <w:rsid w:val="007946CB"/>
    <w:rsid w:val="00795A31"/>
    <w:rsid w:val="007960BE"/>
    <w:rsid w:val="00797AB9"/>
    <w:rsid w:val="00797F9D"/>
    <w:rsid w:val="007A03C4"/>
    <w:rsid w:val="007A121C"/>
    <w:rsid w:val="007A1E5C"/>
    <w:rsid w:val="007A2062"/>
    <w:rsid w:val="007A23C0"/>
    <w:rsid w:val="007A2961"/>
    <w:rsid w:val="007A40B2"/>
    <w:rsid w:val="007A42C0"/>
    <w:rsid w:val="007A4F72"/>
    <w:rsid w:val="007A538B"/>
    <w:rsid w:val="007A55F1"/>
    <w:rsid w:val="007A72FE"/>
    <w:rsid w:val="007A7845"/>
    <w:rsid w:val="007A7FA3"/>
    <w:rsid w:val="007B1819"/>
    <w:rsid w:val="007B1939"/>
    <w:rsid w:val="007B1A58"/>
    <w:rsid w:val="007B24EC"/>
    <w:rsid w:val="007B38D1"/>
    <w:rsid w:val="007B39D3"/>
    <w:rsid w:val="007B5065"/>
    <w:rsid w:val="007B5A48"/>
    <w:rsid w:val="007B72A9"/>
    <w:rsid w:val="007B75E6"/>
    <w:rsid w:val="007C12BA"/>
    <w:rsid w:val="007C1E72"/>
    <w:rsid w:val="007C2723"/>
    <w:rsid w:val="007C35FE"/>
    <w:rsid w:val="007C3DD0"/>
    <w:rsid w:val="007C43C3"/>
    <w:rsid w:val="007C533B"/>
    <w:rsid w:val="007C597A"/>
    <w:rsid w:val="007C691B"/>
    <w:rsid w:val="007C728F"/>
    <w:rsid w:val="007D106B"/>
    <w:rsid w:val="007D1163"/>
    <w:rsid w:val="007D16A7"/>
    <w:rsid w:val="007D1921"/>
    <w:rsid w:val="007D1955"/>
    <w:rsid w:val="007D197C"/>
    <w:rsid w:val="007D1DB2"/>
    <w:rsid w:val="007D2136"/>
    <w:rsid w:val="007D30A1"/>
    <w:rsid w:val="007D385B"/>
    <w:rsid w:val="007E0627"/>
    <w:rsid w:val="007E063B"/>
    <w:rsid w:val="007E0DD4"/>
    <w:rsid w:val="007E1818"/>
    <w:rsid w:val="007E1A89"/>
    <w:rsid w:val="007E44FA"/>
    <w:rsid w:val="007E51BF"/>
    <w:rsid w:val="007E5C1A"/>
    <w:rsid w:val="007E6A59"/>
    <w:rsid w:val="007F16B5"/>
    <w:rsid w:val="007F20CC"/>
    <w:rsid w:val="007F2CB8"/>
    <w:rsid w:val="007F4CE0"/>
    <w:rsid w:val="007F4FFE"/>
    <w:rsid w:val="007F50CF"/>
    <w:rsid w:val="007F5D9C"/>
    <w:rsid w:val="007F6D8A"/>
    <w:rsid w:val="00801F2D"/>
    <w:rsid w:val="00802606"/>
    <w:rsid w:val="0080402D"/>
    <w:rsid w:val="008040E8"/>
    <w:rsid w:val="00804161"/>
    <w:rsid w:val="00811222"/>
    <w:rsid w:val="00811463"/>
    <w:rsid w:val="00811706"/>
    <w:rsid w:val="00813A41"/>
    <w:rsid w:val="00814107"/>
    <w:rsid w:val="00814D02"/>
    <w:rsid w:val="00814FC4"/>
    <w:rsid w:val="00815E7D"/>
    <w:rsid w:val="008163D1"/>
    <w:rsid w:val="008200D0"/>
    <w:rsid w:val="008224CB"/>
    <w:rsid w:val="00822EAC"/>
    <w:rsid w:val="008242A0"/>
    <w:rsid w:val="008249F2"/>
    <w:rsid w:val="00824DFF"/>
    <w:rsid w:val="008274FF"/>
    <w:rsid w:val="00827B3A"/>
    <w:rsid w:val="00830857"/>
    <w:rsid w:val="008359E3"/>
    <w:rsid w:val="00835E7E"/>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6772"/>
    <w:rsid w:val="00852196"/>
    <w:rsid w:val="00852DB2"/>
    <w:rsid w:val="008535D0"/>
    <w:rsid w:val="00853996"/>
    <w:rsid w:val="00854C4B"/>
    <w:rsid w:val="00854F8F"/>
    <w:rsid w:val="00855C7A"/>
    <w:rsid w:val="008572F6"/>
    <w:rsid w:val="0086090B"/>
    <w:rsid w:val="00861330"/>
    <w:rsid w:val="008614D5"/>
    <w:rsid w:val="00863A00"/>
    <w:rsid w:val="00864740"/>
    <w:rsid w:val="008649E0"/>
    <w:rsid w:val="00864B67"/>
    <w:rsid w:val="00864E77"/>
    <w:rsid w:val="0086509B"/>
    <w:rsid w:val="0086657D"/>
    <w:rsid w:val="008678E5"/>
    <w:rsid w:val="0087104A"/>
    <w:rsid w:val="0087257E"/>
    <w:rsid w:val="00872BFE"/>
    <w:rsid w:val="008741EF"/>
    <w:rsid w:val="00875A1E"/>
    <w:rsid w:val="008766D9"/>
    <w:rsid w:val="00876E75"/>
    <w:rsid w:val="008773F5"/>
    <w:rsid w:val="00880EC9"/>
    <w:rsid w:val="0088255F"/>
    <w:rsid w:val="00882C2A"/>
    <w:rsid w:val="00884F1C"/>
    <w:rsid w:val="00885459"/>
    <w:rsid w:val="00885562"/>
    <w:rsid w:val="00886D55"/>
    <w:rsid w:val="00886DDF"/>
    <w:rsid w:val="00886E73"/>
    <w:rsid w:val="008907BC"/>
    <w:rsid w:val="008907C0"/>
    <w:rsid w:val="00890B8D"/>
    <w:rsid w:val="00890F13"/>
    <w:rsid w:val="00892197"/>
    <w:rsid w:val="00893811"/>
    <w:rsid w:val="00893CC0"/>
    <w:rsid w:val="00894241"/>
    <w:rsid w:val="0089425F"/>
    <w:rsid w:val="00895CA1"/>
    <w:rsid w:val="00897C9A"/>
    <w:rsid w:val="008A1AC5"/>
    <w:rsid w:val="008A6507"/>
    <w:rsid w:val="008A6AC2"/>
    <w:rsid w:val="008A77A7"/>
    <w:rsid w:val="008B0346"/>
    <w:rsid w:val="008B0651"/>
    <w:rsid w:val="008B09A2"/>
    <w:rsid w:val="008B2C37"/>
    <w:rsid w:val="008B4255"/>
    <w:rsid w:val="008B5615"/>
    <w:rsid w:val="008B6574"/>
    <w:rsid w:val="008B6FE9"/>
    <w:rsid w:val="008C0823"/>
    <w:rsid w:val="008C0D28"/>
    <w:rsid w:val="008C14DE"/>
    <w:rsid w:val="008C1BB7"/>
    <w:rsid w:val="008C2832"/>
    <w:rsid w:val="008C2835"/>
    <w:rsid w:val="008C398D"/>
    <w:rsid w:val="008C3EB2"/>
    <w:rsid w:val="008C45E7"/>
    <w:rsid w:val="008C5315"/>
    <w:rsid w:val="008C6A06"/>
    <w:rsid w:val="008C6FA9"/>
    <w:rsid w:val="008C7DF0"/>
    <w:rsid w:val="008D1E5B"/>
    <w:rsid w:val="008D25D2"/>
    <w:rsid w:val="008D2808"/>
    <w:rsid w:val="008D4F24"/>
    <w:rsid w:val="008D4F8A"/>
    <w:rsid w:val="008D57F1"/>
    <w:rsid w:val="008D5F35"/>
    <w:rsid w:val="008D6599"/>
    <w:rsid w:val="008D75D6"/>
    <w:rsid w:val="008D7866"/>
    <w:rsid w:val="008D796F"/>
    <w:rsid w:val="008E262F"/>
    <w:rsid w:val="008E2D3E"/>
    <w:rsid w:val="008E3B33"/>
    <w:rsid w:val="008E407E"/>
    <w:rsid w:val="008E4505"/>
    <w:rsid w:val="008E4E60"/>
    <w:rsid w:val="008E6386"/>
    <w:rsid w:val="008E7B37"/>
    <w:rsid w:val="008E7FDE"/>
    <w:rsid w:val="008F0B7B"/>
    <w:rsid w:val="008F1F49"/>
    <w:rsid w:val="008F3505"/>
    <w:rsid w:val="008F671A"/>
    <w:rsid w:val="008F7A35"/>
    <w:rsid w:val="009022C6"/>
    <w:rsid w:val="009023E9"/>
    <w:rsid w:val="009025DD"/>
    <w:rsid w:val="00902978"/>
    <w:rsid w:val="0090340E"/>
    <w:rsid w:val="00903C1B"/>
    <w:rsid w:val="00904CC5"/>
    <w:rsid w:val="00904FF4"/>
    <w:rsid w:val="00905970"/>
    <w:rsid w:val="00905DE1"/>
    <w:rsid w:val="00906EB4"/>
    <w:rsid w:val="0091046A"/>
    <w:rsid w:val="009115ED"/>
    <w:rsid w:val="009123C9"/>
    <w:rsid w:val="0091398A"/>
    <w:rsid w:val="00917419"/>
    <w:rsid w:val="009205EE"/>
    <w:rsid w:val="009206FF"/>
    <w:rsid w:val="00921FD3"/>
    <w:rsid w:val="009220D7"/>
    <w:rsid w:val="00922D20"/>
    <w:rsid w:val="00927131"/>
    <w:rsid w:val="0092782F"/>
    <w:rsid w:val="00931347"/>
    <w:rsid w:val="00931B39"/>
    <w:rsid w:val="0093323D"/>
    <w:rsid w:val="00933689"/>
    <w:rsid w:val="009375E2"/>
    <w:rsid w:val="00937F6A"/>
    <w:rsid w:val="009402F6"/>
    <w:rsid w:val="00940A26"/>
    <w:rsid w:val="00942939"/>
    <w:rsid w:val="0094558A"/>
    <w:rsid w:val="0094612F"/>
    <w:rsid w:val="00946635"/>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6401"/>
    <w:rsid w:val="00966A53"/>
    <w:rsid w:val="009705F9"/>
    <w:rsid w:val="00971766"/>
    <w:rsid w:val="00974E6B"/>
    <w:rsid w:val="00975767"/>
    <w:rsid w:val="0097612D"/>
    <w:rsid w:val="00976536"/>
    <w:rsid w:val="00976765"/>
    <w:rsid w:val="009778AF"/>
    <w:rsid w:val="00983DB2"/>
    <w:rsid w:val="0098497B"/>
    <w:rsid w:val="00985AC1"/>
    <w:rsid w:val="00985F2E"/>
    <w:rsid w:val="0098628E"/>
    <w:rsid w:val="00986B43"/>
    <w:rsid w:val="00986D32"/>
    <w:rsid w:val="00987BD4"/>
    <w:rsid w:val="009926C0"/>
    <w:rsid w:val="00994AF2"/>
    <w:rsid w:val="00995C56"/>
    <w:rsid w:val="00996071"/>
    <w:rsid w:val="009975CB"/>
    <w:rsid w:val="009977D9"/>
    <w:rsid w:val="009A01CB"/>
    <w:rsid w:val="009A21CF"/>
    <w:rsid w:val="009A31A2"/>
    <w:rsid w:val="009A3A2C"/>
    <w:rsid w:val="009A46B3"/>
    <w:rsid w:val="009A49C9"/>
    <w:rsid w:val="009B0C2F"/>
    <w:rsid w:val="009B2630"/>
    <w:rsid w:val="009B2D10"/>
    <w:rsid w:val="009B30B2"/>
    <w:rsid w:val="009B7B13"/>
    <w:rsid w:val="009C0737"/>
    <w:rsid w:val="009C0974"/>
    <w:rsid w:val="009C0B4E"/>
    <w:rsid w:val="009C2DB2"/>
    <w:rsid w:val="009C3CE3"/>
    <w:rsid w:val="009C5843"/>
    <w:rsid w:val="009C5BC0"/>
    <w:rsid w:val="009C6836"/>
    <w:rsid w:val="009C74BF"/>
    <w:rsid w:val="009C7558"/>
    <w:rsid w:val="009D022B"/>
    <w:rsid w:val="009D06CC"/>
    <w:rsid w:val="009D0CDB"/>
    <w:rsid w:val="009D1707"/>
    <w:rsid w:val="009D1797"/>
    <w:rsid w:val="009D20C5"/>
    <w:rsid w:val="009D2BD1"/>
    <w:rsid w:val="009D323D"/>
    <w:rsid w:val="009D4C21"/>
    <w:rsid w:val="009D5C4A"/>
    <w:rsid w:val="009D7680"/>
    <w:rsid w:val="009E148C"/>
    <w:rsid w:val="009E218E"/>
    <w:rsid w:val="009E2823"/>
    <w:rsid w:val="009E7376"/>
    <w:rsid w:val="009F2C0F"/>
    <w:rsid w:val="009F2CC3"/>
    <w:rsid w:val="009F3E96"/>
    <w:rsid w:val="009F48F0"/>
    <w:rsid w:val="009F5208"/>
    <w:rsid w:val="009F6057"/>
    <w:rsid w:val="009F6266"/>
    <w:rsid w:val="009F655A"/>
    <w:rsid w:val="009F6769"/>
    <w:rsid w:val="00A008BD"/>
    <w:rsid w:val="00A00CBC"/>
    <w:rsid w:val="00A014FE"/>
    <w:rsid w:val="00A018D0"/>
    <w:rsid w:val="00A01AB6"/>
    <w:rsid w:val="00A028DB"/>
    <w:rsid w:val="00A0350E"/>
    <w:rsid w:val="00A0356E"/>
    <w:rsid w:val="00A03662"/>
    <w:rsid w:val="00A05561"/>
    <w:rsid w:val="00A05575"/>
    <w:rsid w:val="00A05B11"/>
    <w:rsid w:val="00A11126"/>
    <w:rsid w:val="00A1127E"/>
    <w:rsid w:val="00A12842"/>
    <w:rsid w:val="00A1373B"/>
    <w:rsid w:val="00A14404"/>
    <w:rsid w:val="00A1575C"/>
    <w:rsid w:val="00A1709C"/>
    <w:rsid w:val="00A17317"/>
    <w:rsid w:val="00A20D01"/>
    <w:rsid w:val="00A21F97"/>
    <w:rsid w:val="00A25814"/>
    <w:rsid w:val="00A258BE"/>
    <w:rsid w:val="00A26365"/>
    <w:rsid w:val="00A263B1"/>
    <w:rsid w:val="00A3026F"/>
    <w:rsid w:val="00A3066F"/>
    <w:rsid w:val="00A31367"/>
    <w:rsid w:val="00A31EA4"/>
    <w:rsid w:val="00A3217B"/>
    <w:rsid w:val="00A32842"/>
    <w:rsid w:val="00A32999"/>
    <w:rsid w:val="00A335C8"/>
    <w:rsid w:val="00A33C67"/>
    <w:rsid w:val="00A3432F"/>
    <w:rsid w:val="00A3469C"/>
    <w:rsid w:val="00A35389"/>
    <w:rsid w:val="00A418BE"/>
    <w:rsid w:val="00A42A13"/>
    <w:rsid w:val="00A43A37"/>
    <w:rsid w:val="00A467A2"/>
    <w:rsid w:val="00A47B2F"/>
    <w:rsid w:val="00A51077"/>
    <w:rsid w:val="00A51FED"/>
    <w:rsid w:val="00A52334"/>
    <w:rsid w:val="00A52E35"/>
    <w:rsid w:val="00A5326B"/>
    <w:rsid w:val="00A536E3"/>
    <w:rsid w:val="00A557F7"/>
    <w:rsid w:val="00A576AA"/>
    <w:rsid w:val="00A57A6C"/>
    <w:rsid w:val="00A6021A"/>
    <w:rsid w:val="00A61BB4"/>
    <w:rsid w:val="00A62741"/>
    <w:rsid w:val="00A62C3F"/>
    <w:rsid w:val="00A64AFE"/>
    <w:rsid w:val="00A65014"/>
    <w:rsid w:val="00A654AE"/>
    <w:rsid w:val="00A65FFD"/>
    <w:rsid w:val="00A666C2"/>
    <w:rsid w:val="00A66FF9"/>
    <w:rsid w:val="00A6731A"/>
    <w:rsid w:val="00A70A96"/>
    <w:rsid w:val="00A71C54"/>
    <w:rsid w:val="00A72153"/>
    <w:rsid w:val="00A722A8"/>
    <w:rsid w:val="00A73829"/>
    <w:rsid w:val="00A73F88"/>
    <w:rsid w:val="00A74538"/>
    <w:rsid w:val="00A76245"/>
    <w:rsid w:val="00A772C2"/>
    <w:rsid w:val="00A774AF"/>
    <w:rsid w:val="00A83490"/>
    <w:rsid w:val="00A863D4"/>
    <w:rsid w:val="00A864F9"/>
    <w:rsid w:val="00A871E7"/>
    <w:rsid w:val="00A91604"/>
    <w:rsid w:val="00A9464A"/>
    <w:rsid w:val="00A95AA0"/>
    <w:rsid w:val="00A96CAA"/>
    <w:rsid w:val="00A97D7A"/>
    <w:rsid w:val="00A97FAC"/>
    <w:rsid w:val="00AA3188"/>
    <w:rsid w:val="00AA39B6"/>
    <w:rsid w:val="00AA3D2E"/>
    <w:rsid w:val="00AA3D85"/>
    <w:rsid w:val="00AA528A"/>
    <w:rsid w:val="00AA591D"/>
    <w:rsid w:val="00AA5DD6"/>
    <w:rsid w:val="00AB0034"/>
    <w:rsid w:val="00AB0DE9"/>
    <w:rsid w:val="00AB27C8"/>
    <w:rsid w:val="00AB34B3"/>
    <w:rsid w:val="00AB4332"/>
    <w:rsid w:val="00AB5CC7"/>
    <w:rsid w:val="00AB67D6"/>
    <w:rsid w:val="00AB705C"/>
    <w:rsid w:val="00AC0E3E"/>
    <w:rsid w:val="00AC1636"/>
    <w:rsid w:val="00AC27E7"/>
    <w:rsid w:val="00AC3EA2"/>
    <w:rsid w:val="00AC3FFC"/>
    <w:rsid w:val="00AC50FE"/>
    <w:rsid w:val="00AC51FC"/>
    <w:rsid w:val="00AC534D"/>
    <w:rsid w:val="00AC5770"/>
    <w:rsid w:val="00AC5909"/>
    <w:rsid w:val="00AC5A0A"/>
    <w:rsid w:val="00AC6FE1"/>
    <w:rsid w:val="00AD053A"/>
    <w:rsid w:val="00AD4014"/>
    <w:rsid w:val="00AD5088"/>
    <w:rsid w:val="00AD5C33"/>
    <w:rsid w:val="00AD5E20"/>
    <w:rsid w:val="00AE0CCA"/>
    <w:rsid w:val="00AE148D"/>
    <w:rsid w:val="00AE26FC"/>
    <w:rsid w:val="00AE27E5"/>
    <w:rsid w:val="00AE2B85"/>
    <w:rsid w:val="00AE59ED"/>
    <w:rsid w:val="00AE60AF"/>
    <w:rsid w:val="00AE6F5B"/>
    <w:rsid w:val="00AF04DD"/>
    <w:rsid w:val="00AF0C30"/>
    <w:rsid w:val="00AF2FFB"/>
    <w:rsid w:val="00AF3631"/>
    <w:rsid w:val="00AF58AA"/>
    <w:rsid w:val="00AF6950"/>
    <w:rsid w:val="00B00BF4"/>
    <w:rsid w:val="00B010F3"/>
    <w:rsid w:val="00B01FC7"/>
    <w:rsid w:val="00B03066"/>
    <w:rsid w:val="00B03162"/>
    <w:rsid w:val="00B047B4"/>
    <w:rsid w:val="00B05131"/>
    <w:rsid w:val="00B05B2C"/>
    <w:rsid w:val="00B06143"/>
    <w:rsid w:val="00B06322"/>
    <w:rsid w:val="00B07F33"/>
    <w:rsid w:val="00B10A52"/>
    <w:rsid w:val="00B111D4"/>
    <w:rsid w:val="00B12FE2"/>
    <w:rsid w:val="00B137C4"/>
    <w:rsid w:val="00B15A94"/>
    <w:rsid w:val="00B16033"/>
    <w:rsid w:val="00B17909"/>
    <w:rsid w:val="00B22713"/>
    <w:rsid w:val="00B228A4"/>
    <w:rsid w:val="00B2367D"/>
    <w:rsid w:val="00B3159C"/>
    <w:rsid w:val="00B31D4B"/>
    <w:rsid w:val="00B33243"/>
    <w:rsid w:val="00B33F55"/>
    <w:rsid w:val="00B348D5"/>
    <w:rsid w:val="00B350A0"/>
    <w:rsid w:val="00B356D1"/>
    <w:rsid w:val="00B368D2"/>
    <w:rsid w:val="00B37753"/>
    <w:rsid w:val="00B41FC1"/>
    <w:rsid w:val="00B4315E"/>
    <w:rsid w:val="00B4425E"/>
    <w:rsid w:val="00B44BC2"/>
    <w:rsid w:val="00B45449"/>
    <w:rsid w:val="00B45E7A"/>
    <w:rsid w:val="00B4618E"/>
    <w:rsid w:val="00B4645C"/>
    <w:rsid w:val="00B47CC7"/>
    <w:rsid w:val="00B5081E"/>
    <w:rsid w:val="00B508B5"/>
    <w:rsid w:val="00B509BA"/>
    <w:rsid w:val="00B510AE"/>
    <w:rsid w:val="00B5113E"/>
    <w:rsid w:val="00B513A2"/>
    <w:rsid w:val="00B53853"/>
    <w:rsid w:val="00B53950"/>
    <w:rsid w:val="00B54101"/>
    <w:rsid w:val="00B54C1B"/>
    <w:rsid w:val="00B55314"/>
    <w:rsid w:val="00B57D0E"/>
    <w:rsid w:val="00B61556"/>
    <w:rsid w:val="00B616B7"/>
    <w:rsid w:val="00B639AD"/>
    <w:rsid w:val="00B63BD0"/>
    <w:rsid w:val="00B64B5F"/>
    <w:rsid w:val="00B64F3D"/>
    <w:rsid w:val="00B66425"/>
    <w:rsid w:val="00B71677"/>
    <w:rsid w:val="00B722B1"/>
    <w:rsid w:val="00B72601"/>
    <w:rsid w:val="00B72606"/>
    <w:rsid w:val="00B7439D"/>
    <w:rsid w:val="00B74B83"/>
    <w:rsid w:val="00B75A1B"/>
    <w:rsid w:val="00B7669C"/>
    <w:rsid w:val="00B80EC3"/>
    <w:rsid w:val="00B82D8F"/>
    <w:rsid w:val="00B83340"/>
    <w:rsid w:val="00B83D81"/>
    <w:rsid w:val="00B83DF5"/>
    <w:rsid w:val="00B856C9"/>
    <w:rsid w:val="00B8636D"/>
    <w:rsid w:val="00B87178"/>
    <w:rsid w:val="00B90220"/>
    <w:rsid w:val="00B90AD5"/>
    <w:rsid w:val="00B92579"/>
    <w:rsid w:val="00B928DE"/>
    <w:rsid w:val="00B92CA8"/>
    <w:rsid w:val="00B92D0D"/>
    <w:rsid w:val="00B93E20"/>
    <w:rsid w:val="00B93F0E"/>
    <w:rsid w:val="00B941C6"/>
    <w:rsid w:val="00B95746"/>
    <w:rsid w:val="00BA0DE8"/>
    <w:rsid w:val="00BA0FA8"/>
    <w:rsid w:val="00BA1079"/>
    <w:rsid w:val="00BA30B9"/>
    <w:rsid w:val="00BA3C68"/>
    <w:rsid w:val="00BA3E21"/>
    <w:rsid w:val="00BA65B3"/>
    <w:rsid w:val="00BB00A2"/>
    <w:rsid w:val="00BB0284"/>
    <w:rsid w:val="00BB0991"/>
    <w:rsid w:val="00BB0EF1"/>
    <w:rsid w:val="00BB1BF7"/>
    <w:rsid w:val="00BB1C56"/>
    <w:rsid w:val="00BB2092"/>
    <w:rsid w:val="00BB29DF"/>
    <w:rsid w:val="00BB2A06"/>
    <w:rsid w:val="00BB4BCB"/>
    <w:rsid w:val="00BB54FB"/>
    <w:rsid w:val="00BB5F09"/>
    <w:rsid w:val="00BB673E"/>
    <w:rsid w:val="00BB73D8"/>
    <w:rsid w:val="00BC0672"/>
    <w:rsid w:val="00BC0AC1"/>
    <w:rsid w:val="00BC0BE9"/>
    <w:rsid w:val="00BC0DE9"/>
    <w:rsid w:val="00BC15F1"/>
    <w:rsid w:val="00BC188B"/>
    <w:rsid w:val="00BC19F1"/>
    <w:rsid w:val="00BC2419"/>
    <w:rsid w:val="00BC2680"/>
    <w:rsid w:val="00BC3690"/>
    <w:rsid w:val="00BC4096"/>
    <w:rsid w:val="00BC40A6"/>
    <w:rsid w:val="00BC48C2"/>
    <w:rsid w:val="00BC48EC"/>
    <w:rsid w:val="00BC67D2"/>
    <w:rsid w:val="00BC6ADB"/>
    <w:rsid w:val="00BC70AD"/>
    <w:rsid w:val="00BD097B"/>
    <w:rsid w:val="00BD0A8A"/>
    <w:rsid w:val="00BD10B7"/>
    <w:rsid w:val="00BD182E"/>
    <w:rsid w:val="00BD1E5B"/>
    <w:rsid w:val="00BD2A63"/>
    <w:rsid w:val="00BD4B77"/>
    <w:rsid w:val="00BD4EE1"/>
    <w:rsid w:val="00BD5B4B"/>
    <w:rsid w:val="00BD5DF4"/>
    <w:rsid w:val="00BD68DD"/>
    <w:rsid w:val="00BD714D"/>
    <w:rsid w:val="00BD73D5"/>
    <w:rsid w:val="00BE02CE"/>
    <w:rsid w:val="00BE28F1"/>
    <w:rsid w:val="00BE2D1A"/>
    <w:rsid w:val="00BE3F7B"/>
    <w:rsid w:val="00BE4953"/>
    <w:rsid w:val="00BE5909"/>
    <w:rsid w:val="00BE59D6"/>
    <w:rsid w:val="00BE5B90"/>
    <w:rsid w:val="00BF18AF"/>
    <w:rsid w:val="00BF1E0C"/>
    <w:rsid w:val="00BF291C"/>
    <w:rsid w:val="00BF2F1A"/>
    <w:rsid w:val="00BF4C01"/>
    <w:rsid w:val="00BF6814"/>
    <w:rsid w:val="00BF70EB"/>
    <w:rsid w:val="00BF739F"/>
    <w:rsid w:val="00C00E9B"/>
    <w:rsid w:val="00C0101D"/>
    <w:rsid w:val="00C01330"/>
    <w:rsid w:val="00C02121"/>
    <w:rsid w:val="00C0295A"/>
    <w:rsid w:val="00C044B0"/>
    <w:rsid w:val="00C055F1"/>
    <w:rsid w:val="00C06F7B"/>
    <w:rsid w:val="00C1070B"/>
    <w:rsid w:val="00C11554"/>
    <w:rsid w:val="00C119F0"/>
    <w:rsid w:val="00C1280B"/>
    <w:rsid w:val="00C12988"/>
    <w:rsid w:val="00C12D0B"/>
    <w:rsid w:val="00C13B43"/>
    <w:rsid w:val="00C1406A"/>
    <w:rsid w:val="00C14126"/>
    <w:rsid w:val="00C14373"/>
    <w:rsid w:val="00C14B33"/>
    <w:rsid w:val="00C1506D"/>
    <w:rsid w:val="00C16F7E"/>
    <w:rsid w:val="00C176CC"/>
    <w:rsid w:val="00C17878"/>
    <w:rsid w:val="00C20DDB"/>
    <w:rsid w:val="00C210D5"/>
    <w:rsid w:val="00C21220"/>
    <w:rsid w:val="00C2141D"/>
    <w:rsid w:val="00C24965"/>
    <w:rsid w:val="00C257AA"/>
    <w:rsid w:val="00C25841"/>
    <w:rsid w:val="00C268CF"/>
    <w:rsid w:val="00C27231"/>
    <w:rsid w:val="00C27794"/>
    <w:rsid w:val="00C27EB8"/>
    <w:rsid w:val="00C27FB1"/>
    <w:rsid w:val="00C307DF"/>
    <w:rsid w:val="00C31BE6"/>
    <w:rsid w:val="00C32B69"/>
    <w:rsid w:val="00C35A6B"/>
    <w:rsid w:val="00C3653C"/>
    <w:rsid w:val="00C368D6"/>
    <w:rsid w:val="00C36AA2"/>
    <w:rsid w:val="00C419CD"/>
    <w:rsid w:val="00C4264D"/>
    <w:rsid w:val="00C42C83"/>
    <w:rsid w:val="00C42DB0"/>
    <w:rsid w:val="00C43571"/>
    <w:rsid w:val="00C44800"/>
    <w:rsid w:val="00C4500C"/>
    <w:rsid w:val="00C459A2"/>
    <w:rsid w:val="00C46321"/>
    <w:rsid w:val="00C46401"/>
    <w:rsid w:val="00C46C7B"/>
    <w:rsid w:val="00C47EA2"/>
    <w:rsid w:val="00C5003B"/>
    <w:rsid w:val="00C502A1"/>
    <w:rsid w:val="00C509DC"/>
    <w:rsid w:val="00C50A8B"/>
    <w:rsid w:val="00C50F1A"/>
    <w:rsid w:val="00C515B8"/>
    <w:rsid w:val="00C516F0"/>
    <w:rsid w:val="00C51A2F"/>
    <w:rsid w:val="00C51A49"/>
    <w:rsid w:val="00C52155"/>
    <w:rsid w:val="00C52D18"/>
    <w:rsid w:val="00C53B5F"/>
    <w:rsid w:val="00C53C5C"/>
    <w:rsid w:val="00C54D26"/>
    <w:rsid w:val="00C550F1"/>
    <w:rsid w:val="00C55C03"/>
    <w:rsid w:val="00C55FB1"/>
    <w:rsid w:val="00C567E0"/>
    <w:rsid w:val="00C572B1"/>
    <w:rsid w:val="00C61A0E"/>
    <w:rsid w:val="00C62FCD"/>
    <w:rsid w:val="00C632F2"/>
    <w:rsid w:val="00C647FE"/>
    <w:rsid w:val="00C649CD"/>
    <w:rsid w:val="00C66B0C"/>
    <w:rsid w:val="00C6785F"/>
    <w:rsid w:val="00C67AE8"/>
    <w:rsid w:val="00C67F54"/>
    <w:rsid w:val="00C712CE"/>
    <w:rsid w:val="00C71395"/>
    <w:rsid w:val="00C7154D"/>
    <w:rsid w:val="00C74C30"/>
    <w:rsid w:val="00C75429"/>
    <w:rsid w:val="00C75734"/>
    <w:rsid w:val="00C758BA"/>
    <w:rsid w:val="00C75D7A"/>
    <w:rsid w:val="00C76476"/>
    <w:rsid w:val="00C81BBC"/>
    <w:rsid w:val="00C82AB0"/>
    <w:rsid w:val="00C8321E"/>
    <w:rsid w:val="00C8438C"/>
    <w:rsid w:val="00C854AC"/>
    <w:rsid w:val="00C879BF"/>
    <w:rsid w:val="00C87BE9"/>
    <w:rsid w:val="00C92151"/>
    <w:rsid w:val="00C93498"/>
    <w:rsid w:val="00C939C5"/>
    <w:rsid w:val="00C948CF"/>
    <w:rsid w:val="00C966A4"/>
    <w:rsid w:val="00C97C3D"/>
    <w:rsid w:val="00CA04D2"/>
    <w:rsid w:val="00CA0DAF"/>
    <w:rsid w:val="00CA1B37"/>
    <w:rsid w:val="00CA23DA"/>
    <w:rsid w:val="00CA395C"/>
    <w:rsid w:val="00CA4083"/>
    <w:rsid w:val="00CA447F"/>
    <w:rsid w:val="00CA47EF"/>
    <w:rsid w:val="00CA4838"/>
    <w:rsid w:val="00CA48B2"/>
    <w:rsid w:val="00CA6703"/>
    <w:rsid w:val="00CA69D3"/>
    <w:rsid w:val="00CA6D9B"/>
    <w:rsid w:val="00CA73AB"/>
    <w:rsid w:val="00CA74B5"/>
    <w:rsid w:val="00CB019E"/>
    <w:rsid w:val="00CB0225"/>
    <w:rsid w:val="00CB1A3B"/>
    <w:rsid w:val="00CB2668"/>
    <w:rsid w:val="00CB56B8"/>
    <w:rsid w:val="00CB570D"/>
    <w:rsid w:val="00CB7B29"/>
    <w:rsid w:val="00CC001B"/>
    <w:rsid w:val="00CC0402"/>
    <w:rsid w:val="00CC1704"/>
    <w:rsid w:val="00CC400B"/>
    <w:rsid w:val="00CC54A6"/>
    <w:rsid w:val="00CC574E"/>
    <w:rsid w:val="00CC7BAB"/>
    <w:rsid w:val="00CD0960"/>
    <w:rsid w:val="00CD0EE4"/>
    <w:rsid w:val="00CD1452"/>
    <w:rsid w:val="00CD3499"/>
    <w:rsid w:val="00CD4754"/>
    <w:rsid w:val="00CD5761"/>
    <w:rsid w:val="00CD59A2"/>
    <w:rsid w:val="00CD5DF9"/>
    <w:rsid w:val="00CD6103"/>
    <w:rsid w:val="00CD6F19"/>
    <w:rsid w:val="00CE00DA"/>
    <w:rsid w:val="00CE1D94"/>
    <w:rsid w:val="00CE23D3"/>
    <w:rsid w:val="00CE6F04"/>
    <w:rsid w:val="00CE7D09"/>
    <w:rsid w:val="00CF0AE8"/>
    <w:rsid w:val="00CF0E12"/>
    <w:rsid w:val="00CF1F17"/>
    <w:rsid w:val="00CF212C"/>
    <w:rsid w:val="00CF2F5A"/>
    <w:rsid w:val="00CF3377"/>
    <w:rsid w:val="00CF4A4D"/>
    <w:rsid w:val="00CF57AB"/>
    <w:rsid w:val="00CF602F"/>
    <w:rsid w:val="00CF62F1"/>
    <w:rsid w:val="00CF7347"/>
    <w:rsid w:val="00CF7777"/>
    <w:rsid w:val="00CF7946"/>
    <w:rsid w:val="00CF7F11"/>
    <w:rsid w:val="00D015E0"/>
    <w:rsid w:val="00D01829"/>
    <w:rsid w:val="00D03B7F"/>
    <w:rsid w:val="00D05BC4"/>
    <w:rsid w:val="00D06B80"/>
    <w:rsid w:val="00D07545"/>
    <w:rsid w:val="00D07782"/>
    <w:rsid w:val="00D077D4"/>
    <w:rsid w:val="00D07919"/>
    <w:rsid w:val="00D15003"/>
    <w:rsid w:val="00D1583E"/>
    <w:rsid w:val="00D161C6"/>
    <w:rsid w:val="00D16E49"/>
    <w:rsid w:val="00D20F63"/>
    <w:rsid w:val="00D26346"/>
    <w:rsid w:val="00D27532"/>
    <w:rsid w:val="00D27699"/>
    <w:rsid w:val="00D3139F"/>
    <w:rsid w:val="00D345B1"/>
    <w:rsid w:val="00D347F5"/>
    <w:rsid w:val="00D353F2"/>
    <w:rsid w:val="00D36669"/>
    <w:rsid w:val="00D37EBA"/>
    <w:rsid w:val="00D4026B"/>
    <w:rsid w:val="00D4203B"/>
    <w:rsid w:val="00D420BE"/>
    <w:rsid w:val="00D42C69"/>
    <w:rsid w:val="00D4391B"/>
    <w:rsid w:val="00D47841"/>
    <w:rsid w:val="00D478FA"/>
    <w:rsid w:val="00D47C87"/>
    <w:rsid w:val="00D47D2B"/>
    <w:rsid w:val="00D47D7B"/>
    <w:rsid w:val="00D506B5"/>
    <w:rsid w:val="00D507EE"/>
    <w:rsid w:val="00D51B8A"/>
    <w:rsid w:val="00D547F4"/>
    <w:rsid w:val="00D55D74"/>
    <w:rsid w:val="00D625DE"/>
    <w:rsid w:val="00D63460"/>
    <w:rsid w:val="00D63866"/>
    <w:rsid w:val="00D64531"/>
    <w:rsid w:val="00D6455C"/>
    <w:rsid w:val="00D65AA1"/>
    <w:rsid w:val="00D65DBB"/>
    <w:rsid w:val="00D67CD6"/>
    <w:rsid w:val="00D67DED"/>
    <w:rsid w:val="00D72E41"/>
    <w:rsid w:val="00D74B3A"/>
    <w:rsid w:val="00D75939"/>
    <w:rsid w:val="00D75B28"/>
    <w:rsid w:val="00D7629D"/>
    <w:rsid w:val="00D76B6C"/>
    <w:rsid w:val="00D77B62"/>
    <w:rsid w:val="00D847B1"/>
    <w:rsid w:val="00D85EDF"/>
    <w:rsid w:val="00D87B14"/>
    <w:rsid w:val="00D87EC4"/>
    <w:rsid w:val="00D87F7A"/>
    <w:rsid w:val="00D9066E"/>
    <w:rsid w:val="00D94463"/>
    <w:rsid w:val="00D94985"/>
    <w:rsid w:val="00D9542A"/>
    <w:rsid w:val="00D95765"/>
    <w:rsid w:val="00D96F05"/>
    <w:rsid w:val="00DA0CFA"/>
    <w:rsid w:val="00DA251A"/>
    <w:rsid w:val="00DA39D5"/>
    <w:rsid w:val="00DA3D60"/>
    <w:rsid w:val="00DA4F02"/>
    <w:rsid w:val="00DA626A"/>
    <w:rsid w:val="00DA6759"/>
    <w:rsid w:val="00DA6F8C"/>
    <w:rsid w:val="00DA714E"/>
    <w:rsid w:val="00DA7BDE"/>
    <w:rsid w:val="00DB06B8"/>
    <w:rsid w:val="00DB06FB"/>
    <w:rsid w:val="00DB0ED8"/>
    <w:rsid w:val="00DB1B49"/>
    <w:rsid w:val="00DB30BF"/>
    <w:rsid w:val="00DB4E4E"/>
    <w:rsid w:val="00DB5091"/>
    <w:rsid w:val="00DB59DE"/>
    <w:rsid w:val="00DB5E8B"/>
    <w:rsid w:val="00DB673C"/>
    <w:rsid w:val="00DB68F7"/>
    <w:rsid w:val="00DB6C12"/>
    <w:rsid w:val="00DB7BED"/>
    <w:rsid w:val="00DC0409"/>
    <w:rsid w:val="00DC1809"/>
    <w:rsid w:val="00DC258F"/>
    <w:rsid w:val="00DC638D"/>
    <w:rsid w:val="00DC6BF8"/>
    <w:rsid w:val="00DC7155"/>
    <w:rsid w:val="00DD0E39"/>
    <w:rsid w:val="00DD21BC"/>
    <w:rsid w:val="00DD2A8A"/>
    <w:rsid w:val="00DD3273"/>
    <w:rsid w:val="00DD3473"/>
    <w:rsid w:val="00DD42E2"/>
    <w:rsid w:val="00DD502A"/>
    <w:rsid w:val="00DD67FC"/>
    <w:rsid w:val="00DD6AD6"/>
    <w:rsid w:val="00DD74DC"/>
    <w:rsid w:val="00DE0F2C"/>
    <w:rsid w:val="00DE14C4"/>
    <w:rsid w:val="00DE1859"/>
    <w:rsid w:val="00DE3356"/>
    <w:rsid w:val="00DE37DE"/>
    <w:rsid w:val="00DE446C"/>
    <w:rsid w:val="00DE4BF4"/>
    <w:rsid w:val="00DE5AEA"/>
    <w:rsid w:val="00DE5CC1"/>
    <w:rsid w:val="00DE5D89"/>
    <w:rsid w:val="00DE6422"/>
    <w:rsid w:val="00DE67A1"/>
    <w:rsid w:val="00DE68E3"/>
    <w:rsid w:val="00DE6D5F"/>
    <w:rsid w:val="00DF074A"/>
    <w:rsid w:val="00DF11CE"/>
    <w:rsid w:val="00DF1F92"/>
    <w:rsid w:val="00DF2D35"/>
    <w:rsid w:val="00DF363C"/>
    <w:rsid w:val="00DF4166"/>
    <w:rsid w:val="00DF569B"/>
    <w:rsid w:val="00DF5838"/>
    <w:rsid w:val="00E00943"/>
    <w:rsid w:val="00E00A62"/>
    <w:rsid w:val="00E00AD1"/>
    <w:rsid w:val="00E01198"/>
    <w:rsid w:val="00E017C2"/>
    <w:rsid w:val="00E01BC7"/>
    <w:rsid w:val="00E02A42"/>
    <w:rsid w:val="00E03D68"/>
    <w:rsid w:val="00E0560E"/>
    <w:rsid w:val="00E057B1"/>
    <w:rsid w:val="00E06E40"/>
    <w:rsid w:val="00E10F1A"/>
    <w:rsid w:val="00E127C4"/>
    <w:rsid w:val="00E1382A"/>
    <w:rsid w:val="00E15B6A"/>
    <w:rsid w:val="00E171AE"/>
    <w:rsid w:val="00E2114A"/>
    <w:rsid w:val="00E237F9"/>
    <w:rsid w:val="00E23F79"/>
    <w:rsid w:val="00E24A63"/>
    <w:rsid w:val="00E24D78"/>
    <w:rsid w:val="00E2573E"/>
    <w:rsid w:val="00E26486"/>
    <w:rsid w:val="00E26BB1"/>
    <w:rsid w:val="00E27110"/>
    <w:rsid w:val="00E271F7"/>
    <w:rsid w:val="00E277F3"/>
    <w:rsid w:val="00E34D43"/>
    <w:rsid w:val="00E35E63"/>
    <w:rsid w:val="00E37B8F"/>
    <w:rsid w:val="00E37E8A"/>
    <w:rsid w:val="00E37E9D"/>
    <w:rsid w:val="00E40B32"/>
    <w:rsid w:val="00E432C4"/>
    <w:rsid w:val="00E438C2"/>
    <w:rsid w:val="00E51FAD"/>
    <w:rsid w:val="00E52B68"/>
    <w:rsid w:val="00E55760"/>
    <w:rsid w:val="00E55823"/>
    <w:rsid w:val="00E56242"/>
    <w:rsid w:val="00E57D74"/>
    <w:rsid w:val="00E60461"/>
    <w:rsid w:val="00E60601"/>
    <w:rsid w:val="00E606F5"/>
    <w:rsid w:val="00E6255C"/>
    <w:rsid w:val="00E64945"/>
    <w:rsid w:val="00E64ACB"/>
    <w:rsid w:val="00E705CE"/>
    <w:rsid w:val="00E7094F"/>
    <w:rsid w:val="00E70F71"/>
    <w:rsid w:val="00E711F1"/>
    <w:rsid w:val="00E71595"/>
    <w:rsid w:val="00E729DC"/>
    <w:rsid w:val="00E733C9"/>
    <w:rsid w:val="00E744DE"/>
    <w:rsid w:val="00E74632"/>
    <w:rsid w:val="00E7592E"/>
    <w:rsid w:val="00E7598F"/>
    <w:rsid w:val="00E75C0C"/>
    <w:rsid w:val="00E762D9"/>
    <w:rsid w:val="00E80388"/>
    <w:rsid w:val="00E81478"/>
    <w:rsid w:val="00E82870"/>
    <w:rsid w:val="00E83E1A"/>
    <w:rsid w:val="00E8538B"/>
    <w:rsid w:val="00E854AB"/>
    <w:rsid w:val="00E85C4A"/>
    <w:rsid w:val="00E86533"/>
    <w:rsid w:val="00E87333"/>
    <w:rsid w:val="00E87F09"/>
    <w:rsid w:val="00E90355"/>
    <w:rsid w:val="00E90A4E"/>
    <w:rsid w:val="00E90DA3"/>
    <w:rsid w:val="00E91082"/>
    <w:rsid w:val="00E918FF"/>
    <w:rsid w:val="00E924CB"/>
    <w:rsid w:val="00E967E6"/>
    <w:rsid w:val="00E97EB0"/>
    <w:rsid w:val="00EA016D"/>
    <w:rsid w:val="00EA0662"/>
    <w:rsid w:val="00EA09DE"/>
    <w:rsid w:val="00EA285A"/>
    <w:rsid w:val="00EA29C1"/>
    <w:rsid w:val="00EA66FB"/>
    <w:rsid w:val="00EA6A90"/>
    <w:rsid w:val="00EB25DA"/>
    <w:rsid w:val="00EB3309"/>
    <w:rsid w:val="00EB38D9"/>
    <w:rsid w:val="00EB3D52"/>
    <w:rsid w:val="00EB4DCC"/>
    <w:rsid w:val="00EB5780"/>
    <w:rsid w:val="00EB5E27"/>
    <w:rsid w:val="00EB6D03"/>
    <w:rsid w:val="00EB6DFD"/>
    <w:rsid w:val="00EB7AFB"/>
    <w:rsid w:val="00EC2C25"/>
    <w:rsid w:val="00EC3122"/>
    <w:rsid w:val="00EC72BA"/>
    <w:rsid w:val="00ED0A5B"/>
    <w:rsid w:val="00ED2105"/>
    <w:rsid w:val="00ED213C"/>
    <w:rsid w:val="00ED2497"/>
    <w:rsid w:val="00ED2A1C"/>
    <w:rsid w:val="00ED3074"/>
    <w:rsid w:val="00ED3645"/>
    <w:rsid w:val="00ED3EE1"/>
    <w:rsid w:val="00ED4E67"/>
    <w:rsid w:val="00ED63F4"/>
    <w:rsid w:val="00ED73DD"/>
    <w:rsid w:val="00ED7794"/>
    <w:rsid w:val="00ED7C3B"/>
    <w:rsid w:val="00EE05C6"/>
    <w:rsid w:val="00EE23A3"/>
    <w:rsid w:val="00EE243A"/>
    <w:rsid w:val="00EE4952"/>
    <w:rsid w:val="00EE4F1F"/>
    <w:rsid w:val="00EE6804"/>
    <w:rsid w:val="00EE7E04"/>
    <w:rsid w:val="00EF1C2A"/>
    <w:rsid w:val="00EF2D4F"/>
    <w:rsid w:val="00EF3F95"/>
    <w:rsid w:val="00EF66A8"/>
    <w:rsid w:val="00EF7C41"/>
    <w:rsid w:val="00F0029E"/>
    <w:rsid w:val="00F01222"/>
    <w:rsid w:val="00F0122C"/>
    <w:rsid w:val="00F01D69"/>
    <w:rsid w:val="00F01F24"/>
    <w:rsid w:val="00F03D05"/>
    <w:rsid w:val="00F05BFC"/>
    <w:rsid w:val="00F072B8"/>
    <w:rsid w:val="00F103B2"/>
    <w:rsid w:val="00F115D4"/>
    <w:rsid w:val="00F13BCE"/>
    <w:rsid w:val="00F1480A"/>
    <w:rsid w:val="00F168CE"/>
    <w:rsid w:val="00F205E3"/>
    <w:rsid w:val="00F2157A"/>
    <w:rsid w:val="00F233AF"/>
    <w:rsid w:val="00F245B4"/>
    <w:rsid w:val="00F24D8D"/>
    <w:rsid w:val="00F25ACF"/>
    <w:rsid w:val="00F269AA"/>
    <w:rsid w:val="00F26E39"/>
    <w:rsid w:val="00F27DFA"/>
    <w:rsid w:val="00F27E55"/>
    <w:rsid w:val="00F31DA7"/>
    <w:rsid w:val="00F32962"/>
    <w:rsid w:val="00F32DA0"/>
    <w:rsid w:val="00F3338E"/>
    <w:rsid w:val="00F33644"/>
    <w:rsid w:val="00F33FCC"/>
    <w:rsid w:val="00F342B7"/>
    <w:rsid w:val="00F35372"/>
    <w:rsid w:val="00F35E3A"/>
    <w:rsid w:val="00F360D9"/>
    <w:rsid w:val="00F361C4"/>
    <w:rsid w:val="00F369AE"/>
    <w:rsid w:val="00F4026C"/>
    <w:rsid w:val="00F40467"/>
    <w:rsid w:val="00F405CB"/>
    <w:rsid w:val="00F40A9D"/>
    <w:rsid w:val="00F40F2D"/>
    <w:rsid w:val="00F443F7"/>
    <w:rsid w:val="00F45D10"/>
    <w:rsid w:val="00F462F3"/>
    <w:rsid w:val="00F46C9C"/>
    <w:rsid w:val="00F47BAF"/>
    <w:rsid w:val="00F53490"/>
    <w:rsid w:val="00F5371B"/>
    <w:rsid w:val="00F5504A"/>
    <w:rsid w:val="00F57356"/>
    <w:rsid w:val="00F5749E"/>
    <w:rsid w:val="00F6057C"/>
    <w:rsid w:val="00F608DA"/>
    <w:rsid w:val="00F60AE2"/>
    <w:rsid w:val="00F61D94"/>
    <w:rsid w:val="00F63A35"/>
    <w:rsid w:val="00F64287"/>
    <w:rsid w:val="00F64A17"/>
    <w:rsid w:val="00F64F97"/>
    <w:rsid w:val="00F65479"/>
    <w:rsid w:val="00F65DAD"/>
    <w:rsid w:val="00F6609F"/>
    <w:rsid w:val="00F665D6"/>
    <w:rsid w:val="00F7003A"/>
    <w:rsid w:val="00F70D34"/>
    <w:rsid w:val="00F7118D"/>
    <w:rsid w:val="00F7477E"/>
    <w:rsid w:val="00F75C67"/>
    <w:rsid w:val="00F7678D"/>
    <w:rsid w:val="00F76BB6"/>
    <w:rsid w:val="00F76C9F"/>
    <w:rsid w:val="00F76DCA"/>
    <w:rsid w:val="00F778DD"/>
    <w:rsid w:val="00F779EA"/>
    <w:rsid w:val="00F816F1"/>
    <w:rsid w:val="00F81B4D"/>
    <w:rsid w:val="00F830A2"/>
    <w:rsid w:val="00F836DA"/>
    <w:rsid w:val="00F8441A"/>
    <w:rsid w:val="00F85005"/>
    <w:rsid w:val="00F85646"/>
    <w:rsid w:val="00F906E2"/>
    <w:rsid w:val="00F909BD"/>
    <w:rsid w:val="00F91570"/>
    <w:rsid w:val="00F94D7E"/>
    <w:rsid w:val="00F95F47"/>
    <w:rsid w:val="00F961C0"/>
    <w:rsid w:val="00F96292"/>
    <w:rsid w:val="00F965BD"/>
    <w:rsid w:val="00F96A5D"/>
    <w:rsid w:val="00F97DE0"/>
    <w:rsid w:val="00FA0FC5"/>
    <w:rsid w:val="00FA1145"/>
    <w:rsid w:val="00FA1921"/>
    <w:rsid w:val="00FA1C4A"/>
    <w:rsid w:val="00FA4756"/>
    <w:rsid w:val="00FA6308"/>
    <w:rsid w:val="00FA638A"/>
    <w:rsid w:val="00FA6766"/>
    <w:rsid w:val="00FA705C"/>
    <w:rsid w:val="00FB0145"/>
    <w:rsid w:val="00FB0EA4"/>
    <w:rsid w:val="00FB1BDB"/>
    <w:rsid w:val="00FB1ED5"/>
    <w:rsid w:val="00FB1FCF"/>
    <w:rsid w:val="00FB2ED2"/>
    <w:rsid w:val="00FB6C45"/>
    <w:rsid w:val="00FB72DE"/>
    <w:rsid w:val="00FB73B9"/>
    <w:rsid w:val="00FC0CD2"/>
    <w:rsid w:val="00FC1C18"/>
    <w:rsid w:val="00FC2E02"/>
    <w:rsid w:val="00FC4433"/>
    <w:rsid w:val="00FC5803"/>
    <w:rsid w:val="00FC743A"/>
    <w:rsid w:val="00FC792C"/>
    <w:rsid w:val="00FC7D66"/>
    <w:rsid w:val="00FD213B"/>
    <w:rsid w:val="00FD2178"/>
    <w:rsid w:val="00FD29E6"/>
    <w:rsid w:val="00FD311C"/>
    <w:rsid w:val="00FD3A1F"/>
    <w:rsid w:val="00FD3B1E"/>
    <w:rsid w:val="00FD474C"/>
    <w:rsid w:val="00FD50E6"/>
    <w:rsid w:val="00FD548B"/>
    <w:rsid w:val="00FD68D3"/>
    <w:rsid w:val="00FD7055"/>
    <w:rsid w:val="00FD73F9"/>
    <w:rsid w:val="00FE10D9"/>
    <w:rsid w:val="00FE1D04"/>
    <w:rsid w:val="00FE234C"/>
    <w:rsid w:val="00FE3150"/>
    <w:rsid w:val="00FE3CF6"/>
    <w:rsid w:val="00FE5328"/>
    <w:rsid w:val="00FE66BD"/>
    <w:rsid w:val="00FE6809"/>
    <w:rsid w:val="00FF315B"/>
    <w:rsid w:val="00FF317E"/>
    <w:rsid w:val="00FF49F1"/>
    <w:rsid w:val="00FF595F"/>
    <w:rsid w:val="00FF693C"/>
    <w:rsid w:val="0B4C3C56"/>
    <w:rsid w:val="0BB34147"/>
    <w:rsid w:val="1DC40BEF"/>
    <w:rsid w:val="23942D28"/>
    <w:rsid w:val="4651D01D"/>
    <w:rsid w:val="4AE64982"/>
    <w:rsid w:val="7685DE4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6A898"/>
  <w15:chartTrackingRefBased/>
  <w15:docId w15:val="{0805FCCA-DFB4-49E3-8664-6BFBCC1D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uiPriority="8"/>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uiPriority="8"/>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qFormat="1"/>
    <w:lsdException w:name="List Number 3" w:qFormat="1"/>
    <w:lsdException w:name="List Number 4" w:semiHidden="1" w:qFormat="1"/>
    <w:lsdException w:name="List Number 5" w:semiHidden="1"/>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8B5615"/>
    <w:rPr>
      <w:color w:val="FF0000"/>
    </w:rPr>
  </w:style>
  <w:style w:type="paragraph" w:styleId="Heading1">
    <w:name w:val="heading 1"/>
    <w:next w:val="BodyText"/>
    <w:link w:val="Heading1Char"/>
    <w:qFormat/>
    <w:rsid w:val="001838AB"/>
    <w:pPr>
      <w:spacing w:before="240" w:line="240" w:lineRule="auto"/>
      <w:outlineLvl w:val="0"/>
    </w:pPr>
    <w:rPr>
      <w:color w:val="201547" w:themeColor="text2"/>
      <w:sz w:val="44"/>
    </w:rPr>
  </w:style>
  <w:style w:type="paragraph" w:styleId="Heading2">
    <w:name w:val="heading 2"/>
    <w:next w:val="BodyText"/>
    <w:link w:val="Heading2Char"/>
    <w:qFormat/>
    <w:rsid w:val="000B6D9E"/>
    <w:pPr>
      <w:spacing w:before="24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line="240" w:lineRule="auto"/>
      <w:outlineLvl w:val="3"/>
    </w:pPr>
    <w:rPr>
      <w:rFonts w:asciiTheme="majorHAnsi" w:eastAsiaTheme="majorEastAsia" w:hAnsiTheme="majorHAnsi" w:cstheme="majorBidi"/>
      <w:b/>
      <w:iCs/>
      <w:color w:val="0072CE" w:themeColor="accent1"/>
    </w:rPr>
  </w:style>
  <w:style w:type="paragraph" w:styleId="Heading5">
    <w:name w:val="heading 5"/>
    <w:next w:val="BodyText"/>
    <w:link w:val="Heading5Char"/>
    <w:qFormat/>
    <w:rsid w:val="001838AB"/>
    <w:pPr>
      <w:keepNext/>
      <w:keepLines/>
      <w:suppressAutoHyphens/>
      <w:spacing w:before="24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line="240" w:lineRule="auto"/>
    </w:pPr>
    <w:rPr>
      <w:rFonts w:ascii="VIC SemiBold" w:eastAsia="Calibri" w:hAnsi="VIC SemiBold" w:cs="Calibri"/>
      <w:b/>
    </w:rPr>
  </w:style>
  <w:style w:type="paragraph" w:styleId="TOC2">
    <w:name w:val="toc 2"/>
    <w:next w:val="BodyText"/>
    <w:uiPriority w:val="39"/>
    <w:rsid w:val="00321B51"/>
    <w:pPr>
      <w:tabs>
        <w:tab w:val="left" w:pos="1134"/>
        <w:tab w:val="right" w:leader="dot" w:pos="10206"/>
      </w:tabs>
      <w:suppressAutoHyphens/>
      <w:spacing w:line="240" w:lineRule="auto"/>
      <w:ind w:left="1134" w:hanging="567"/>
    </w:pPr>
    <w:rPr>
      <w:rFonts w:eastAsia="Calibri" w:cs="Calibri"/>
    </w:rPr>
  </w:style>
  <w:style w:type="paragraph" w:styleId="TOC3">
    <w:name w:val="toc 3"/>
    <w:next w:val="BodyText"/>
    <w:uiPriority w:val="39"/>
    <w:rsid w:val="00321B51"/>
    <w:pPr>
      <w:tabs>
        <w:tab w:val="left" w:pos="1985"/>
        <w:tab w:val="right" w:leader="dot" w:pos="10206"/>
      </w:tabs>
      <w:suppressAutoHyphens/>
      <w:spacing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9115ED"/>
    <w:rPr>
      <w:color w:val="201547" w:themeColor="text2"/>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Strong">
    <w:name w:val="Strong"/>
    <w:aliases w:val="Bold"/>
    <w:basedOn w:val="DefaultParagraphFont"/>
    <w:qFormat/>
    <w:rsid w:val="00D547F4"/>
    <w:rPr>
      <w:rFonts w:ascii="VIC SemiBold" w:hAnsi="VIC SemiBold"/>
      <w:b w:val="0"/>
      <w:bCs/>
      <w:i w:val="0"/>
      <w:color w:val="auto"/>
    </w:rPr>
  </w:style>
  <w:style w:type="paragraph" w:styleId="ListBullet">
    <w:name w:val="List Bullet"/>
    <w:qFormat/>
    <w:rsid w:val="00517E3C"/>
    <w:pPr>
      <w:numPr>
        <w:numId w:val="14"/>
      </w:numPr>
      <w:suppressAutoHyphens/>
      <w:spacing w:line="240" w:lineRule="auto"/>
    </w:pPr>
    <w:rPr>
      <w:rFonts w:eastAsia="Arial" w:cs="Arial"/>
      <w:color w:val="000000" w:themeColor="text1"/>
      <w:lang w:eastAsia="en-US"/>
    </w:rPr>
  </w:style>
  <w:style w:type="paragraph" w:styleId="ListNumber">
    <w:name w:val="List Number"/>
    <w:uiPriority w:val="99"/>
    <w:qFormat/>
    <w:rsid w:val="00953E67"/>
    <w:pPr>
      <w:numPr>
        <w:numId w:val="5"/>
      </w:numPr>
      <w:suppressAutoHyphens/>
      <w:spacing w:line="240" w:lineRule="auto"/>
    </w:pPr>
    <w:rPr>
      <w:color w:val="000000" w:themeColor="text1"/>
    </w:rPr>
  </w:style>
  <w:style w:type="paragraph" w:styleId="FootnoteText">
    <w:name w:val="footnote text"/>
    <w:link w:val="FootnoteTextChar"/>
    <w:uiPriority w:val="8"/>
    <w:rsid w:val="006C1A48"/>
    <w:pPr>
      <w:spacing w:before="60" w:after="60" w:line="240" w:lineRule="auto"/>
    </w:pPr>
    <w:rPr>
      <w:color w:val="000000" w:themeColor="text1"/>
      <w:sz w:val="18"/>
    </w:rPr>
  </w:style>
  <w:style w:type="character" w:customStyle="1" w:styleId="FootnoteTextChar">
    <w:name w:val="Footnote Text Char"/>
    <w:basedOn w:val="DefaultParagraphFont"/>
    <w:link w:val="FootnoteText"/>
    <w:uiPriority w:val="8"/>
    <w:rsid w:val="006C1A48"/>
    <w:rPr>
      <w:color w:val="000000" w:themeColor="text1"/>
      <w:sz w:val="18"/>
      <w:szCs w:val="20"/>
    </w:rPr>
  </w:style>
  <w:style w:type="character" w:styleId="FootnoteReference">
    <w:name w:val="footnote reference"/>
    <w:basedOn w:val="DefaultParagraphFont"/>
    <w:uiPriority w:val="8"/>
    <w:rsid w:val="002839D6"/>
    <w:rPr>
      <w:rFonts w:asciiTheme="minorHAnsi" w:hAnsiTheme="minorHAnsi"/>
      <w:color w:val="000000" w:themeColor="text1"/>
      <w:vertAlign w:val="superscript"/>
    </w:rPr>
  </w:style>
  <w:style w:type="paragraph" w:styleId="BodyText">
    <w:name w:val="Body Text"/>
    <w:link w:val="BodyTextChar"/>
    <w:qFormat/>
    <w:rsid w:val="00367533"/>
    <w:pPr>
      <w:tabs>
        <w:tab w:val="left" w:pos="357"/>
        <w:tab w:val="left" w:pos="714"/>
        <w:tab w:val="left" w:pos="2552"/>
      </w:tabs>
      <w:suppressAutoHyphens/>
      <w:spacing w:line="240" w:lineRule="auto"/>
    </w:pPr>
    <w:rPr>
      <w:color w:val="000000" w:themeColor="text1"/>
    </w:rPr>
  </w:style>
  <w:style w:type="character" w:customStyle="1" w:styleId="BodyTextChar">
    <w:name w:val="Body Text Char"/>
    <w:basedOn w:val="DefaultParagraphFont"/>
    <w:link w:val="BodyText"/>
    <w:rsid w:val="00367533"/>
    <w:rPr>
      <w:color w:val="000000" w:themeColor="text1"/>
    </w:rPr>
  </w:style>
  <w:style w:type="character" w:customStyle="1" w:styleId="Heading2Char">
    <w:name w:val="Heading 2 Char"/>
    <w:basedOn w:val="DefaultParagraphFont"/>
    <w:link w:val="Heading2"/>
    <w:rsid w:val="000B6D9E"/>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741843"/>
    <w:rPr>
      <w:color w:val="000000" w:themeColor="text1"/>
      <w:u w:val="none"/>
    </w:rPr>
  </w:style>
  <w:style w:type="paragraph" w:styleId="ListBullet2">
    <w:name w:val="List Bullet 2"/>
    <w:qFormat/>
    <w:rsid w:val="00953E67"/>
    <w:pPr>
      <w:numPr>
        <w:numId w:val="1"/>
      </w:numPr>
      <w:suppressAutoHyphens/>
      <w:spacing w:line="240" w:lineRule="auto"/>
    </w:pPr>
    <w:rPr>
      <w:rFonts w:eastAsia="Arial" w:cs="ArialMT"/>
      <w:color w:val="000000" w:themeColor="text1"/>
      <w:szCs w:val="24"/>
      <w:lang w:eastAsia="en-US"/>
    </w:rPr>
  </w:style>
  <w:style w:type="paragraph" w:styleId="ListBullet3">
    <w:name w:val="List Bullet 3"/>
    <w:qFormat/>
    <w:rsid w:val="00953E67"/>
    <w:pPr>
      <w:numPr>
        <w:numId w:val="2"/>
      </w:numPr>
      <w:suppressAutoHyphens/>
      <w:spacing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953E67"/>
    <w:pPr>
      <w:numPr>
        <w:numId w:val="4"/>
      </w:numPr>
      <w:suppressAutoHyphens/>
      <w:spacing w:line="240" w:lineRule="auto"/>
      <w:ind w:left="1071" w:hanging="357"/>
    </w:pPr>
    <w:rPr>
      <w:rFonts w:eastAsia="Arial" w:cs="Times New Roman"/>
      <w:color w:val="000000" w:themeColor="text1"/>
      <w:szCs w:val="24"/>
      <w:lang w:eastAsia="en-US"/>
    </w:rPr>
  </w:style>
  <w:style w:type="paragraph" w:styleId="ListNumber2">
    <w:name w:val="List Number 2"/>
    <w:uiPriority w:val="99"/>
    <w:qFormat/>
    <w:rsid w:val="00953E67"/>
    <w:pPr>
      <w:numPr>
        <w:numId w:val="3"/>
      </w:numPr>
      <w:suppressAutoHyphens/>
      <w:spacing w:line="240" w:lineRule="auto"/>
    </w:pPr>
    <w:rPr>
      <w:rFonts w:eastAsia="Arial" w:cs="Times New Roman"/>
      <w:color w:val="000000"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987BD4"/>
    <w:pPr>
      <w:numPr>
        <w:ilvl w:val="1"/>
      </w:numPr>
      <w:suppressAutoHyphens/>
      <w:spacing w:after="0" w:line="240" w:lineRule="auto"/>
    </w:pPr>
    <w:rPr>
      <w:b/>
      <w:color w:val="201547" w:themeColor="text2"/>
      <w:sz w:val="40"/>
      <w:lang w:eastAsia="en-US"/>
    </w:rPr>
  </w:style>
  <w:style w:type="character" w:customStyle="1" w:styleId="SubtitleChar">
    <w:name w:val="Subtitle Char"/>
    <w:basedOn w:val="DefaultParagraphFont"/>
    <w:link w:val="Subtitle"/>
    <w:rsid w:val="00987BD4"/>
    <w:rPr>
      <w:b/>
      <w:color w:val="201547" w:themeColor="text2"/>
      <w:sz w:val="40"/>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2E1FC5"/>
    <w:pPr>
      <w:spacing w:after="200"/>
    </w:pPr>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line="240" w:lineRule="auto"/>
    </w:pPr>
    <w:rPr>
      <w:rFonts w:eastAsia="Calibri" w:cs="Calibri"/>
      <w:color w:val="0072CE" w:themeColor="accent1"/>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0B6D9E"/>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0B6D9E"/>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lang w:eastAsia="en-AU"/>
    </w:r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0B6D9E"/>
    <w:pPr>
      <w:framePr w:h="709" w:hRule="exact" w:wrap="around" w:vAnchor="page" w:hAnchor="page" w:x="568" w:y="15452"/>
      <w:spacing w:after="0" w:line="240" w:lineRule="atLeast"/>
    </w:pPr>
    <w:rPr>
      <w:rFonts w:eastAsia="Times New Roman" w:cs="Times New Roman"/>
      <w:b/>
      <w:color w:val="201547" w:themeColor="text2"/>
      <w:sz w:val="28"/>
      <w:lang w:eastAsia="en-AU"/>
    </w:rPr>
  </w:style>
  <w:style w:type="paragraph" w:styleId="ListNumber4">
    <w:name w:val="List Number 4"/>
    <w:basedOn w:val="Normal"/>
    <w:uiPriority w:val="99"/>
    <w:semiHidden/>
    <w:qFormat/>
    <w:rsid w:val="00F342B7"/>
    <w:pPr>
      <w:numPr>
        <w:numId w:val="10"/>
      </w:numPr>
      <w:contextualSpacing/>
    </w:pPr>
  </w:style>
  <w:style w:type="paragraph" w:customStyle="1" w:styleId="Source">
    <w:name w:val="Source"/>
    <w:basedOn w:val="BodyText"/>
    <w:next w:val="BodyText"/>
    <w:qFormat/>
    <w:rsid w:val="007E063B"/>
    <w:pPr>
      <w:numPr>
        <w:numId w:val="11"/>
      </w:numPr>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uiPriority w:val="99"/>
    <w:semiHidden/>
    <w:unhideWhenUsed/>
    <w:rsid w:val="00B44BC2"/>
    <w:pPr>
      <w:spacing w:before="80"/>
      <w:ind w:left="1418" w:hanging="1418"/>
      <w:contextualSpacing/>
    </w:pPr>
    <w:rPr>
      <w:rFonts w:eastAsiaTheme="minorHAns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354F6D"/>
    <w:pPr>
      <w:spacing w:line="240" w:lineRule="auto"/>
    </w:pPr>
    <w:rPr>
      <w:rFonts w:eastAsiaTheme="minorHAnsi"/>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8" w:space="0" w:color="0072CE" w:themeColor="accent1"/>
          <w:left w:val="nil"/>
          <w:bottom w:val="single" w:sz="18" w:space="0" w:color="0072CE" w:themeColor="accent1"/>
          <w:right w:val="nil"/>
          <w:insideH w:val="nil"/>
          <w:insideV w:val="nil"/>
          <w:tl2br w:val="nil"/>
          <w:tr2bl w:val="nil"/>
        </w:tcBorders>
        <w:shd w:val="clear" w:color="auto" w:fill="FFFFFF" w:themeFill="background1"/>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character" w:styleId="FollowedHyperlink">
    <w:name w:val="FollowedHyperlink"/>
    <w:basedOn w:val="DefaultParagraphFont"/>
    <w:uiPriority w:val="99"/>
    <w:semiHidden/>
    <w:rsid w:val="004F634E"/>
    <w:rPr>
      <w:color w:val="954F72" w:themeColor="followedHyperlink"/>
      <w:u w:val="single"/>
    </w:rPr>
  </w:style>
  <w:style w:type="character" w:styleId="Emphasis">
    <w:name w:val="Emphasis"/>
    <w:basedOn w:val="BodyTextChar"/>
    <w:qFormat/>
    <w:rsid w:val="005E4947"/>
    <w:rPr>
      <w:i w:val="0"/>
      <w:iCs/>
      <w:color w:val="0072CE" w:themeColor="accent1"/>
    </w:rPr>
  </w:style>
  <w:style w:type="paragraph" w:customStyle="1" w:styleId="HeaderFooterSensitivityLabelSpace">
    <w:name w:val="Header&amp;Footer Sensitivity Label Space"/>
    <w:next w:val="Header"/>
    <w:uiPriority w:val="99"/>
    <w:rsid w:val="00150F5A"/>
    <w:pPr>
      <w:suppressAutoHyphens/>
      <w:spacing w:before="60" w:after="60" w:line="240" w:lineRule="auto"/>
    </w:pPr>
    <w:rPr>
      <w:color w:val="C00000"/>
      <w:sz w:val="22"/>
      <w:szCs w:val="22"/>
    </w:rPr>
  </w:style>
  <w:style w:type="paragraph" w:customStyle="1" w:styleId="DPCbody">
    <w:name w:val="DPC body"/>
    <w:qFormat/>
    <w:rsid w:val="000F145F"/>
    <w:pPr>
      <w:spacing w:before="0" w:after="160" w:line="300" w:lineRule="atLeast"/>
    </w:pPr>
    <w:rPr>
      <w:rFonts w:eastAsia="Times" w:cs="Arial"/>
      <w:color w:val="000000" w:themeColor="text1"/>
      <w:sz w:val="24"/>
      <w:szCs w:val="22"/>
      <w:lang w:eastAsia="en-US"/>
    </w:rPr>
  </w:style>
  <w:style w:type="paragraph" w:customStyle="1" w:styleId="DPCnumberdigit">
    <w:name w:val="DPC number digit"/>
    <w:basedOn w:val="DPCbody"/>
    <w:uiPriority w:val="4"/>
    <w:rsid w:val="000F145F"/>
    <w:pPr>
      <w:numPr>
        <w:numId w:val="18"/>
      </w:numPr>
    </w:pPr>
  </w:style>
  <w:style w:type="paragraph" w:customStyle="1" w:styleId="DPCnumberdigitindent">
    <w:name w:val="DPC number digit indent"/>
    <w:basedOn w:val="Normal"/>
    <w:uiPriority w:val="4"/>
    <w:qFormat/>
    <w:rsid w:val="000F145F"/>
    <w:pPr>
      <w:numPr>
        <w:ilvl w:val="1"/>
        <w:numId w:val="18"/>
      </w:numPr>
      <w:spacing w:before="0" w:after="160" w:line="300" w:lineRule="atLeast"/>
    </w:pPr>
    <w:rPr>
      <w:rFonts w:eastAsia="Times" w:cs="Arial"/>
      <w:color w:val="000000" w:themeColor="text1"/>
      <w:sz w:val="22"/>
      <w:szCs w:val="22"/>
      <w:lang w:eastAsia="en-US"/>
    </w:rPr>
  </w:style>
  <w:style w:type="numbering" w:customStyle="1" w:styleId="ZZNumbersdigit">
    <w:name w:val="ZZ Numbers digit"/>
    <w:basedOn w:val="NoList"/>
    <w:uiPriority w:val="99"/>
    <w:rsid w:val="000F145F"/>
    <w:pPr>
      <w:numPr>
        <w:numId w:val="18"/>
      </w:numPr>
    </w:pPr>
  </w:style>
  <w:style w:type="paragraph" w:customStyle="1" w:styleId="DPCbulletafternumbers1">
    <w:name w:val="DPC bullet after numbers 1"/>
    <w:basedOn w:val="DPCbody"/>
    <w:rsid w:val="000F145F"/>
    <w:pPr>
      <w:numPr>
        <w:ilvl w:val="2"/>
        <w:numId w:val="18"/>
      </w:numPr>
    </w:pPr>
  </w:style>
  <w:style w:type="paragraph" w:customStyle="1" w:styleId="DPCbulletafternumbers2">
    <w:name w:val="DPC bullet after numbers 2"/>
    <w:basedOn w:val="DPCbody"/>
    <w:rsid w:val="000F145F"/>
    <w:pPr>
      <w:numPr>
        <w:ilvl w:val="3"/>
        <w:numId w:val="18"/>
      </w:numPr>
    </w:pPr>
  </w:style>
  <w:style w:type="numbering" w:customStyle="1" w:styleId="ZZBullets">
    <w:name w:val="ZZ Bullets"/>
    <w:rsid w:val="005E1F84"/>
    <w:pPr>
      <w:numPr>
        <w:numId w:val="20"/>
      </w:numPr>
    </w:pPr>
  </w:style>
  <w:style w:type="paragraph" w:customStyle="1" w:styleId="DPCbullet1">
    <w:name w:val="DPC bullet 1"/>
    <w:basedOn w:val="DPCbody"/>
    <w:qFormat/>
    <w:rsid w:val="005E1F84"/>
    <w:pPr>
      <w:numPr>
        <w:numId w:val="20"/>
      </w:numPr>
      <w:spacing w:after="60"/>
    </w:pPr>
  </w:style>
  <w:style w:type="paragraph" w:customStyle="1" w:styleId="DPCbullet2">
    <w:name w:val="DPC bullet 2"/>
    <w:basedOn w:val="DPCbody"/>
    <w:uiPriority w:val="2"/>
    <w:qFormat/>
    <w:rsid w:val="005E1F84"/>
    <w:pPr>
      <w:numPr>
        <w:ilvl w:val="1"/>
        <w:numId w:val="20"/>
      </w:numPr>
      <w:spacing w:after="60"/>
    </w:pPr>
  </w:style>
  <w:style w:type="paragraph" w:customStyle="1" w:styleId="DPCbodyaftertablefigure">
    <w:name w:val="DPC body after table/figure"/>
    <w:basedOn w:val="DPCbody"/>
    <w:uiPriority w:val="1"/>
    <w:rsid w:val="00604728"/>
    <w:pPr>
      <w:spacing w:before="240"/>
    </w:pPr>
  </w:style>
  <w:style w:type="paragraph" w:customStyle="1" w:styleId="DPCtabletext">
    <w:name w:val="DPC table text"/>
    <w:uiPriority w:val="3"/>
    <w:qFormat/>
    <w:rsid w:val="00604728"/>
    <w:pPr>
      <w:spacing w:before="60" w:after="40" w:line="240" w:lineRule="auto"/>
    </w:pPr>
    <w:rPr>
      <w:rFonts w:eastAsia="Times New Roman" w:cs="Times New Roman"/>
      <w:color w:val="000000" w:themeColor="text1"/>
      <w:sz w:val="24"/>
      <w:lang w:eastAsia="en-US"/>
    </w:rPr>
  </w:style>
  <w:style w:type="paragraph" w:customStyle="1" w:styleId="DPCtablecolhead">
    <w:name w:val="DPC table col head"/>
    <w:uiPriority w:val="3"/>
    <w:qFormat/>
    <w:rsid w:val="00604728"/>
    <w:pPr>
      <w:spacing w:before="80" w:after="60" w:line="240" w:lineRule="auto"/>
    </w:pPr>
    <w:rPr>
      <w:rFonts w:asciiTheme="majorHAnsi" w:eastAsia="Times New Roman" w:hAnsiTheme="majorHAnsi" w:cs="Times New Roman"/>
      <w:b/>
      <w:color w:val="53565A"/>
      <w:lang w:eastAsia="en-US"/>
    </w:rPr>
  </w:style>
  <w:style w:type="table" w:styleId="LightShading-Accent1">
    <w:name w:val="Light Shading Accent 1"/>
    <w:basedOn w:val="TableNormal"/>
    <w:uiPriority w:val="60"/>
    <w:rsid w:val="00604728"/>
    <w:pPr>
      <w:spacing w:before="0" w:after="0" w:line="240" w:lineRule="auto"/>
    </w:pPr>
    <w:rPr>
      <w:color w:val="00559A" w:themeColor="accent1" w:themeShade="BF"/>
      <w:sz w:val="22"/>
      <w:szCs w:val="22"/>
      <w:lang w:val="en-US" w:eastAsia="ja-JP"/>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color w:val="00559A" w:themeColor="accent1" w:themeShade="BF"/>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color w:val="00559A" w:themeColor="accent1" w:themeShade="BF"/>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color w:val="00559A" w:themeColor="accent1" w:themeShade="BF"/>
      </w:rPr>
    </w:tblStylePr>
    <w:tblStylePr w:type="lastCol">
      <w:rPr>
        <w:b/>
        <w:bCs/>
        <w:color w:val="00559A" w:themeColor="accent1" w:themeShade="BF"/>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paragraph" w:customStyle="1" w:styleId="DPCbodyafterbullets">
    <w:name w:val="DPC body after bullets"/>
    <w:basedOn w:val="DPCbody"/>
    <w:uiPriority w:val="11"/>
    <w:rsid w:val="007E1818"/>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991">
      <w:bodyDiv w:val="1"/>
      <w:marLeft w:val="0"/>
      <w:marRight w:val="0"/>
      <w:marTop w:val="0"/>
      <w:marBottom w:val="0"/>
      <w:divBdr>
        <w:top w:val="none" w:sz="0" w:space="0" w:color="auto"/>
        <w:left w:val="none" w:sz="0" w:space="0" w:color="auto"/>
        <w:bottom w:val="none" w:sz="0" w:space="0" w:color="auto"/>
        <w:right w:val="none" w:sz="0" w:space="0" w:color="auto"/>
      </w:divBdr>
    </w:div>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37203440">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757487769">
      <w:bodyDiv w:val="1"/>
      <w:marLeft w:val="0"/>
      <w:marRight w:val="0"/>
      <w:marTop w:val="0"/>
      <w:marBottom w:val="0"/>
      <w:divBdr>
        <w:top w:val="none" w:sz="0" w:space="0" w:color="auto"/>
        <w:left w:val="none" w:sz="0" w:space="0" w:color="auto"/>
        <w:bottom w:val="none" w:sz="0" w:space="0" w:color="auto"/>
        <w:right w:val="none" w:sz="0" w:space="0" w:color="auto"/>
      </w:divBdr>
    </w:div>
    <w:div w:id="828904424">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89602197">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30013140">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595360293">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96833099">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00967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4.svg"/><Relationship Id="rId26"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hyperlink" Target="https://buyingfor.vic.gov.au/master-agency-media-services-mams-contract"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chart" Target="charts/chart2.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c.gov.au/department-premier-and-cabinet" TargetMode="External"/><Relationship Id="rId20" Type="http://schemas.openxmlformats.org/officeDocument/2006/relationships/footer" Target="footer2.xml"/><Relationship Id="rId29" Type="http://schemas.openxmlformats.org/officeDocument/2006/relationships/hyperlink" Target="https://www.vic.gov.au/ensuring-we-reach-all-Victorians-with-our-communic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contact@dpc.vic.gov.au" TargetMode="External"/><Relationship Id="rId23" Type="http://schemas.openxmlformats.org/officeDocument/2006/relationships/hyperlink" Target="https://www.vic.gov.au/advertising-plans-and-spend" TargetMode="External"/><Relationship Id="rId28" Type="http://schemas.openxmlformats.org/officeDocument/2006/relationships/chart" Target="charts/chart5.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vic.gov.au/advertising-government-commun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4.0" TargetMode="External"/><Relationship Id="rId22" Type="http://schemas.openxmlformats.org/officeDocument/2006/relationships/hyperlink" Target="https://www.vic.gov.au/victorian-government-communication-requirements" TargetMode="External"/><Relationship Id="rId27" Type="http://schemas.openxmlformats.org/officeDocument/2006/relationships/chart" Target="charts/chart4.xml"/><Relationship Id="rId30" Type="http://schemas.openxmlformats.org/officeDocument/2006/relationships/hyperlink" Target="https://www.vic.gov.au/ensuring-we-reach-all-Victorians-with-our-communications" TargetMode="External"/><Relationship Id="rId35"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300" b="1"/>
              <a:t>Total Victorian Government advertising expenditure by</a:t>
            </a:r>
            <a:r>
              <a:rPr lang="en-US" sz="1300" b="1" baseline="0"/>
              <a:t> </a:t>
            </a:r>
            <a:r>
              <a:rPr lang="en-US" sz="1300" b="1"/>
              <a:t>year</a:t>
            </a:r>
          </a:p>
        </c:rich>
      </c:tx>
      <c:layout>
        <c:manualLayout>
          <c:xMode val="edge"/>
          <c:yMode val="edge"/>
          <c:x val="0.1156437291597987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670778459922633"/>
          <c:y val="9.878975513650437E-2"/>
          <c:w val="0.85326417614581673"/>
          <c:h val="0.7788347875035182"/>
        </c:manualLayout>
      </c:layout>
      <c:barChart>
        <c:barDir val="col"/>
        <c:grouping val="clustered"/>
        <c:varyColors val="0"/>
        <c:ser>
          <c:idx val="0"/>
          <c:order val="0"/>
          <c:tx>
            <c:strRef>
              <c:f>Sheet1!$B$1</c:f>
              <c:strCache>
                <c:ptCount val="1"/>
                <c:pt idx="0">
                  <c:v>Expenditure </c:v>
                </c:pt>
              </c:strCache>
            </c:strRef>
          </c:tx>
          <c:spPr>
            <a:solidFill>
              <a:schemeClr val="accent1"/>
            </a:solidFill>
            <a:ln>
              <a:noFill/>
            </a:ln>
            <a:effectLst/>
          </c:spPr>
          <c:invertIfNegative val="0"/>
          <c:dLbls>
            <c:dLbl>
              <c:idx val="3"/>
              <c:layout>
                <c:manualLayout>
                  <c:x val="2.002803925495694E-3"/>
                  <c:y val="-1.40726146918097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8F-4638-A8C1-1557C9A46D4B}"/>
                </c:ext>
              </c:extLst>
            </c:dLbl>
            <c:dLbl>
              <c:idx val="4"/>
              <c:layout>
                <c:manualLayout>
                  <c:x val="0"/>
                  <c:y val="-3.09597523219814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CA-449E-B33A-423F11808302}"/>
                </c:ext>
              </c:extLst>
            </c:dLbl>
            <c:dLbl>
              <c:idx val="5"/>
              <c:layout>
                <c:manualLayout>
                  <c:x val="0"/>
                  <c:y val="-2.81452293836194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CA-449E-B33A-423F11808302}"/>
                </c:ext>
              </c:extLst>
            </c:dLbl>
            <c:dLbl>
              <c:idx val="6"/>
              <c:layout>
                <c:manualLayout>
                  <c:x val="0"/>
                  <c:y val="-1.40726146918097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CA-449E-B33A-423F118083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2013-14</c:v>
                </c:pt>
                <c:pt idx="1">
                  <c:v>2014-15</c:v>
                </c:pt>
                <c:pt idx="2">
                  <c:v>2015-16</c:v>
                </c:pt>
                <c:pt idx="3">
                  <c:v>2016-17</c:v>
                </c:pt>
                <c:pt idx="4">
                  <c:v>2017-18</c:v>
                </c:pt>
                <c:pt idx="5">
                  <c:v>2018-19</c:v>
                </c:pt>
                <c:pt idx="6">
                  <c:v>2019-20</c:v>
                </c:pt>
                <c:pt idx="7">
                  <c:v>2020-21</c:v>
                </c:pt>
                <c:pt idx="8">
                  <c:v>2021-22</c:v>
                </c:pt>
                <c:pt idx="9">
                  <c:v>2022-23</c:v>
                </c:pt>
                <c:pt idx="10">
                  <c:v>2023-24</c:v>
                </c:pt>
              </c:strCache>
            </c:strRef>
          </c:cat>
          <c:val>
            <c:numRef>
              <c:f>Sheet1!$B$2:$B$12</c:f>
              <c:numCache>
                <c:formatCode>"$"#,##0.0</c:formatCode>
                <c:ptCount val="11"/>
                <c:pt idx="0">
                  <c:v>96.1</c:v>
                </c:pt>
                <c:pt idx="1">
                  <c:v>94.9</c:v>
                </c:pt>
                <c:pt idx="2">
                  <c:v>74.599999999999994</c:v>
                </c:pt>
                <c:pt idx="3">
                  <c:v>82.4</c:v>
                </c:pt>
                <c:pt idx="4">
                  <c:v>105.7</c:v>
                </c:pt>
                <c:pt idx="5">
                  <c:v>102.8</c:v>
                </c:pt>
                <c:pt idx="6">
                  <c:v>84.6</c:v>
                </c:pt>
                <c:pt idx="7">
                  <c:v>147.30000000000001</c:v>
                </c:pt>
                <c:pt idx="8">
                  <c:v>150.6</c:v>
                </c:pt>
                <c:pt idx="9">
                  <c:v>140.1</c:v>
                </c:pt>
                <c:pt idx="10">
                  <c:v>103.2</c:v>
                </c:pt>
              </c:numCache>
            </c:numRef>
          </c:val>
          <c:extLst>
            <c:ext xmlns:c16="http://schemas.microsoft.com/office/drawing/2014/chart" uri="{C3380CC4-5D6E-409C-BE32-E72D297353CC}">
              <c16:uniqueId val="{00000005-A3CA-449E-B33A-423F11808302}"/>
            </c:ext>
          </c:extLst>
        </c:ser>
        <c:dLbls>
          <c:dLblPos val="outEnd"/>
          <c:showLegendKey val="0"/>
          <c:showVal val="1"/>
          <c:showCatName val="0"/>
          <c:showSerName val="0"/>
          <c:showPercent val="0"/>
          <c:showBubbleSize val="0"/>
        </c:dLbls>
        <c:gapWidth val="150"/>
        <c:overlap val="-27"/>
        <c:axId val="461971856"/>
        <c:axId val="461980712"/>
      </c:barChart>
      <c:catAx>
        <c:axId val="4619718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AU"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mn-lt"/>
                <a:ea typeface="+mn-ea"/>
                <a:cs typeface="+mn-cs"/>
              </a:defRPr>
            </a:pPr>
            <a:endParaRPr lang="en-US"/>
          </a:p>
        </c:txPr>
        <c:crossAx val="461980712"/>
        <c:crosses val="autoZero"/>
        <c:auto val="0"/>
        <c:lblAlgn val="ctr"/>
        <c:lblOffset val="100"/>
        <c:noMultiLvlLbl val="0"/>
      </c:catAx>
      <c:valAx>
        <c:axId val="46198071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1"/>
                  <a:t>Millions</a:t>
                </a:r>
                <a:r>
                  <a:rPr lang="en-AU"/>
                  <a:t> </a:t>
                </a:r>
              </a:p>
            </c:rich>
          </c:tx>
          <c:layout>
            <c:manualLayout>
              <c:xMode val="edge"/>
              <c:yMode val="edge"/>
              <c:x val="1.0014019627478469E-2"/>
              <c:y val="0.394407875424757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971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500" b="0" i="0" u="none" strike="noStrike" kern="1200" spc="0" baseline="0">
                <a:solidFill>
                  <a:schemeClr val="tx1">
                    <a:lumMod val="65000"/>
                    <a:lumOff val="35000"/>
                  </a:schemeClr>
                </a:solidFill>
                <a:latin typeface="+mn-lt"/>
                <a:ea typeface="+mn-ea"/>
                <a:cs typeface="+mn-cs"/>
              </a:defRPr>
            </a:pPr>
            <a:r>
              <a:rPr lang="en-US" sz="1300" b="1"/>
              <a:t>Victorian Government advertising expenditure by category </a:t>
            </a:r>
            <a:r>
              <a:rPr lang="en-US" sz="1300" b="1" i="0" u="none" strike="noStrike" kern="1200" spc="0" baseline="0">
                <a:solidFill>
                  <a:sysClr val="windowText" lastClr="000000">
                    <a:lumMod val="65000"/>
                    <a:lumOff val="35000"/>
                  </a:sysClr>
                </a:solidFill>
                <a:latin typeface="+mn-lt"/>
                <a:ea typeface="+mn-ea"/>
                <a:cs typeface="+mn-cs"/>
              </a:rPr>
              <a:t>2023-24</a:t>
            </a:r>
            <a:endParaRPr lang="en-US" sz="1300" b="1"/>
          </a:p>
        </c:rich>
      </c:tx>
      <c:layout>
        <c:manualLayout>
          <c:xMode val="edge"/>
          <c:yMode val="edge"/>
          <c:x val="0.12602794015654414"/>
          <c:y val="0"/>
        </c:manualLayout>
      </c:layout>
      <c:overlay val="0"/>
      <c:spPr>
        <a:noFill/>
        <a:ln>
          <a:noFill/>
        </a:ln>
        <a:effectLst/>
      </c:spPr>
    </c:title>
    <c:autoTitleDeleted val="0"/>
    <c:plotArea>
      <c:layout>
        <c:manualLayout>
          <c:layoutTarget val="inner"/>
          <c:xMode val="edge"/>
          <c:yMode val="edge"/>
          <c:x val="0.1127760644900067"/>
          <c:y val="0.15923485441512794"/>
          <c:w val="0.77444771499074361"/>
          <c:h val="0.76184218200795073"/>
        </c:manualLayout>
      </c:layout>
      <c:pieChart>
        <c:varyColors val="1"/>
        <c:ser>
          <c:idx val="0"/>
          <c:order val="0"/>
          <c:tx>
            <c:strRef>
              <c:f>Sheet1!$B$1</c:f>
              <c:strCache>
                <c:ptCount val="1"/>
                <c:pt idx="0">
                  <c:v>Advertising expenditure 2023-24($m)</c:v>
                </c:pt>
              </c:strCache>
            </c:strRef>
          </c:tx>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E706-4335-981F-449A28289676}"/>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E706-4335-981F-449A28289676}"/>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E706-4335-981F-449A28289676}"/>
              </c:ext>
            </c:extLst>
          </c:dPt>
          <c:dLbls>
            <c:dLbl>
              <c:idx val="0"/>
              <c:layout>
                <c:manualLayout>
                  <c:x val="-2.1026578801399104E-2"/>
                  <c:y val="0.1591175883716289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CAB3D9B4-CEE8-4B25-B78C-362550A6AC98}" type="CELLRANGE">
                      <a:rPr lang="en-US" sz="1200" b="1"/>
                      <a:pPr>
                        <a:defRPr sz="900" b="0" i="0" u="none" strike="noStrike" kern="1200" baseline="0">
                          <a:solidFill>
                            <a:schemeClr val="tx1">
                              <a:lumMod val="75000"/>
                              <a:lumOff val="25000"/>
                            </a:schemeClr>
                          </a:solidFill>
                          <a:latin typeface="+mn-lt"/>
                          <a:ea typeface="+mn-ea"/>
                          <a:cs typeface="+mn-cs"/>
                        </a:defRPr>
                      </a:pPr>
                      <a:t>[CELLRANGE]</a:t>
                    </a:fld>
                    <a:r>
                      <a:rPr lang="en-US" sz="1200" b="1"/>
                      <a:t>: </a:t>
                    </a:r>
                    <a:fld id="{6E5E751E-9175-43FF-A39F-657DDA889871}" type="VALUE">
                      <a:rPr lang="en-US" sz="1200"/>
                      <a:pPr>
                        <a:defRPr sz="900" b="0" i="0" u="none" strike="noStrike" kern="1200" baseline="0">
                          <a:solidFill>
                            <a:schemeClr val="tx1">
                              <a:lumMod val="75000"/>
                              <a:lumOff val="25000"/>
                            </a:schemeClr>
                          </a:solidFill>
                          <a:latin typeface="+mn-lt"/>
                          <a:ea typeface="+mn-ea"/>
                          <a:cs typeface="+mn-cs"/>
                        </a:defRPr>
                      </a:pPr>
                      <a:t>[VALUE]</a:t>
                    </a:fld>
                    <a:r>
                      <a:rPr lang="en-US" sz="1200" baseline="0"/>
                      <a:t> </a:t>
                    </a:r>
                    <a:r>
                      <a:rPr lang="en-US" sz="1200" b="0" i="0" u="none" strike="noStrike" kern="1200" baseline="0">
                        <a:solidFill>
                          <a:sysClr val="windowText" lastClr="000000">
                            <a:lumMod val="75000"/>
                            <a:lumOff val="25000"/>
                          </a:sysClr>
                        </a:solidFill>
                      </a:rPr>
                      <a:t>million </a:t>
                    </a:r>
                    <a:r>
                      <a:rPr lang="en-US" sz="1200"/>
                      <a:t>(</a:t>
                    </a:r>
                    <a:fld id="{F38D1507-495F-4824-BE46-EF3CE563E7EE}" type="PERCENTAGE">
                      <a:rPr lang="en-US" sz="1200"/>
                      <a:pPr>
                        <a:defRPr sz="900" b="0" i="0" u="none" strike="noStrike" kern="1200" baseline="0">
                          <a:solidFill>
                            <a:schemeClr val="tx1">
                              <a:lumMod val="75000"/>
                              <a:lumOff val="25000"/>
                            </a:schemeClr>
                          </a:solidFill>
                          <a:latin typeface="+mn-lt"/>
                          <a:ea typeface="+mn-ea"/>
                          <a:cs typeface="+mn-cs"/>
                        </a:defRPr>
                      </a:pPr>
                      <a:t>[PERCENTAGE]</a:t>
                    </a:fld>
                    <a:r>
                      <a:rPr lang="en-US" sz="1200"/>
                      <a:t>)</a:t>
                    </a:r>
                  </a:p>
                </c:rich>
              </c:tx>
              <c:numFmt formatCode="General" sourceLinked="0"/>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32210442881204793"/>
                      <c:h val="0.10404076683397032"/>
                    </c:manualLayout>
                  </c15:layout>
                  <c15:dlblFieldTable/>
                  <c15:showDataLabelsRange val="1"/>
                </c:ext>
                <c:ext xmlns:c16="http://schemas.microsoft.com/office/drawing/2014/chart" uri="{C3380CC4-5D6E-409C-BE32-E72D297353CC}">
                  <c16:uniqueId val="{00000001-E706-4335-981F-449A28289676}"/>
                </c:ext>
              </c:extLst>
            </c:dLbl>
            <c:dLbl>
              <c:idx val="1"/>
              <c:layout>
                <c:manualLayout>
                  <c:x val="9.9078569305459233E-4"/>
                  <c:y val="-3.330708661417322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B925AB9-D241-44A4-B88A-D45C9FB5A987}" type="CELLRANGE">
                      <a:rPr lang="en-US" sz="1200" b="1"/>
                      <a:pPr>
                        <a:defRPr sz="900" b="0" i="0" u="none" strike="noStrike" kern="1200" baseline="0">
                          <a:solidFill>
                            <a:schemeClr val="tx1">
                              <a:lumMod val="75000"/>
                              <a:lumOff val="25000"/>
                            </a:schemeClr>
                          </a:solidFill>
                          <a:latin typeface="+mn-lt"/>
                          <a:ea typeface="+mn-ea"/>
                          <a:cs typeface="+mn-cs"/>
                        </a:defRPr>
                      </a:pPr>
                      <a:t>[CELLRANGE]</a:t>
                    </a:fld>
                    <a:endParaRPr lang="en-US" sz="1200" b="1"/>
                  </a:p>
                  <a:p>
                    <a:pPr>
                      <a:defRPr sz="900" b="0" i="0" u="none" strike="noStrike" kern="1200" baseline="0">
                        <a:solidFill>
                          <a:schemeClr val="tx1">
                            <a:lumMod val="75000"/>
                            <a:lumOff val="25000"/>
                          </a:schemeClr>
                        </a:solidFill>
                        <a:latin typeface="+mn-lt"/>
                        <a:ea typeface="+mn-ea"/>
                        <a:cs typeface="+mn-cs"/>
                      </a:defRPr>
                    </a:pPr>
                    <a:fld id="{1A32061F-D173-4A32-83A5-C239D5047AB0}" type="VALUE">
                      <a:rPr lang="en-US" sz="1200"/>
                      <a:pPr>
                        <a:defRPr sz="900" b="0" i="0" u="none" strike="noStrike" kern="1200" baseline="0">
                          <a:solidFill>
                            <a:schemeClr val="tx1">
                              <a:lumMod val="75000"/>
                              <a:lumOff val="25000"/>
                            </a:schemeClr>
                          </a:solidFill>
                          <a:latin typeface="+mn-lt"/>
                          <a:ea typeface="+mn-ea"/>
                          <a:cs typeface="+mn-cs"/>
                        </a:defRPr>
                      </a:pPr>
                      <a:t>[VALUE]</a:t>
                    </a:fld>
                    <a:r>
                      <a:rPr lang="en-US" sz="1200"/>
                      <a:t> </a:t>
                    </a:r>
                    <a:r>
                      <a:rPr lang="en-US" sz="1200" b="0" i="0" u="none" strike="noStrike" kern="1200" baseline="0">
                        <a:solidFill>
                          <a:sysClr val="windowText" lastClr="000000">
                            <a:lumMod val="75000"/>
                            <a:lumOff val="25000"/>
                          </a:sysClr>
                        </a:solidFill>
                      </a:rPr>
                      <a:t>million</a:t>
                    </a:r>
                    <a:endParaRPr lang="en-US" sz="1200"/>
                  </a:p>
                  <a:p>
                    <a:pPr>
                      <a:defRPr sz="900" b="0" i="0" u="none" strike="noStrike" kern="1200" baseline="0">
                        <a:solidFill>
                          <a:schemeClr val="tx1">
                            <a:lumMod val="75000"/>
                            <a:lumOff val="25000"/>
                          </a:schemeClr>
                        </a:solidFill>
                        <a:latin typeface="+mn-lt"/>
                        <a:ea typeface="+mn-ea"/>
                        <a:cs typeface="+mn-cs"/>
                      </a:defRPr>
                    </a:pPr>
                    <a:r>
                      <a:rPr lang="en-US" sz="1200"/>
                      <a:t>(</a:t>
                    </a:r>
                    <a:fld id="{E22E634F-1627-48BC-A022-E29AE6919F80}" type="PERCENTAGE">
                      <a:rPr lang="en-US" sz="1200"/>
                      <a:pPr>
                        <a:defRPr sz="900" b="0" i="0" u="none" strike="noStrike" kern="1200" baseline="0">
                          <a:solidFill>
                            <a:schemeClr val="tx1">
                              <a:lumMod val="75000"/>
                              <a:lumOff val="25000"/>
                            </a:schemeClr>
                          </a:solidFill>
                          <a:latin typeface="+mn-lt"/>
                          <a:ea typeface="+mn-ea"/>
                          <a:cs typeface="+mn-cs"/>
                        </a:defRPr>
                      </a:pPr>
                      <a:t>[PERCENTAGE]</a:t>
                    </a:fld>
                    <a:r>
                      <a:rPr lang="en-US" sz="1200"/>
                      <a:t>)</a:t>
                    </a:r>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26228078866541166"/>
                      <c:h val="0.13336264984420809"/>
                    </c:manualLayout>
                  </c15:layout>
                  <c15:dlblFieldTable/>
                  <c15:showDataLabelsRange val="1"/>
                </c:ext>
                <c:ext xmlns:c16="http://schemas.microsoft.com/office/drawing/2014/chart" uri="{C3380CC4-5D6E-409C-BE32-E72D297353CC}">
                  <c16:uniqueId val="{00000003-E706-4335-981F-449A28289676}"/>
                </c:ext>
              </c:extLst>
            </c:dLbl>
            <c:dLbl>
              <c:idx val="2"/>
              <c:layout>
                <c:manualLayout>
                  <c:x val="0.14366400350753739"/>
                  <c:y val="7.7199947841833927E-3"/>
                </c:manualLayout>
              </c:layout>
              <c:tx>
                <c:rich>
                  <a:bodyPr/>
                  <a:lstStyle/>
                  <a:p>
                    <a:fld id="{37EDFEE2-2E70-429A-B9B2-3C1C823F44A5}" type="CELLRANGE">
                      <a:rPr lang="en-US" sz="1200" b="1"/>
                      <a:pPr/>
                      <a:t>[CELLRANGE]</a:t>
                    </a:fld>
                    <a:r>
                      <a:rPr lang="en-US" sz="1200"/>
                      <a:t>: </a:t>
                    </a:r>
                    <a:fld id="{042646A4-44BF-43C4-819E-5C66767B4AAB}" type="VALUE">
                      <a:rPr lang="en-US" sz="1200"/>
                      <a:pPr/>
                      <a:t>[VALUE]</a:t>
                    </a:fld>
                    <a:r>
                      <a:rPr lang="en-US" sz="1200"/>
                      <a:t> million</a:t>
                    </a:r>
                  </a:p>
                  <a:p>
                    <a:r>
                      <a:rPr lang="en-US" sz="1200"/>
                      <a:t>(</a:t>
                    </a:r>
                    <a:fld id="{F8F94D10-287A-4E44-ADFD-66A214FE0C41}" type="PERCENTAGE">
                      <a:rPr lang="en-US" sz="1200"/>
                      <a:pPr/>
                      <a:t>[PERCENTAGE]</a:t>
                    </a:fld>
                    <a:r>
                      <a:rPr lang="en-US" sz="1200"/>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35373030813435052"/>
                      <c:h val="9.0039753802704486E-2"/>
                    </c:manualLayout>
                  </c15:layout>
                  <c15:dlblFieldTable/>
                  <c15:showDataLabelsRange val="1"/>
                </c:ext>
                <c:ext xmlns:c16="http://schemas.microsoft.com/office/drawing/2014/chart" uri="{C3380CC4-5D6E-409C-BE32-E72D297353CC}">
                  <c16:uniqueId val="{00000005-E706-4335-981F-449A28289676}"/>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0"/>
            <c:extLst>
              <c:ext xmlns:c15="http://schemas.microsoft.com/office/drawing/2012/chart" uri="{CE6537A1-D6FC-4f65-9D91-7224C49458BB}">
                <c15:showDataLabelsRange val="1"/>
              </c:ext>
            </c:extLst>
          </c:dLbls>
          <c:cat>
            <c:multiLvlStrRef>
              <c:f>Sheet1!$A$1:$C$4</c:f>
              <c:multiLvlStrCache>
                <c:ptCount val="4"/>
                <c:lvl>
                  <c:pt idx="0">
                    <c:v>Percentage of total</c:v>
                  </c:pt>
                  <c:pt idx="1">
                    <c:v>78.6%</c:v>
                  </c:pt>
                  <c:pt idx="2">
                    <c:v>8.2%</c:v>
                  </c:pt>
                  <c:pt idx="3">
                    <c:v>13.2%</c:v>
                  </c:pt>
                </c:lvl>
                <c:lvl>
                  <c:pt idx="0">
                    <c:v>Advertising expenditure 2023-24($m)</c:v>
                  </c:pt>
                  <c:pt idx="1">
                    <c:v>$81.16</c:v>
                  </c:pt>
                  <c:pt idx="2">
                    <c:v>$8.48</c:v>
                  </c:pt>
                  <c:pt idx="3">
                    <c:v>$13.60</c:v>
                  </c:pt>
                </c:lvl>
                <c:lvl>
                  <c:pt idx="0">
                    <c:v> </c:v>
                  </c:pt>
                  <c:pt idx="1">
                    <c:v>Campaign</c:v>
                  </c:pt>
                  <c:pt idx="2">
                    <c:v>Functional </c:v>
                  </c:pt>
                  <c:pt idx="3">
                    <c:v>Recruitment</c:v>
                  </c:pt>
                </c:lvl>
              </c:multiLvlStrCache>
            </c:multiLvlStrRef>
          </c:cat>
          <c:val>
            <c:numRef>
              <c:f>Sheet1!$B$2:$B$4</c:f>
              <c:numCache>
                <c:formatCode>"$"#,##0.00</c:formatCode>
                <c:ptCount val="3"/>
                <c:pt idx="0">
                  <c:v>81.16</c:v>
                </c:pt>
                <c:pt idx="1">
                  <c:v>8.48</c:v>
                </c:pt>
                <c:pt idx="2">
                  <c:v>13.6</c:v>
                </c:pt>
              </c:numCache>
            </c:numRef>
          </c:val>
          <c:extLst>
            <c:ext xmlns:c15="http://schemas.microsoft.com/office/drawing/2012/chart" uri="{02D57815-91ED-43cb-92C2-25804820EDAC}">
              <c15:datalabelsRange>
                <c15:f>Sheet1!$A$2:$A$4</c15:f>
                <c15:dlblRangeCache>
                  <c:ptCount val="3"/>
                  <c:pt idx="0">
                    <c:v>Campaign</c:v>
                  </c:pt>
                  <c:pt idx="1">
                    <c:v>Functional </c:v>
                  </c:pt>
                  <c:pt idx="2">
                    <c:v>Recruitment</c:v>
                  </c:pt>
                </c15:dlblRangeCache>
              </c15:datalabelsRange>
            </c:ext>
            <c:ext xmlns:c16="http://schemas.microsoft.com/office/drawing/2014/chart" uri="{C3380CC4-5D6E-409C-BE32-E72D297353CC}">
              <c16:uniqueId val="{00000006-E706-4335-981F-449A28289676}"/>
            </c:ext>
          </c:extLst>
        </c:ser>
        <c:ser>
          <c:idx val="1"/>
          <c:order val="1"/>
          <c:tx>
            <c:strRef>
              <c:f>Sheet1!$C$1</c:f>
              <c:strCache>
                <c:ptCount val="1"/>
                <c:pt idx="0">
                  <c:v>Percentage of total</c:v>
                </c:pt>
              </c:strCache>
            </c:strRef>
          </c:tx>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8-E706-4335-981F-449A28289676}"/>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A-E706-4335-981F-449A28289676}"/>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C-E706-4335-981F-449A28289676}"/>
              </c:ext>
            </c:extLst>
          </c:dPt>
          <c:cat>
            <c:multiLvlStrRef>
              <c:f>Sheet1!$A$1:$C$4</c:f>
              <c:multiLvlStrCache>
                <c:ptCount val="4"/>
                <c:lvl>
                  <c:pt idx="0">
                    <c:v>Percentage of total</c:v>
                  </c:pt>
                  <c:pt idx="1">
                    <c:v>78.6%</c:v>
                  </c:pt>
                  <c:pt idx="2">
                    <c:v>8.2%</c:v>
                  </c:pt>
                  <c:pt idx="3">
                    <c:v>13.2%</c:v>
                  </c:pt>
                </c:lvl>
                <c:lvl>
                  <c:pt idx="0">
                    <c:v>Advertising expenditure 2023-24($m)</c:v>
                  </c:pt>
                  <c:pt idx="1">
                    <c:v>$81.16</c:v>
                  </c:pt>
                  <c:pt idx="2">
                    <c:v>$8.48</c:v>
                  </c:pt>
                  <c:pt idx="3">
                    <c:v>$13.60</c:v>
                  </c:pt>
                </c:lvl>
                <c:lvl>
                  <c:pt idx="0">
                    <c:v> </c:v>
                  </c:pt>
                  <c:pt idx="1">
                    <c:v>Campaign</c:v>
                  </c:pt>
                  <c:pt idx="2">
                    <c:v>Functional </c:v>
                  </c:pt>
                  <c:pt idx="3">
                    <c:v>Recruitment</c:v>
                  </c:pt>
                </c:lvl>
              </c:multiLvlStrCache>
            </c:multiLvlStrRef>
          </c:cat>
          <c:val>
            <c:numRef>
              <c:f>Sheet1!$C$2:$C$4</c:f>
              <c:numCache>
                <c:formatCode>0.0%</c:formatCode>
                <c:ptCount val="3"/>
                <c:pt idx="0">
                  <c:v>0.78612940720650915</c:v>
                </c:pt>
                <c:pt idx="1">
                  <c:v>8.2138705927934916E-2</c:v>
                </c:pt>
                <c:pt idx="2">
                  <c:v>0.13173188686555598</c:v>
                </c:pt>
              </c:numCache>
            </c:numRef>
          </c:val>
          <c:extLst>
            <c:ext xmlns:c16="http://schemas.microsoft.com/office/drawing/2014/chart" uri="{C3380CC4-5D6E-409C-BE32-E72D297353CC}">
              <c16:uniqueId val="{0000000D-E706-4335-981F-449A2828967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500" b="0" i="0" u="none" strike="noStrike" kern="1200" spc="0" baseline="0">
                <a:solidFill>
                  <a:schemeClr val="tx1">
                    <a:lumMod val="65000"/>
                    <a:lumOff val="35000"/>
                  </a:schemeClr>
                </a:solidFill>
                <a:latin typeface="+mn-lt"/>
                <a:ea typeface="+mn-ea"/>
                <a:cs typeface="+mn-cs"/>
              </a:defRPr>
            </a:pPr>
            <a:r>
              <a:rPr lang="en-US" sz="1300" b="1"/>
              <a:t>Victorian Government advertising expenditure by departments and agencies </a:t>
            </a:r>
            <a:r>
              <a:rPr lang="en-US" sz="1300" b="1" i="0" u="none" strike="noStrike" kern="1200" spc="0" baseline="0">
                <a:solidFill>
                  <a:sysClr val="windowText" lastClr="000000">
                    <a:lumMod val="65000"/>
                    <a:lumOff val="35000"/>
                  </a:sysClr>
                </a:solidFill>
                <a:latin typeface="+mn-lt"/>
                <a:ea typeface="+mn-ea"/>
                <a:cs typeface="+mn-cs"/>
              </a:rPr>
              <a:t>2023-24</a:t>
            </a:r>
            <a:endParaRPr lang="en-US" sz="1300" b="1"/>
          </a:p>
        </c:rich>
      </c:tx>
      <c:layout>
        <c:manualLayout>
          <c:xMode val="edge"/>
          <c:yMode val="edge"/>
          <c:x val="0.12602794015654414"/>
          <c:y val="0"/>
        </c:manualLayout>
      </c:layout>
      <c:overlay val="0"/>
      <c:spPr>
        <a:noFill/>
        <a:ln>
          <a:noFill/>
        </a:ln>
        <a:effectLst/>
      </c:spPr>
    </c:title>
    <c:autoTitleDeleted val="0"/>
    <c:plotArea>
      <c:layout>
        <c:manualLayout>
          <c:layoutTarget val="inner"/>
          <c:xMode val="edge"/>
          <c:yMode val="edge"/>
          <c:x val="0.1127760644900067"/>
          <c:y val="0.15923485441512794"/>
          <c:w val="0.77444771499074361"/>
          <c:h val="0.76184218200795073"/>
        </c:manualLayout>
      </c:layout>
      <c:pieChart>
        <c:varyColors val="1"/>
        <c:ser>
          <c:idx val="0"/>
          <c:order val="0"/>
          <c:tx>
            <c:strRef>
              <c:f>Sheet1!$B$1</c:f>
              <c:strCache>
                <c:ptCount val="1"/>
                <c:pt idx="0">
                  <c:v>Advertising expenditure 2023-24 ($m)</c:v>
                </c:pt>
              </c:strCache>
            </c:strRef>
          </c:tx>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DED7-43EA-81BB-71ABEF9EB736}"/>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DED7-43EA-81BB-71ABEF9EB736}"/>
              </c:ext>
            </c:extLst>
          </c:dPt>
          <c:dLbls>
            <c:dLbl>
              <c:idx val="0"/>
              <c:layout>
                <c:manualLayout>
                  <c:x val="-7.8014621645675152E-8"/>
                  <c:y val="5.550160396617089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CAB3D9B4-CEE8-4B25-B78C-362550A6AC98}" type="CELLRANGE">
                      <a:rPr lang="en-US" sz="1200" b="1"/>
                      <a:pPr>
                        <a:defRPr sz="900" b="0" i="0" u="none" strike="noStrike" kern="1200" baseline="0">
                          <a:solidFill>
                            <a:schemeClr val="tx1">
                              <a:lumMod val="75000"/>
                              <a:lumOff val="25000"/>
                            </a:schemeClr>
                          </a:solidFill>
                          <a:latin typeface="+mn-lt"/>
                          <a:ea typeface="+mn-ea"/>
                          <a:cs typeface="+mn-cs"/>
                        </a:defRPr>
                      </a:pPr>
                      <a:t>[CELLRANGE]</a:t>
                    </a:fld>
                    <a:endParaRPr lang="en-US" sz="1200" b="1"/>
                  </a:p>
                  <a:p>
                    <a:pPr>
                      <a:defRPr sz="900" b="0" i="0" u="none" strike="noStrike" kern="1200" baseline="0">
                        <a:solidFill>
                          <a:schemeClr val="tx1">
                            <a:lumMod val="75000"/>
                            <a:lumOff val="25000"/>
                          </a:schemeClr>
                        </a:solidFill>
                        <a:latin typeface="+mn-lt"/>
                        <a:ea typeface="+mn-ea"/>
                        <a:cs typeface="+mn-cs"/>
                      </a:defRPr>
                    </a:pPr>
                    <a:fld id="{6E5E751E-9175-43FF-A39F-657DDA889871}" type="VALUE">
                      <a:rPr lang="en-US" sz="1200"/>
                      <a:pPr>
                        <a:defRPr sz="900" b="0" i="0" u="none" strike="noStrike" kern="1200" baseline="0">
                          <a:solidFill>
                            <a:schemeClr val="tx1">
                              <a:lumMod val="75000"/>
                              <a:lumOff val="25000"/>
                            </a:schemeClr>
                          </a:solidFill>
                          <a:latin typeface="+mn-lt"/>
                          <a:ea typeface="+mn-ea"/>
                          <a:cs typeface="+mn-cs"/>
                        </a:defRPr>
                      </a:pPr>
                      <a:t>[VALUE]</a:t>
                    </a:fld>
                    <a:r>
                      <a:rPr lang="en-US" sz="1200" baseline="0"/>
                      <a:t> </a:t>
                    </a:r>
                    <a:r>
                      <a:rPr lang="en-US" sz="1200" b="0" i="0" u="none" strike="noStrike" kern="1200" baseline="0">
                        <a:solidFill>
                          <a:sysClr val="windowText" lastClr="000000">
                            <a:lumMod val="75000"/>
                            <a:lumOff val="25000"/>
                          </a:sysClr>
                        </a:solidFill>
                      </a:rPr>
                      <a:t>million </a:t>
                    </a:r>
                    <a:r>
                      <a:rPr lang="en-US" sz="1200"/>
                      <a:t>(</a:t>
                    </a:r>
                    <a:fld id="{F38D1507-495F-4824-BE46-EF3CE563E7EE}" type="PERCENTAGE">
                      <a:rPr lang="en-US" sz="1200"/>
                      <a:pPr>
                        <a:defRPr sz="900" b="0" i="0" u="none" strike="noStrike" kern="1200" baseline="0">
                          <a:solidFill>
                            <a:schemeClr val="tx1">
                              <a:lumMod val="75000"/>
                              <a:lumOff val="25000"/>
                            </a:schemeClr>
                          </a:solidFill>
                          <a:latin typeface="+mn-lt"/>
                          <a:ea typeface="+mn-ea"/>
                          <a:cs typeface="+mn-cs"/>
                        </a:defRPr>
                      </a:pPr>
                      <a:t>[PERCENTAGE]</a:t>
                    </a:fld>
                    <a:r>
                      <a:rPr lang="en-US" sz="1200"/>
                      <a:t>)</a:t>
                    </a:r>
                  </a:p>
                </c:rich>
              </c:tx>
              <c:numFmt formatCode="General" sourceLinked="0"/>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32210442881204793"/>
                      <c:h val="0.16641893447529582"/>
                    </c:manualLayout>
                  </c15:layout>
                  <c15:dlblFieldTable/>
                  <c15:showDataLabelsRange val="1"/>
                </c:ext>
                <c:ext xmlns:c16="http://schemas.microsoft.com/office/drawing/2014/chart" uri="{C3380CC4-5D6E-409C-BE32-E72D297353CC}">
                  <c16:uniqueId val="{00000001-DED7-43EA-81BB-71ABEF9EB736}"/>
                </c:ext>
              </c:extLst>
            </c:dLbl>
            <c:dLbl>
              <c:idx val="1"/>
              <c:layout>
                <c:manualLayout>
                  <c:x val="1.6843356781928068E-2"/>
                  <c:y val="-1.407959969916039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B925AB9-D241-44A4-B88A-D45C9FB5A987}" type="CELLRANGE">
                      <a:rPr lang="en-US" sz="1200" b="1"/>
                      <a:pPr>
                        <a:defRPr sz="900" b="0" i="0" u="none" strike="noStrike" kern="1200" baseline="0">
                          <a:solidFill>
                            <a:schemeClr val="tx1">
                              <a:lumMod val="75000"/>
                              <a:lumOff val="25000"/>
                            </a:schemeClr>
                          </a:solidFill>
                          <a:latin typeface="+mn-lt"/>
                          <a:ea typeface="+mn-ea"/>
                          <a:cs typeface="+mn-cs"/>
                        </a:defRPr>
                      </a:pPr>
                      <a:t>[CELLRANGE]</a:t>
                    </a:fld>
                    <a:endParaRPr lang="en-US" sz="1200" b="1"/>
                  </a:p>
                  <a:p>
                    <a:pPr>
                      <a:defRPr sz="900" b="0" i="0" u="none" strike="noStrike" kern="1200" baseline="0">
                        <a:solidFill>
                          <a:schemeClr val="tx1">
                            <a:lumMod val="75000"/>
                            <a:lumOff val="25000"/>
                          </a:schemeClr>
                        </a:solidFill>
                        <a:latin typeface="+mn-lt"/>
                        <a:ea typeface="+mn-ea"/>
                        <a:cs typeface="+mn-cs"/>
                      </a:defRPr>
                    </a:pPr>
                    <a:fld id="{1A32061F-D173-4A32-83A5-C239D5047AB0}" type="VALUE">
                      <a:rPr lang="en-US" sz="1200"/>
                      <a:pPr>
                        <a:defRPr sz="900" b="0" i="0" u="none" strike="noStrike" kern="1200" baseline="0">
                          <a:solidFill>
                            <a:schemeClr val="tx1">
                              <a:lumMod val="75000"/>
                              <a:lumOff val="25000"/>
                            </a:schemeClr>
                          </a:solidFill>
                          <a:latin typeface="+mn-lt"/>
                          <a:ea typeface="+mn-ea"/>
                          <a:cs typeface="+mn-cs"/>
                        </a:defRPr>
                      </a:pPr>
                      <a:t>[VALUE]</a:t>
                    </a:fld>
                    <a:r>
                      <a:rPr lang="en-US" sz="1200"/>
                      <a:t> </a:t>
                    </a:r>
                    <a:r>
                      <a:rPr lang="en-US" sz="1200" b="0" i="0" u="none" strike="noStrike" kern="1200" baseline="0">
                        <a:solidFill>
                          <a:sysClr val="windowText" lastClr="000000">
                            <a:lumMod val="75000"/>
                            <a:lumOff val="25000"/>
                          </a:sysClr>
                        </a:solidFill>
                      </a:rPr>
                      <a:t>million</a:t>
                    </a:r>
                    <a:endParaRPr lang="en-US" sz="1200"/>
                  </a:p>
                  <a:p>
                    <a:pPr>
                      <a:defRPr sz="900" b="0" i="0" u="none" strike="noStrike" kern="1200" baseline="0">
                        <a:solidFill>
                          <a:schemeClr val="tx1">
                            <a:lumMod val="75000"/>
                            <a:lumOff val="25000"/>
                          </a:schemeClr>
                        </a:solidFill>
                        <a:latin typeface="+mn-lt"/>
                        <a:ea typeface="+mn-ea"/>
                        <a:cs typeface="+mn-cs"/>
                      </a:defRPr>
                    </a:pPr>
                    <a:r>
                      <a:rPr lang="en-US" sz="1200"/>
                      <a:t>(</a:t>
                    </a:r>
                    <a:fld id="{E22E634F-1627-48BC-A022-E29AE6919F80}" type="PERCENTAGE">
                      <a:rPr lang="en-US" sz="1200"/>
                      <a:pPr>
                        <a:defRPr sz="900" b="0" i="0" u="none" strike="noStrike" kern="1200" baseline="0">
                          <a:solidFill>
                            <a:schemeClr val="tx1">
                              <a:lumMod val="75000"/>
                              <a:lumOff val="25000"/>
                            </a:schemeClr>
                          </a:solidFill>
                          <a:latin typeface="+mn-lt"/>
                          <a:ea typeface="+mn-ea"/>
                          <a:cs typeface="+mn-cs"/>
                        </a:defRPr>
                      </a:pPr>
                      <a:t>[PERCENTAGE]</a:t>
                    </a:fld>
                    <a:r>
                      <a:rPr lang="en-US" sz="1200"/>
                      <a:t>)</a:t>
                    </a:r>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layout>
                    <c:manualLayout>
                      <c:w val="0.26228078866541166"/>
                      <c:h val="0.18599422879157648"/>
                    </c:manualLayout>
                  </c15:layout>
                  <c15:dlblFieldTable/>
                  <c15:showDataLabelsRange val="1"/>
                </c:ext>
                <c:ext xmlns:c16="http://schemas.microsoft.com/office/drawing/2014/chart" uri="{C3380CC4-5D6E-409C-BE32-E72D297353CC}">
                  <c16:uniqueId val="{00000003-DED7-43EA-81BB-71ABEF9EB736}"/>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0"/>
            <c:extLst>
              <c:ext xmlns:c15="http://schemas.microsoft.com/office/drawing/2012/chart" uri="{CE6537A1-D6FC-4f65-9D91-7224C49458BB}">
                <c15:showDataLabelsRange val="1"/>
              </c:ext>
            </c:extLst>
          </c:dLbls>
          <c:cat>
            <c:multiLvlStrRef>
              <c:f>Sheet1!$A$1:$C$3</c:f>
              <c:multiLvlStrCache>
                <c:ptCount val="3"/>
                <c:lvl>
                  <c:pt idx="0">
                    <c:v>Percentage of total</c:v>
                  </c:pt>
                  <c:pt idx="1">
                    <c:v>69.6%</c:v>
                  </c:pt>
                  <c:pt idx="2">
                    <c:v>30.4%</c:v>
                  </c:pt>
                </c:lvl>
                <c:lvl>
                  <c:pt idx="0">
                    <c:v>Advertising expenditure 2023-24 ($m)</c:v>
                  </c:pt>
                  <c:pt idx="1">
                    <c:v>$71.85</c:v>
                  </c:pt>
                  <c:pt idx="2">
                    <c:v>$31.39</c:v>
                  </c:pt>
                </c:lvl>
                <c:lvl>
                  <c:pt idx="0">
                    <c:v> </c:v>
                  </c:pt>
                  <c:pt idx="1">
                    <c:v>Agencies - total advertising </c:v>
                  </c:pt>
                  <c:pt idx="2">
                    <c:v>Departments - total advertising</c:v>
                  </c:pt>
                </c:lvl>
              </c:multiLvlStrCache>
            </c:multiLvlStrRef>
          </c:cat>
          <c:val>
            <c:numRef>
              <c:f>Sheet1!$B$2:$B$3</c:f>
              <c:numCache>
                <c:formatCode>"$"#,##0.00</c:formatCode>
                <c:ptCount val="2"/>
                <c:pt idx="0">
                  <c:v>71.849999999999994</c:v>
                </c:pt>
                <c:pt idx="1">
                  <c:v>31.39</c:v>
                </c:pt>
              </c:numCache>
            </c:numRef>
          </c:val>
          <c:extLst>
            <c:ext xmlns:c15="http://schemas.microsoft.com/office/drawing/2012/chart" uri="{02D57815-91ED-43cb-92C2-25804820EDAC}">
              <c15:datalabelsRange>
                <c15:f>Sheet1!$A$2:$A$3</c15:f>
                <c15:dlblRangeCache>
                  <c:ptCount val="2"/>
                  <c:pt idx="0">
                    <c:v>Agencies - total advertising </c:v>
                  </c:pt>
                  <c:pt idx="1">
                    <c:v>Departments - total advertising</c:v>
                  </c:pt>
                </c15:dlblRangeCache>
              </c15:datalabelsRange>
            </c:ext>
            <c:ext xmlns:c16="http://schemas.microsoft.com/office/drawing/2014/chart" uri="{C3380CC4-5D6E-409C-BE32-E72D297353CC}">
              <c16:uniqueId val="{00000006-DED7-43EA-81BB-71ABEF9EB736}"/>
            </c:ext>
          </c:extLst>
        </c:ser>
        <c:ser>
          <c:idx val="1"/>
          <c:order val="1"/>
          <c:tx>
            <c:strRef>
              <c:f>Sheet1!$C$1</c:f>
              <c:strCache>
                <c:ptCount val="1"/>
                <c:pt idx="0">
                  <c:v>Percentage of total</c:v>
                </c:pt>
              </c:strCache>
            </c:strRef>
          </c:tx>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8-DED7-43EA-81BB-71ABEF9EB736}"/>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A-DED7-43EA-81BB-71ABEF9EB736}"/>
              </c:ext>
            </c:extLst>
          </c:dPt>
          <c:cat>
            <c:multiLvlStrRef>
              <c:f>Sheet1!$A$1:$C$3</c:f>
              <c:multiLvlStrCache>
                <c:ptCount val="3"/>
                <c:lvl>
                  <c:pt idx="0">
                    <c:v>Percentage of total</c:v>
                  </c:pt>
                  <c:pt idx="1">
                    <c:v>69.6%</c:v>
                  </c:pt>
                  <c:pt idx="2">
                    <c:v>30.4%</c:v>
                  </c:pt>
                </c:lvl>
                <c:lvl>
                  <c:pt idx="0">
                    <c:v>Advertising expenditure 2023-24 ($m)</c:v>
                  </c:pt>
                  <c:pt idx="1">
                    <c:v>$71.85</c:v>
                  </c:pt>
                  <c:pt idx="2">
                    <c:v>$31.39</c:v>
                  </c:pt>
                </c:lvl>
                <c:lvl>
                  <c:pt idx="0">
                    <c:v> </c:v>
                  </c:pt>
                  <c:pt idx="1">
                    <c:v>Agencies - total advertising </c:v>
                  </c:pt>
                  <c:pt idx="2">
                    <c:v>Departments - total advertising</c:v>
                  </c:pt>
                </c:lvl>
              </c:multiLvlStrCache>
            </c:multiLvlStrRef>
          </c:cat>
          <c:val>
            <c:numRef>
              <c:f>Sheet1!$C$2:$C$3</c:f>
              <c:numCache>
                <c:formatCode>0.0%</c:formatCode>
                <c:ptCount val="2"/>
                <c:pt idx="0">
                  <c:v>0.69595118171251447</c:v>
                </c:pt>
                <c:pt idx="1">
                  <c:v>0.30404881828748548</c:v>
                </c:pt>
              </c:numCache>
            </c:numRef>
          </c:val>
          <c:extLst>
            <c:ext xmlns:c16="http://schemas.microsoft.com/office/drawing/2014/chart" uri="{C3380CC4-5D6E-409C-BE32-E72D297353CC}">
              <c16:uniqueId val="{0000000D-DED7-43EA-81BB-71ABEF9EB73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500" b="1"/>
              <a:t>Victorian Government advertising expenditure by channel</a:t>
            </a:r>
            <a:r>
              <a:rPr lang="en-US" sz="1500" b="1" baseline="0"/>
              <a:t> </a:t>
            </a:r>
            <a:r>
              <a:rPr lang="en-US" sz="1500" b="1" i="0" u="none" strike="noStrike" kern="1200" spc="0" baseline="0">
                <a:solidFill>
                  <a:sysClr val="windowText" lastClr="000000">
                    <a:lumMod val="65000"/>
                    <a:lumOff val="35000"/>
                  </a:sysClr>
                </a:solidFill>
                <a:latin typeface="+mn-lt"/>
                <a:ea typeface="+mn-ea"/>
                <a:cs typeface="+mn-cs"/>
              </a:rPr>
              <a:t>2023-24</a:t>
            </a:r>
            <a:endParaRPr lang="en-US" sz="1500" b="1"/>
          </a:p>
        </c:rich>
      </c:tx>
      <c:layout>
        <c:manualLayout>
          <c:xMode val="edge"/>
          <c:yMode val="edge"/>
          <c:x val="0.1423489751028085"/>
          <c:y val="5.1460182683648525E-3"/>
        </c:manualLayout>
      </c:layout>
      <c:overlay val="0"/>
      <c:spPr>
        <a:noFill/>
        <a:ln>
          <a:noFill/>
        </a:ln>
        <a:effectLst/>
      </c:spPr>
    </c:title>
    <c:autoTitleDeleted val="0"/>
    <c:plotArea>
      <c:layout/>
      <c:pieChart>
        <c:varyColors val="1"/>
        <c:ser>
          <c:idx val="0"/>
          <c:order val="0"/>
          <c:tx>
            <c:strRef>
              <c:f>Sheet1!$B$1</c:f>
              <c:strCache>
                <c:ptCount val="1"/>
                <c:pt idx="0">
                  <c:v>Advertising expenditure 2023-24</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1-F7FD-4776-B494-0E918320B747}"/>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3-F7FD-4776-B494-0E918320B747}"/>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5-F7FD-4776-B494-0E918320B747}"/>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07-F7FD-4776-B494-0E918320B747}"/>
              </c:ext>
            </c:extLst>
          </c:dPt>
          <c:dPt>
            <c:idx val="4"/>
            <c:bubble3D val="0"/>
            <c:spPr>
              <a:solidFill>
                <a:schemeClr val="accent1">
                  <a:tint val="93000"/>
                </a:schemeClr>
              </a:solidFill>
              <a:ln w="19050">
                <a:solidFill>
                  <a:schemeClr val="lt1"/>
                </a:solidFill>
              </a:ln>
              <a:effectLst/>
            </c:spPr>
            <c:extLst>
              <c:ext xmlns:c16="http://schemas.microsoft.com/office/drawing/2014/chart" uri="{C3380CC4-5D6E-409C-BE32-E72D297353CC}">
                <c16:uniqueId val="{00000009-F7FD-4776-B494-0E918320B747}"/>
              </c:ext>
            </c:extLst>
          </c:dPt>
          <c:dPt>
            <c:idx val="5"/>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B-F7FD-4776-B494-0E918320B747}"/>
              </c:ext>
            </c:extLst>
          </c:dPt>
          <c:dPt>
            <c:idx val="6"/>
            <c:bubble3D val="0"/>
            <c:spPr>
              <a:solidFill>
                <a:schemeClr val="accent1">
                  <a:tint val="62000"/>
                </a:schemeClr>
              </a:solidFill>
              <a:ln w="19050">
                <a:solidFill>
                  <a:schemeClr val="lt1"/>
                </a:solidFill>
              </a:ln>
              <a:effectLst/>
            </c:spPr>
            <c:extLst>
              <c:ext xmlns:c16="http://schemas.microsoft.com/office/drawing/2014/chart" uri="{C3380CC4-5D6E-409C-BE32-E72D297353CC}">
                <c16:uniqueId val="{0000000D-F7FD-4776-B494-0E918320B747}"/>
              </c:ext>
            </c:extLst>
          </c:dPt>
          <c:dPt>
            <c:idx val="7"/>
            <c:bubble3D val="0"/>
            <c:spPr>
              <a:solidFill>
                <a:schemeClr val="accent1">
                  <a:tint val="46000"/>
                </a:schemeClr>
              </a:solidFill>
              <a:ln w="19050">
                <a:solidFill>
                  <a:schemeClr val="lt1"/>
                </a:solidFill>
              </a:ln>
              <a:effectLst/>
            </c:spPr>
            <c:extLst>
              <c:ext xmlns:c16="http://schemas.microsoft.com/office/drawing/2014/chart" uri="{C3380CC4-5D6E-409C-BE32-E72D297353CC}">
                <c16:uniqueId val="{0000000F-F7FD-4776-B494-0E918320B747}"/>
              </c:ext>
            </c:extLst>
          </c:dPt>
          <c:dLbls>
            <c:dLbl>
              <c:idx val="0"/>
              <c:layout>
                <c:manualLayout>
                  <c:x val="0.15789473684210525"/>
                  <c:y val="9.3731693028705331E-3"/>
                </c:manualLayout>
              </c:layout>
              <c:tx>
                <c:rich>
                  <a:bodyPr rot="0" spcFirstLastPara="1" vertOverflow="ellipsis" vert="horz" wrap="square" lIns="18000" tIns="19050" rIns="18000" bIns="19050" anchor="ctr" anchorCtr="0">
                    <a:noAutofit/>
                  </a:bodyPr>
                  <a:lstStyle/>
                  <a:p>
                    <a:pPr algn="l">
                      <a:defRPr sz="1100" b="0" i="0" u="none" strike="noStrike" kern="1200" baseline="0">
                        <a:solidFill>
                          <a:sysClr val="windowText" lastClr="000000"/>
                        </a:solidFill>
                        <a:latin typeface="+mn-lt"/>
                        <a:ea typeface="+mn-ea"/>
                        <a:cs typeface="+mn-cs"/>
                      </a:defRPr>
                    </a:pPr>
                    <a:fld id="{CAB3D9B4-CEE8-4B25-B78C-362550A6AC98}" type="CELLRANGE">
                      <a:rPr lang="en-US" sz="1100" b="0">
                        <a:solidFill>
                          <a:sysClr val="windowText" lastClr="000000"/>
                        </a:solidFill>
                      </a:rPr>
                      <a:pPr algn="l">
                        <a:defRPr sz="1100" b="0" i="0" u="none" strike="noStrike" kern="1200" baseline="0">
                          <a:solidFill>
                            <a:sysClr val="windowText" lastClr="000000"/>
                          </a:solidFill>
                          <a:latin typeface="+mn-lt"/>
                          <a:ea typeface="+mn-ea"/>
                          <a:cs typeface="+mn-cs"/>
                        </a:defRPr>
                      </a:pPr>
                      <a:t>[CELLRANGE]</a:t>
                    </a:fld>
                    <a:r>
                      <a:rPr lang="en-US" sz="1100" b="0">
                        <a:solidFill>
                          <a:sysClr val="windowText" lastClr="000000"/>
                        </a:solidFill>
                      </a:rPr>
                      <a:t>,</a:t>
                    </a:r>
                    <a:r>
                      <a:rPr lang="en-US" sz="1100" b="0" baseline="0">
                        <a:solidFill>
                          <a:sysClr val="windowText" lastClr="000000"/>
                        </a:solidFill>
                      </a:rPr>
                      <a:t> </a:t>
                    </a:r>
                    <a:fld id="{F38D1507-495F-4824-BE46-EF3CE563E7EE}" type="PERCENTAGE">
                      <a:rPr lang="en-US" sz="1100" b="0">
                        <a:solidFill>
                          <a:sysClr val="windowText" lastClr="000000"/>
                        </a:solidFill>
                      </a:rPr>
                      <a:pPr algn="l">
                        <a:defRPr sz="1100" b="0" i="0" u="none" strike="noStrike" kern="1200" baseline="0">
                          <a:solidFill>
                            <a:sysClr val="windowText" lastClr="000000"/>
                          </a:solidFill>
                          <a:latin typeface="+mn-lt"/>
                          <a:ea typeface="+mn-ea"/>
                          <a:cs typeface="+mn-cs"/>
                        </a:defRPr>
                      </a:pPr>
                      <a:t>[PERCENTAGE]</a:t>
                    </a:fld>
                    <a:endParaRPr lang="en-US" sz="1100" b="0" baseline="0">
                      <a:solidFill>
                        <a:sysClr val="windowText" lastClr="000000"/>
                      </a:solidFill>
                    </a:endParaRPr>
                  </a:p>
                </c:rich>
              </c:tx>
              <c:numFmt formatCode="0.0%" sourceLinked="0"/>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0.2054437501992413"/>
                      <c:h val="6.2720237932435197E-2"/>
                    </c:manualLayout>
                  </c15:layout>
                  <c15:dlblFieldTable/>
                  <c15:showDataLabelsRange val="1"/>
                </c:ext>
                <c:ext xmlns:c16="http://schemas.microsoft.com/office/drawing/2014/chart" uri="{C3380CC4-5D6E-409C-BE32-E72D297353CC}">
                  <c16:uniqueId val="{00000001-F7FD-4776-B494-0E918320B747}"/>
                </c:ext>
              </c:extLst>
            </c:dLbl>
            <c:dLbl>
              <c:idx val="1"/>
              <c:tx>
                <c:rich>
                  <a:bodyPr rot="0" spcFirstLastPara="1" vertOverflow="ellipsis" vert="horz" wrap="square" lIns="18000" tIns="19050" rIns="18000" bIns="19050" anchor="ctr" anchorCtr="0">
                    <a:noAutofit/>
                  </a:bodyPr>
                  <a:lstStyle/>
                  <a:p>
                    <a:pPr algn="l">
                      <a:defRPr sz="1100" b="0" i="0" u="none" strike="noStrike" kern="1200" baseline="0">
                        <a:solidFill>
                          <a:sysClr val="windowText" lastClr="000000"/>
                        </a:solidFill>
                        <a:latin typeface="+mn-lt"/>
                        <a:ea typeface="+mn-ea"/>
                        <a:cs typeface="+mn-cs"/>
                      </a:defRPr>
                    </a:pPr>
                    <a:fld id="{0B925AB9-D241-44A4-B88A-D45C9FB5A987}" type="CELLRANGE">
                      <a:rPr lang="en-US" sz="1100" b="0">
                        <a:solidFill>
                          <a:sysClr val="windowText" lastClr="000000"/>
                        </a:solidFill>
                      </a:rPr>
                      <a:pPr algn="l">
                        <a:defRPr sz="1100" b="0" i="0" u="none" strike="noStrike" kern="1200" baseline="0">
                          <a:solidFill>
                            <a:sysClr val="windowText" lastClr="000000"/>
                          </a:solidFill>
                          <a:latin typeface="+mn-lt"/>
                          <a:ea typeface="+mn-ea"/>
                          <a:cs typeface="+mn-cs"/>
                        </a:defRPr>
                      </a:pPr>
                      <a:t>[CELLRANGE]</a:t>
                    </a:fld>
                    <a:r>
                      <a:rPr lang="en-US" sz="1100" b="0">
                        <a:solidFill>
                          <a:sysClr val="windowText" lastClr="000000"/>
                        </a:solidFill>
                      </a:rPr>
                      <a:t>,</a:t>
                    </a:r>
                    <a:r>
                      <a:rPr lang="en-US" sz="1100" b="0" baseline="0">
                        <a:solidFill>
                          <a:sysClr val="windowText" lastClr="000000"/>
                        </a:solidFill>
                      </a:rPr>
                      <a:t> </a:t>
                    </a:r>
                    <a:fld id="{C08EA746-257F-4D5E-A9A9-F8B9B99E2F52}" type="PERCENTAGE">
                      <a:rPr lang="en-US" sz="1100" b="0">
                        <a:solidFill>
                          <a:sysClr val="windowText" lastClr="000000"/>
                        </a:solidFill>
                      </a:rPr>
                      <a:pPr algn="l">
                        <a:defRPr sz="1100" b="0" i="0" u="none" strike="noStrike" kern="1200" baseline="0">
                          <a:solidFill>
                            <a:sysClr val="windowText" lastClr="000000"/>
                          </a:solidFill>
                          <a:latin typeface="+mn-lt"/>
                          <a:ea typeface="+mn-ea"/>
                          <a:cs typeface="+mn-cs"/>
                        </a:defRPr>
                      </a:pPr>
                      <a:t>[PERCENTAGE]</a:t>
                    </a:fld>
                    <a:endParaRPr lang="en-US" sz="1100" b="0" baseline="0">
                      <a:solidFill>
                        <a:sysClr val="windowText" lastClr="000000"/>
                      </a:solidFill>
                    </a:endParaRPr>
                  </a:p>
                </c:rich>
              </c:tx>
              <c:numFmt formatCode="0.0%" sourceLinked="0"/>
              <c:spPr>
                <a:noFill/>
                <a:ln>
                  <a:noFill/>
                </a:ln>
                <a:effectLst/>
              </c:spPr>
              <c:dLblPos val="outEnd"/>
              <c:showLegendKey val="0"/>
              <c:showVal val="0"/>
              <c:showCatName val="0"/>
              <c:showSerName val="0"/>
              <c:showPercent val="1"/>
              <c:showBubbleSize val="0"/>
              <c:extLst>
                <c:ext xmlns:c15="http://schemas.microsoft.com/office/drawing/2012/chart" uri="{CE6537A1-D6FC-4f65-9D91-7224C49458BB}">
                  <c15:layout>
                    <c:manualLayout>
                      <c:w val="0.16513245560904077"/>
                      <c:h val="9.2363329149660972E-2"/>
                    </c:manualLayout>
                  </c15:layout>
                  <c15:dlblFieldTable/>
                  <c15:showDataLabelsRange val="0"/>
                </c:ext>
                <c:ext xmlns:c16="http://schemas.microsoft.com/office/drawing/2014/chart" uri="{C3380CC4-5D6E-409C-BE32-E72D297353CC}">
                  <c16:uniqueId val="{00000003-F7FD-4776-B494-0E918320B747}"/>
                </c:ext>
              </c:extLst>
            </c:dLbl>
            <c:dLbl>
              <c:idx val="2"/>
              <c:layout>
                <c:manualLayout>
                  <c:x val="0.36842105263157887"/>
                  <c:y val="2.3432923257176333E-3"/>
                </c:manualLayout>
              </c:layout>
              <c:tx>
                <c:rich>
                  <a:bodyPr rot="0" spcFirstLastPara="1" vertOverflow="ellipsis" vert="horz" wrap="square" lIns="18000" tIns="19050" rIns="18000" bIns="19050" anchor="ctr" anchorCtr="0">
                    <a:noAutofit/>
                  </a:bodyPr>
                  <a:lstStyle/>
                  <a:p>
                    <a:pPr algn="l">
                      <a:defRPr sz="1100" b="0" i="0" u="none" strike="noStrike" kern="1200" baseline="0">
                        <a:solidFill>
                          <a:sysClr val="windowText" lastClr="000000"/>
                        </a:solidFill>
                        <a:latin typeface="+mn-lt"/>
                        <a:ea typeface="+mn-ea"/>
                        <a:cs typeface="+mn-cs"/>
                      </a:defRPr>
                    </a:pPr>
                    <a:fld id="{37EDFEE2-2E70-429A-B9B2-3C1C823F44A5}" type="CELLRANGE">
                      <a:rPr lang="en-US" sz="1100" b="0">
                        <a:solidFill>
                          <a:sysClr val="windowText" lastClr="000000"/>
                        </a:solidFill>
                      </a:rPr>
                      <a:pPr algn="l">
                        <a:defRPr sz="1100" b="0" i="0" u="none" strike="noStrike" kern="1200" baseline="0">
                          <a:solidFill>
                            <a:sysClr val="windowText" lastClr="000000"/>
                          </a:solidFill>
                          <a:latin typeface="+mn-lt"/>
                          <a:ea typeface="+mn-ea"/>
                          <a:cs typeface="+mn-cs"/>
                        </a:defRPr>
                      </a:pPr>
                      <a:t>[CELLRANGE]</a:t>
                    </a:fld>
                    <a:r>
                      <a:rPr lang="en-US" sz="1100" b="0">
                        <a:solidFill>
                          <a:sysClr val="windowText" lastClr="000000"/>
                        </a:solidFill>
                      </a:rPr>
                      <a:t>,</a:t>
                    </a:r>
                    <a:r>
                      <a:rPr lang="en-US" sz="1100" b="0" baseline="0">
                        <a:solidFill>
                          <a:sysClr val="windowText" lastClr="000000"/>
                        </a:solidFill>
                      </a:rPr>
                      <a:t> </a:t>
                    </a:r>
                    <a:fld id="{F8F94D10-287A-4E44-ADFD-66A214FE0C41}" type="PERCENTAGE">
                      <a:rPr lang="en-US" sz="1100" b="0">
                        <a:solidFill>
                          <a:sysClr val="windowText" lastClr="000000"/>
                        </a:solidFill>
                      </a:rPr>
                      <a:pPr algn="l">
                        <a:defRPr sz="1100" b="0" i="0" u="none" strike="noStrike" kern="1200" baseline="0">
                          <a:solidFill>
                            <a:sysClr val="windowText" lastClr="000000"/>
                          </a:solidFill>
                          <a:latin typeface="+mn-lt"/>
                          <a:ea typeface="+mn-ea"/>
                          <a:cs typeface="+mn-cs"/>
                        </a:defRPr>
                      </a:pPr>
                      <a:t>[PERCENTAGE]</a:t>
                    </a:fld>
                    <a:endParaRPr lang="en-US" sz="1100" b="0" baseline="0">
                      <a:solidFill>
                        <a:sysClr val="windowText" lastClr="000000"/>
                      </a:solidFill>
                    </a:endParaRPr>
                  </a:p>
                </c:rich>
              </c:tx>
              <c:numFmt formatCode="0.0%" sourceLinked="0"/>
              <c:spPr>
                <a:noFill/>
                <a:ln>
                  <a:noFill/>
                </a:ln>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0.27097421020752976"/>
                      <c:h val="4.536558589227313E-2"/>
                    </c:manualLayout>
                  </c15:layout>
                  <c15:dlblFieldTable/>
                  <c15:showDataLabelsRange val="1"/>
                </c:ext>
                <c:ext xmlns:c16="http://schemas.microsoft.com/office/drawing/2014/chart" uri="{C3380CC4-5D6E-409C-BE32-E72D297353CC}">
                  <c16:uniqueId val="{00000005-F7FD-4776-B494-0E918320B747}"/>
                </c:ext>
              </c:extLst>
            </c:dLbl>
            <c:dLbl>
              <c:idx val="3"/>
              <c:layout>
                <c:manualLayout>
                  <c:x val="-0.15182186234817815"/>
                  <c:y val="2.3432923257176333E-3"/>
                </c:manualLayout>
              </c:layout>
              <c:tx>
                <c:rich>
                  <a:bodyPr rot="0" spcFirstLastPara="1" vertOverflow="ellipsis" vert="horz" wrap="square" lIns="18000" tIns="19050" rIns="18000" bIns="19050" anchor="ctr" anchorCtr="0">
                    <a:noAutofit/>
                  </a:bodyPr>
                  <a:lstStyle/>
                  <a:p>
                    <a:pPr algn="l">
                      <a:defRPr sz="1100" b="0" i="0" u="none" strike="noStrike" kern="1200" baseline="0">
                        <a:solidFill>
                          <a:sysClr val="windowText" lastClr="000000"/>
                        </a:solidFill>
                        <a:latin typeface="+mn-lt"/>
                        <a:ea typeface="+mn-ea"/>
                        <a:cs typeface="+mn-cs"/>
                      </a:defRPr>
                    </a:pPr>
                    <a:fld id="{D23B309B-9907-4F20-BC57-6A1B58995A74}" type="CELLRANGE">
                      <a:rPr lang="en-US" sz="1100" b="0">
                        <a:solidFill>
                          <a:sysClr val="windowText" lastClr="000000"/>
                        </a:solidFill>
                      </a:rPr>
                      <a:pPr algn="l">
                        <a:defRPr sz="1100" b="0" i="0" u="none" strike="noStrike" kern="1200" baseline="0">
                          <a:solidFill>
                            <a:sysClr val="windowText" lastClr="000000"/>
                          </a:solidFill>
                          <a:latin typeface="+mn-lt"/>
                          <a:ea typeface="+mn-ea"/>
                          <a:cs typeface="+mn-cs"/>
                        </a:defRPr>
                      </a:pPr>
                      <a:t>[CELLRANGE]</a:t>
                    </a:fld>
                    <a:r>
                      <a:rPr lang="en-US" sz="1100" b="0" baseline="0">
                        <a:solidFill>
                          <a:sysClr val="windowText" lastClr="000000"/>
                        </a:solidFill>
                      </a:rPr>
                      <a:t>, </a:t>
                    </a:r>
                    <a:fld id="{F57E4057-00F4-4202-8396-DA23CA1F1FFE}" type="PERCENTAGE">
                      <a:rPr lang="en-US" sz="1100" b="0" baseline="0">
                        <a:solidFill>
                          <a:sysClr val="windowText" lastClr="000000"/>
                        </a:solidFill>
                      </a:rPr>
                      <a:pPr algn="l">
                        <a:defRPr sz="1100" b="0" i="0" u="none" strike="noStrike" kern="1200" baseline="0">
                          <a:solidFill>
                            <a:sysClr val="windowText" lastClr="000000"/>
                          </a:solidFill>
                          <a:latin typeface="+mn-lt"/>
                          <a:ea typeface="+mn-ea"/>
                          <a:cs typeface="+mn-cs"/>
                        </a:defRPr>
                      </a:pPr>
                      <a:t>[PERCENTAGE]</a:t>
                    </a:fld>
                    <a:endParaRPr lang="en-US" sz="1100" b="0" baseline="0">
                      <a:solidFill>
                        <a:sysClr val="windowText" lastClr="000000"/>
                      </a:solidFill>
                    </a:endParaRPr>
                  </a:p>
                </c:rich>
              </c:tx>
              <c:numFmt formatCode="0.0%" sourceLinked="0"/>
              <c:spPr>
                <a:noFill/>
                <a:ln>
                  <a:noFill/>
                </a:ln>
                <a:effectLst/>
              </c:spPr>
              <c:dLblPos val="bestFit"/>
              <c:showLegendKey val="0"/>
              <c:showVal val="0"/>
              <c:showCatName val="0"/>
              <c:showSerName val="0"/>
              <c:showPercent val="1"/>
              <c:showBubbleSize val="0"/>
              <c:separator>
</c:separator>
              <c:extLst>
                <c:ext xmlns:c15="http://schemas.microsoft.com/office/drawing/2012/chart" uri="{CE6537A1-D6FC-4f65-9D91-7224C49458BB}">
                  <c15:layout>
                    <c:manualLayout>
                      <c:w val="0.13719053842965986"/>
                      <c:h val="3.1155899028638395E-2"/>
                    </c:manualLayout>
                  </c15:layout>
                  <c15:dlblFieldTable/>
                  <c15:showDataLabelsRange val="1"/>
                </c:ext>
                <c:ext xmlns:c16="http://schemas.microsoft.com/office/drawing/2014/chart" uri="{C3380CC4-5D6E-409C-BE32-E72D297353CC}">
                  <c16:uniqueId val="{00000007-F7FD-4776-B494-0E918320B747}"/>
                </c:ext>
              </c:extLst>
            </c:dLbl>
            <c:dLbl>
              <c:idx val="4"/>
              <c:tx>
                <c:rich>
                  <a:bodyPr/>
                  <a:lstStyle/>
                  <a:p>
                    <a:fld id="{048B7921-466E-4359-B90E-DF6EECEFC237}" type="CELLRANGE">
                      <a:rPr lang="en-AU"/>
                      <a:pPr/>
                      <a:t>[CELLRANGE]</a:t>
                    </a:fld>
                    <a:r>
                      <a:rPr lang="en-AU" baseline="0"/>
                      <a:t>, </a:t>
                    </a:r>
                    <a:fld id="{675F35A1-6991-4F92-8759-BD3CCC0FE70D}" type="PERCENTAGE">
                      <a:rPr lang="en-AU" baseline="0"/>
                      <a:pPr/>
                      <a:t>[PERCENTAGE]</a:t>
                    </a:fld>
                    <a:endParaRPr lang="en-AU" baseline="0"/>
                  </a:p>
                </c:rich>
              </c:tx>
              <c:dLblPos val="outEnd"/>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F7FD-4776-B494-0E918320B747}"/>
                </c:ext>
              </c:extLst>
            </c:dLbl>
            <c:dLbl>
              <c:idx val="5"/>
              <c:tx>
                <c:rich>
                  <a:bodyPr/>
                  <a:lstStyle/>
                  <a:p>
                    <a:fld id="{90F8DE4A-B739-48F7-B198-88C12103931E}" type="CELLRANGE">
                      <a:rPr lang="en-AU"/>
                      <a:pPr/>
                      <a:t>[CELLRANGE]</a:t>
                    </a:fld>
                    <a:r>
                      <a:rPr lang="en-AU" baseline="0"/>
                      <a:t>, </a:t>
                    </a:r>
                    <a:fld id="{A7F0440D-98DF-48EB-AD34-E94D2E9EE1DB}" type="PERCENTAGE">
                      <a:rPr lang="en-AU" baseline="0"/>
                      <a:pPr/>
                      <a:t>[PERCENTAGE]</a:t>
                    </a:fld>
                    <a:endParaRPr lang="en-AU" baseline="0"/>
                  </a:p>
                </c:rich>
              </c:tx>
              <c:dLblPos val="outEnd"/>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F7FD-4776-B494-0E918320B747}"/>
                </c:ext>
              </c:extLst>
            </c:dLbl>
            <c:dLbl>
              <c:idx val="6"/>
              <c:tx>
                <c:rich>
                  <a:bodyPr/>
                  <a:lstStyle/>
                  <a:p>
                    <a:fld id="{35303E61-D9F9-4A83-8710-BA95F5229D07}" type="CELLRANGE">
                      <a:rPr lang="en-AU"/>
                      <a:pPr/>
                      <a:t>[CELLRANGE]</a:t>
                    </a:fld>
                    <a:r>
                      <a:rPr lang="en-AU" baseline="0"/>
                      <a:t>, </a:t>
                    </a:r>
                    <a:fld id="{DB7D3EB5-17DA-4B1C-BC34-0B5BB7C837AE}" type="PERCENTAGE">
                      <a:rPr lang="en-AU" baseline="0"/>
                      <a:pPr/>
                      <a:t>[PERCENTAGE]</a:t>
                    </a:fld>
                    <a:endParaRPr lang="en-AU" baseline="0"/>
                  </a:p>
                </c:rich>
              </c:tx>
              <c:dLblPos val="outEnd"/>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F7FD-4776-B494-0E918320B747}"/>
                </c:ext>
              </c:extLst>
            </c:dLbl>
            <c:dLbl>
              <c:idx val="7"/>
              <c:tx>
                <c:rich>
                  <a:bodyPr/>
                  <a:lstStyle/>
                  <a:p>
                    <a:fld id="{D2EFCAE4-3E51-445D-8B8D-D1ADDDBDEBD8}" type="CELLRANGE">
                      <a:rPr lang="en-AU"/>
                      <a:pPr/>
                      <a:t>[CELLRANGE]</a:t>
                    </a:fld>
                    <a:r>
                      <a:rPr lang="en-AU" baseline="0"/>
                      <a:t>, </a:t>
                    </a:r>
                    <a:fld id="{6DDEEDEE-8642-46A2-9FC2-3A0B1AB5ED63}" type="PERCENTAGE">
                      <a:rPr lang="en-AU" baseline="0"/>
                      <a:pPr/>
                      <a:t>[PERCENTAGE]</a:t>
                    </a:fld>
                    <a:endParaRPr lang="en-AU" baseline="0"/>
                  </a:p>
                </c:rich>
              </c:tx>
              <c:dLblPos val="outEnd"/>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F7FD-4776-B494-0E918320B747}"/>
                </c:ext>
              </c:extLst>
            </c:dLbl>
            <c:numFmt formatCode="0.0%" sourceLinked="0"/>
            <c:spPr>
              <a:noFill/>
              <a:ln>
                <a:noFill/>
              </a:ln>
              <a:effectLst/>
            </c:spPr>
            <c:txPr>
              <a:bodyPr rot="0" spcFirstLastPara="1" vertOverflow="ellipsis" vert="horz" wrap="square" lIns="18000" tIns="19050" rIns="18000" bIns="19050" anchor="ctr" anchorCtr="0">
                <a:spAutoFit/>
              </a:bodyPr>
              <a:lstStyle/>
              <a:p>
                <a:pPr algn="l">
                  <a:defRPr sz="1100" b="0" i="0" u="none" strike="noStrike" kern="1200" baseline="0">
                    <a:solidFill>
                      <a:sysClr val="windowText" lastClr="000000"/>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dk1">
                      <a:shade val="95000"/>
                      <a:satMod val="105000"/>
                    </a:schemeClr>
                  </a:solidFill>
                  <a:prstDash val="solid"/>
                </a:ln>
                <a:effectLst/>
              </c:spPr>
            </c:leaderLines>
            <c:extLst>
              <c:ext xmlns:c15="http://schemas.microsoft.com/office/drawing/2012/chart" uri="{CE6537A1-D6FC-4f65-9D91-7224C49458BB}">
                <c15:spPr xmlns:c15="http://schemas.microsoft.com/office/drawing/2012/chart">
                  <a:prstGeom prst="rect">
                    <a:avLst/>
                  </a:prstGeom>
                </c15:spPr>
                <c15:showDataLabelsRange val="1"/>
              </c:ext>
            </c:extLst>
          </c:dLbls>
          <c:cat>
            <c:multiLvlStrRef>
              <c:f>Sheet1!$A$1:$B$3</c:f>
              <c:multiLvlStrCache>
                <c:ptCount val="3"/>
                <c:lvl>
                  <c:pt idx="0">
                    <c:v>Advertising expenditure 2023-24</c:v>
                  </c:pt>
                  <c:pt idx="1">
                    <c:v> $654,808 </c:v>
                  </c:pt>
                  <c:pt idx="2">
                    <c:v> $54,471,182 </c:v>
                  </c:pt>
                </c:lvl>
                <c:lvl>
                  <c:pt idx="0">
                    <c:v> </c:v>
                  </c:pt>
                  <c:pt idx="1">
                    <c:v>Cinema</c:v>
                  </c:pt>
                  <c:pt idx="2">
                    <c:v>Digital</c:v>
                  </c:pt>
                </c:lvl>
              </c:multiLvlStrCache>
            </c:multiLvlStrRef>
          </c:cat>
          <c:val>
            <c:numRef>
              <c:f>Sheet1!$B$2:$B$9</c:f>
              <c:numCache>
                <c:formatCode>_("$"* #,##0_);_("$"* \(#,##0\);_("$"* "-"??_);_(@_)</c:formatCode>
                <c:ptCount val="8"/>
                <c:pt idx="0">
                  <c:v>654807.81000000017</c:v>
                </c:pt>
                <c:pt idx="1">
                  <c:v>54471181.520000041</c:v>
                </c:pt>
                <c:pt idx="2">
                  <c:v>322295.62999999995</c:v>
                </c:pt>
                <c:pt idx="3">
                  <c:v>287914.98</c:v>
                </c:pt>
                <c:pt idx="4">
                  <c:v>15940868.25000002</c:v>
                </c:pt>
                <c:pt idx="5">
                  <c:v>10714026.120000044</c:v>
                </c:pt>
                <c:pt idx="6">
                  <c:v>11144967.359999998</c:v>
                </c:pt>
                <c:pt idx="7">
                  <c:v>9703159.9500000104</c:v>
                </c:pt>
              </c:numCache>
            </c:numRef>
          </c:val>
          <c:extLst>
            <c:ext xmlns:c15="http://schemas.microsoft.com/office/drawing/2012/chart" uri="{02D57815-91ED-43cb-92C2-25804820EDAC}">
              <c15:datalabelsRange>
                <c15:f>Sheet1!$A$2:$A$9</c15:f>
                <c15:dlblRangeCache>
                  <c:ptCount val="8"/>
                  <c:pt idx="0">
                    <c:v>Cinema</c:v>
                  </c:pt>
                  <c:pt idx="1">
                    <c:v>Digital</c:v>
                  </c:pt>
                  <c:pt idx="2">
                    <c:v>Magazines</c:v>
                  </c:pt>
                  <c:pt idx="3">
                    <c:v>Other</c:v>
                  </c:pt>
                  <c:pt idx="4">
                    <c:v>Outdoor</c:v>
                  </c:pt>
                  <c:pt idx="5">
                    <c:v>Press</c:v>
                  </c:pt>
                  <c:pt idx="6">
                    <c:v>Radio</c:v>
                  </c:pt>
                  <c:pt idx="7">
                    <c:v>Television</c:v>
                  </c:pt>
                </c15:dlblRangeCache>
              </c15:datalabelsRange>
            </c:ext>
            <c:ext xmlns:c16="http://schemas.microsoft.com/office/drawing/2014/chart" uri="{C3380CC4-5D6E-409C-BE32-E72D297353CC}">
              <c16:uniqueId val="{00000010-F7FD-4776-B494-0E918320B747}"/>
            </c:ext>
          </c:extLst>
        </c:ser>
        <c:ser>
          <c:idx val="1"/>
          <c:order val="1"/>
          <c:tx>
            <c:strRef>
              <c:f>Sheet1!#REF!</c:f>
              <c:strCache>
                <c:ptCount val="1"/>
                <c:pt idx="0">
                  <c:v>#REF!</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12-F7FD-4776-B494-0E918320B747}"/>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14-F7FD-4776-B494-0E918320B747}"/>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16-F7FD-4776-B494-0E918320B747}"/>
              </c:ext>
            </c:extLst>
          </c:dPt>
          <c:cat>
            <c:multiLvlStrRef>
              <c:f>Sheet1!$A$1:$B$3</c:f>
              <c:multiLvlStrCache>
                <c:ptCount val="3"/>
                <c:lvl>
                  <c:pt idx="0">
                    <c:v>Advertising expenditure 2023-24</c:v>
                  </c:pt>
                  <c:pt idx="1">
                    <c:v> $654,808 </c:v>
                  </c:pt>
                  <c:pt idx="2">
                    <c:v> $54,471,182 </c:v>
                  </c:pt>
                </c:lvl>
                <c:lvl>
                  <c:pt idx="0">
                    <c:v> </c:v>
                  </c:pt>
                  <c:pt idx="1">
                    <c:v>Cinema</c:v>
                  </c:pt>
                  <c:pt idx="2">
                    <c:v>Digital</c:v>
                  </c:pt>
                </c:lvl>
              </c:multiLvlStrCache>
            </c:multiLvlStrRef>
          </c:cat>
          <c:val>
            <c:numRef>
              <c:f>Sheet1!#REF!</c:f>
              <c:numCache>
                <c:formatCode>General</c:formatCode>
                <c:ptCount val="1"/>
                <c:pt idx="0">
                  <c:v>1</c:v>
                </c:pt>
              </c:numCache>
            </c:numRef>
          </c:val>
          <c:extLst>
            <c:ext xmlns:c16="http://schemas.microsoft.com/office/drawing/2014/chart" uri="{C3380CC4-5D6E-409C-BE32-E72D297353CC}">
              <c16:uniqueId val="{00000017-F7FD-4776-B494-0E918320B74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500" b="1"/>
              <a:t>Government campaign advertising by communication areas </a:t>
            </a:r>
            <a:r>
              <a:rPr lang="en-US" sz="1500" b="1" i="0" u="none" strike="noStrike" kern="1200" spc="0" baseline="0">
                <a:solidFill>
                  <a:sysClr val="windowText" lastClr="000000">
                    <a:lumMod val="65000"/>
                    <a:lumOff val="35000"/>
                  </a:sysClr>
                </a:solidFill>
                <a:latin typeface="+mn-lt"/>
                <a:ea typeface="+mn-ea"/>
                <a:cs typeface="+mn-cs"/>
              </a:rPr>
              <a:t>2023–24</a:t>
            </a:r>
            <a:endParaRPr lang="en-US" sz="1500" b="1"/>
          </a:p>
        </c:rich>
      </c:tx>
      <c:layout>
        <c:manualLayout>
          <c:xMode val="edge"/>
          <c:yMode val="edge"/>
          <c:x val="4.4806980935217677E-2"/>
          <c:y val="1.284109149277688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Column2</c:v>
                </c:pt>
              </c:strCache>
            </c:strRef>
          </c:tx>
          <c:dPt>
            <c:idx val="0"/>
            <c:bubble3D val="0"/>
            <c:spPr>
              <a:solidFill>
                <a:schemeClr val="accent1">
                  <a:tint val="54000"/>
                </a:schemeClr>
              </a:solidFill>
              <a:ln w="19050">
                <a:solidFill>
                  <a:schemeClr val="lt1"/>
                </a:solidFill>
              </a:ln>
              <a:effectLst/>
            </c:spPr>
            <c:extLst>
              <c:ext xmlns:c16="http://schemas.microsoft.com/office/drawing/2014/chart" uri="{C3380CC4-5D6E-409C-BE32-E72D297353CC}">
                <c16:uniqueId val="{00000001-7CB0-4226-9810-ACEEC4B00765}"/>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3-7CB0-4226-9810-ACEEC4B00765}"/>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7CB0-4226-9810-ACEEC4B00765}"/>
              </c:ext>
            </c:extLst>
          </c:dPt>
          <c:dPt>
            <c:idx val="3"/>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07-7CB0-4226-9810-ACEEC4B00765}"/>
              </c:ext>
            </c:extLst>
          </c:dPt>
          <c:dPt>
            <c:idx val="4"/>
            <c:bubble3D val="0"/>
            <c:spPr>
              <a:solidFill>
                <a:schemeClr val="accent1">
                  <a:shade val="53000"/>
                </a:schemeClr>
              </a:solidFill>
              <a:ln w="19050">
                <a:solidFill>
                  <a:schemeClr val="lt1"/>
                </a:solidFill>
              </a:ln>
              <a:effectLst/>
            </c:spPr>
            <c:extLst>
              <c:ext xmlns:c16="http://schemas.microsoft.com/office/drawing/2014/chart" uri="{C3380CC4-5D6E-409C-BE32-E72D297353CC}">
                <c16:uniqueId val="{00000009-7CB0-4226-9810-ACEEC4B00765}"/>
              </c:ext>
            </c:extLst>
          </c:dPt>
          <c:dLbls>
            <c:dLbl>
              <c:idx val="0"/>
              <c:layout>
                <c:manualLayout>
                  <c:x val="-3.9836858579152042E-2"/>
                  <c:y val="0.1840556447298020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CB0-4226-9810-ACEEC4B00765}"/>
                </c:ext>
              </c:extLst>
            </c:dLbl>
            <c:dLbl>
              <c:idx val="1"/>
              <c:layout>
                <c:manualLayout>
                  <c:x val="-0.10243763634639098"/>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CB0-4226-9810-ACEEC4B00765}"/>
                </c:ext>
              </c:extLst>
            </c:dLbl>
            <c:dLbl>
              <c:idx val="2"/>
              <c:layout>
                <c:manualLayout>
                  <c:x val="-0.12140756900313004"/>
                  <c:y val="-0.1048689138576779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CB0-4226-9810-ACEEC4B00765}"/>
                </c:ext>
              </c:extLst>
            </c:dLbl>
            <c:dLbl>
              <c:idx val="3"/>
              <c:layout>
                <c:manualLayout>
                  <c:x val="2.2763919188086883E-2"/>
                  <c:y val="-0.1391118245050829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CB0-4226-9810-ACEEC4B00765}"/>
                </c:ext>
              </c:extLst>
            </c:dLbl>
            <c:dLbl>
              <c:idx val="4"/>
              <c:layout>
                <c:manualLayout>
                  <c:x val="0.23333017167789055"/>
                  <c:y val="4.4943820224719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CB0-4226-9810-ACEEC4B0076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dk1">
                      <a:shade val="95000"/>
                      <a:satMod val="105000"/>
                    </a:schemeClr>
                  </a:solidFill>
                  <a:prstDash val="solid"/>
                  <a:round/>
                </a:ln>
                <a:effectLst/>
              </c:spPr>
            </c:leaderLines>
            <c:extLst>
              <c:ext xmlns:c15="http://schemas.microsoft.com/office/drawing/2012/chart" uri="{CE6537A1-D6FC-4f65-9D91-7224C49458BB}"/>
            </c:extLst>
          </c:dLbls>
          <c:cat>
            <c:strRef>
              <c:f>Sheet1!$A$2:$A$6</c:f>
              <c:strCache>
                <c:ptCount val="5"/>
                <c:pt idx="0">
                  <c:v>Public safety and behaviour change</c:v>
                </c:pt>
                <c:pt idx="1">
                  <c:v>Social cohesion, civic pride and community spirit </c:v>
                </c:pt>
                <c:pt idx="2">
                  <c:v>Commercial and economic investment</c:v>
                </c:pt>
                <c:pt idx="3">
                  <c:v>Generation of revenue for institutions or events</c:v>
                </c:pt>
                <c:pt idx="4">
                  <c:v>Compliance with legislative requirements</c:v>
                </c:pt>
              </c:strCache>
            </c:strRef>
          </c:cat>
          <c:val>
            <c:numRef>
              <c:f>Sheet1!$B$2:$B$6</c:f>
              <c:numCache>
                <c:formatCode>_-* #,##0_-;\-* #,##0_-;_-* "-"??_-;_-@_-</c:formatCode>
                <c:ptCount val="5"/>
                <c:pt idx="0">
                  <c:v>44091839.079999998</c:v>
                </c:pt>
                <c:pt idx="1">
                  <c:v>2951761.07</c:v>
                </c:pt>
                <c:pt idx="2">
                  <c:v>4094624.9700000007</c:v>
                </c:pt>
                <c:pt idx="3">
                  <c:v>29721687.820000004</c:v>
                </c:pt>
                <c:pt idx="4">
                  <c:v>299358.65000000002</c:v>
                </c:pt>
              </c:numCache>
            </c:numRef>
          </c:val>
          <c:extLst>
            <c:ext xmlns:c16="http://schemas.microsoft.com/office/drawing/2014/chart" uri="{C3380CC4-5D6E-409C-BE32-E72D297353CC}">
              <c16:uniqueId val="{0000000A-7CB0-4226-9810-ACEEC4B00765}"/>
            </c:ext>
          </c:extLst>
        </c:ser>
        <c:ser>
          <c:idx val="1"/>
          <c:order val="1"/>
          <c:tx>
            <c:strRef>
              <c:f>Sheet1!$C$1</c:f>
              <c:strCache>
                <c:ptCount val="1"/>
                <c:pt idx="0">
                  <c:v>Column1</c:v>
                </c:pt>
              </c:strCache>
            </c:strRef>
          </c:tx>
          <c:dPt>
            <c:idx val="0"/>
            <c:bubble3D val="0"/>
            <c:spPr>
              <a:solidFill>
                <a:schemeClr val="accent1">
                  <a:tint val="54000"/>
                </a:schemeClr>
              </a:solidFill>
              <a:ln w="19050">
                <a:solidFill>
                  <a:schemeClr val="lt1"/>
                </a:solidFill>
              </a:ln>
              <a:effectLst/>
            </c:spPr>
            <c:extLst>
              <c:ext xmlns:c16="http://schemas.microsoft.com/office/drawing/2014/chart" uri="{C3380CC4-5D6E-409C-BE32-E72D297353CC}">
                <c16:uniqueId val="{0000000B-6277-43BD-A90F-B090C47C360C}"/>
              </c:ext>
            </c:extLst>
          </c:dPt>
          <c:dPt>
            <c:idx val="1"/>
            <c:bubble3D val="0"/>
            <c:spPr>
              <a:solidFill>
                <a:schemeClr val="accent1">
                  <a:tint val="77000"/>
                </a:schemeClr>
              </a:solidFill>
              <a:ln w="19050">
                <a:solidFill>
                  <a:schemeClr val="lt1"/>
                </a:solidFill>
              </a:ln>
              <a:effectLst/>
            </c:spPr>
            <c:extLst>
              <c:ext xmlns:c16="http://schemas.microsoft.com/office/drawing/2014/chart" uri="{C3380CC4-5D6E-409C-BE32-E72D297353CC}">
                <c16:uniqueId val="{0000000D-6277-43BD-A90F-B090C47C360C}"/>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F-6277-43BD-A90F-B090C47C360C}"/>
              </c:ext>
            </c:extLst>
          </c:dPt>
          <c:dPt>
            <c:idx val="3"/>
            <c:bubble3D val="0"/>
            <c:spPr>
              <a:solidFill>
                <a:schemeClr val="accent1">
                  <a:shade val="76000"/>
                </a:schemeClr>
              </a:solidFill>
              <a:ln w="19050">
                <a:solidFill>
                  <a:schemeClr val="lt1"/>
                </a:solidFill>
              </a:ln>
              <a:effectLst/>
            </c:spPr>
            <c:extLst>
              <c:ext xmlns:c16="http://schemas.microsoft.com/office/drawing/2014/chart" uri="{C3380CC4-5D6E-409C-BE32-E72D297353CC}">
                <c16:uniqueId val="{00000011-6277-43BD-A90F-B090C47C360C}"/>
              </c:ext>
            </c:extLst>
          </c:dPt>
          <c:dPt>
            <c:idx val="4"/>
            <c:bubble3D val="0"/>
            <c:spPr>
              <a:solidFill>
                <a:schemeClr val="accent1">
                  <a:shade val="53000"/>
                </a:schemeClr>
              </a:solidFill>
              <a:ln w="19050">
                <a:solidFill>
                  <a:schemeClr val="lt1"/>
                </a:solidFill>
              </a:ln>
              <a:effectLst/>
            </c:spPr>
            <c:extLst>
              <c:ext xmlns:c16="http://schemas.microsoft.com/office/drawing/2014/chart" uri="{C3380CC4-5D6E-409C-BE32-E72D297353CC}">
                <c16:uniqueId val="{00000013-6277-43BD-A90F-B090C47C360C}"/>
              </c:ext>
            </c:extLst>
          </c:dPt>
          <c:dLbls>
            <c:dLbl>
              <c:idx val="0"/>
              <c:tx>
                <c:rich>
                  <a:bodyPr/>
                  <a:lstStyle/>
                  <a:p>
                    <a:fld id="{44B4B714-0CFB-4322-B7D1-EF2038826B94}" type="CATEGORYNAME">
                      <a:rPr lang="en-US" sz="1000"/>
                      <a:pPr/>
                      <a:t>[CATEGORY NAME]</a:t>
                    </a:fld>
                    <a:r>
                      <a:rPr lang="en-US" sz="1000" baseline="0"/>
                      <a:t>
</a:t>
                    </a:r>
                    <a:fld id="{DE60C475-C945-4962-9CDE-74A1DB15D35D}" type="PERCENTAGE">
                      <a:rPr lang="en-US" sz="1000" baseline="0"/>
                      <a:pPr/>
                      <a:t>[PERCENTAGE]</a:t>
                    </a:fld>
                    <a:endParaRPr lang="en-US" sz="1000"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277-43BD-A90F-B090C47C360C}"/>
                </c:ext>
              </c:extLst>
            </c:dLbl>
            <c:dLbl>
              <c:idx val="1"/>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97C14B7F-B2A9-4CBD-A662-85811BC1DE11}" type="CATEGORYNAME">
                      <a:rPr lang="en-US" sz="1000"/>
                      <a:pPr>
                        <a:defRPr b="1"/>
                      </a:pPr>
                      <a:t>[CATEGORY NAME]</a:t>
                    </a:fld>
                    <a:r>
                      <a:rPr lang="en-US" sz="1000" baseline="0"/>
                      <a:t>
</a:t>
                    </a:r>
                    <a:fld id="{0DE7DF7A-F9F6-466D-8ECD-EB4B47A68C69}" type="PERCENTAGE">
                      <a:rPr lang="en-US" sz="1000" baseline="0"/>
                      <a:pPr>
                        <a:defRPr b="1"/>
                      </a:pPr>
                      <a:t>[PERCENTAGE]</a:t>
                    </a:fld>
                    <a:endParaRPr lang="en-US" sz="1000"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8999496970815836"/>
                      <c:h val="0.11194849700391225"/>
                    </c:manualLayout>
                  </c15:layout>
                  <c15:dlblFieldTable/>
                  <c15:showDataLabelsRange val="0"/>
                </c:ext>
                <c:ext xmlns:c16="http://schemas.microsoft.com/office/drawing/2014/chart" uri="{C3380CC4-5D6E-409C-BE32-E72D297353CC}">
                  <c16:uniqueId val="{0000000D-6277-43BD-A90F-B090C47C360C}"/>
                </c:ext>
              </c:extLst>
            </c:dLbl>
            <c:dLbl>
              <c:idx val="2"/>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FE0DE706-BE70-4B7D-829D-4BE7CC0C8C4A}" type="CATEGORYNAME">
                      <a:rPr lang="en-US" sz="1000"/>
                      <a:pPr>
                        <a:defRPr b="1"/>
                      </a:pPr>
                      <a:t>[CATEGORY NAME]</a:t>
                    </a:fld>
                    <a:r>
                      <a:rPr lang="en-US" sz="1000" baseline="0"/>
                      <a:t>
</a:t>
                    </a:r>
                    <a:fld id="{9CD36CCA-8371-4E30-B3CA-D04877402BEB}" type="PERCENTAGE">
                      <a:rPr lang="en-US" sz="1000" baseline="0"/>
                      <a:pPr>
                        <a:defRPr b="1"/>
                      </a:pPr>
                      <a:t>[PERCENTAGE]</a:t>
                    </a:fld>
                    <a:endParaRPr lang="en-US" sz="1000"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8001500619047694"/>
                      <c:h val="0.14049631079352073"/>
                    </c:manualLayout>
                  </c15:layout>
                  <c15:dlblFieldTable/>
                  <c15:showDataLabelsRange val="0"/>
                </c:ext>
                <c:ext xmlns:c16="http://schemas.microsoft.com/office/drawing/2014/chart" uri="{C3380CC4-5D6E-409C-BE32-E72D297353CC}">
                  <c16:uniqueId val="{0000000F-6277-43BD-A90F-B090C47C360C}"/>
                </c:ext>
              </c:extLst>
            </c:dLbl>
            <c:dLbl>
              <c:idx val="3"/>
              <c:tx>
                <c:rich>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fld id="{9E019EAC-D2F3-4293-BE57-6C208A89A60E}" type="CATEGORYNAME">
                      <a:rPr lang="en-US" sz="1000">
                        <a:solidFill>
                          <a:sysClr val="windowText" lastClr="000000"/>
                        </a:solidFill>
                      </a:rPr>
                      <a:pPr>
                        <a:defRPr b="1">
                          <a:solidFill>
                            <a:schemeClr val="bg1"/>
                          </a:solidFill>
                        </a:defRPr>
                      </a:pPr>
                      <a:t>[CATEGORY NAME]</a:t>
                    </a:fld>
                    <a:r>
                      <a:rPr lang="en-US" sz="1000" baseline="0">
                        <a:solidFill>
                          <a:sysClr val="windowText" lastClr="000000"/>
                        </a:solidFill>
                      </a:rPr>
                      <a:t>
</a:t>
                    </a:r>
                    <a:fld id="{52BE8BDE-1A4A-43EB-8C38-542528DF0E4C}" type="PERCENTAGE">
                      <a:rPr lang="en-US" sz="1000" baseline="0">
                        <a:solidFill>
                          <a:sysClr val="windowText" lastClr="000000"/>
                        </a:solidFill>
                      </a:rPr>
                      <a:pPr>
                        <a:defRPr b="1">
                          <a:solidFill>
                            <a:schemeClr val="bg1"/>
                          </a:solidFill>
                        </a:defRPr>
                      </a:pPr>
                      <a:t>[PERCENTAGE]</a:t>
                    </a:fld>
                    <a:endParaRPr lang="en-US" sz="1000"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839642087113815"/>
                      <c:h val="0.19689318080522952"/>
                    </c:manualLayout>
                  </c15:layout>
                  <c15:dlblFieldTable/>
                  <c15:showDataLabelsRange val="0"/>
                </c:ext>
                <c:ext xmlns:c16="http://schemas.microsoft.com/office/drawing/2014/chart" uri="{C3380CC4-5D6E-409C-BE32-E72D297353CC}">
                  <c16:uniqueId val="{00000011-6277-43BD-A90F-B090C47C360C}"/>
                </c:ext>
              </c:extLst>
            </c:dLbl>
            <c:dLbl>
              <c:idx val="4"/>
              <c:tx>
                <c:rich>
                  <a:bodyPr/>
                  <a:lstStyle/>
                  <a:p>
                    <a:fld id="{D71CA67A-B29C-4278-9DCD-610AB9F2DEA4}" type="CATEGORYNAME">
                      <a:rPr lang="en-US" sz="1000"/>
                      <a:pPr/>
                      <a:t>[CATEGORY NAME]</a:t>
                    </a:fld>
                    <a:r>
                      <a:rPr lang="en-US" baseline="0"/>
                      <a:t>
</a:t>
                    </a:r>
                    <a:fld id="{02BA0168-D626-41D5-84AD-A42D614C41EF}" type="PERCENTAGE">
                      <a:rPr lang="en-US" baseline="0"/>
                      <a:pPr/>
                      <a:t>[PERCENTAGE]</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6277-43BD-A90F-B090C47C360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Public safety and behaviour change</c:v>
                </c:pt>
                <c:pt idx="1">
                  <c:v>Social cohesion, civic pride and community spirit </c:v>
                </c:pt>
                <c:pt idx="2">
                  <c:v>Commercial and economic investment</c:v>
                </c:pt>
                <c:pt idx="3">
                  <c:v>Generation of revenue for institutions or events</c:v>
                </c:pt>
                <c:pt idx="4">
                  <c:v>Compliance with legislative requirements</c:v>
                </c:pt>
              </c:strCache>
            </c:strRef>
          </c:cat>
          <c:val>
            <c:numRef>
              <c:f>Sheet1!$C$2:$C$6</c:f>
              <c:numCache>
                <c:formatCode>0.0%</c:formatCode>
                <c:ptCount val="5"/>
                <c:pt idx="0">
                  <c:v>0.5432754411934958</c:v>
                </c:pt>
                <c:pt idx="1">
                  <c:v>3.6369979820810756E-2</c:v>
                </c:pt>
                <c:pt idx="2">
                  <c:v>5.0451721532016776E-2</c:v>
                </c:pt>
                <c:pt idx="3">
                  <c:v>0.36621432447235203</c:v>
                </c:pt>
                <c:pt idx="4">
                  <c:v>3.6885329813246544E-3</c:v>
                </c:pt>
              </c:numCache>
            </c:numRef>
          </c:val>
          <c:extLst>
            <c:ext xmlns:c16="http://schemas.microsoft.com/office/drawing/2014/chart" uri="{C3380CC4-5D6E-409C-BE32-E72D297353CC}">
              <c16:uniqueId val="{0000000B-2BCB-4AE9-AF7E-232DF1E7042A}"/>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ae7081-25b9-4f07-932d-118a8f306d12" xsi:nil="true"/>
    <lcf76f155ced4ddcb4097134ff3c332f xmlns="91e45a7a-7453-41ba-affa-0a21383c32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6ECF599AD03046BC29AB894CC73396" ma:contentTypeVersion="16" ma:contentTypeDescription="Create a new document." ma:contentTypeScope="" ma:versionID="1c89aab27c5ef6edff58203dee52452f">
  <xsd:schema xmlns:xsd="http://www.w3.org/2001/XMLSchema" xmlns:xs="http://www.w3.org/2001/XMLSchema" xmlns:p="http://schemas.microsoft.com/office/2006/metadata/properties" xmlns:ns2="91e45a7a-7453-41ba-affa-0a21383c328e" xmlns:ns3="91ae7081-25b9-4f07-932d-118a8f306d12" targetNamespace="http://schemas.microsoft.com/office/2006/metadata/properties" ma:root="true" ma:fieldsID="4993f15aae2f7298390508957fcd3f86" ns2:_="" ns3:_="">
    <xsd:import namespace="91e45a7a-7453-41ba-affa-0a21383c328e"/>
    <xsd:import namespace="91ae7081-25b9-4f07-932d-118a8f306d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45a7a-7453-41ba-affa-0a21383c3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ae7081-25b9-4f07-932d-118a8f306d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a869474-e5a1-42b4-8711-8db8c441c455}" ma:internalName="TaxCatchAll" ma:showField="CatchAllData" ma:web="91ae7081-25b9-4f07-932d-118a8f306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3.xml><?xml version="1.0" encoding="utf-8"?>
<ds:datastoreItem xmlns:ds="http://schemas.openxmlformats.org/officeDocument/2006/customXml" ds:itemID="{37CE50FD-9BA8-4D32-AE04-C00DF2A3C99B}">
  <ds:schemaRefs>
    <ds:schemaRef ds:uri="http://schemas.microsoft.com/office/2006/metadata/properties"/>
    <ds:schemaRef ds:uri="http://schemas.microsoft.com/office/infopath/2007/PartnerControls"/>
    <ds:schemaRef ds:uri="91ae7081-25b9-4f07-932d-118a8f306d12"/>
    <ds:schemaRef ds:uri="91e45a7a-7453-41ba-affa-0a21383c328e"/>
  </ds:schemaRefs>
</ds:datastoreItem>
</file>

<file path=customXml/itemProps4.xml><?xml version="1.0" encoding="utf-8"?>
<ds:datastoreItem xmlns:ds="http://schemas.openxmlformats.org/officeDocument/2006/customXml" ds:itemID="{7F549999-6ACB-4C44-B4D8-B5BDD654B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45a7a-7453-41ba-affa-0a21383c328e"/>
    <ds:schemaRef ds:uri="91ae7081-25b9-4f07-932d-118a8f306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717452-C948-4695-8D7F-DBBF87A67EB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1657</TotalTime>
  <Pages>17</Pages>
  <Words>2422</Words>
  <Characters>14923</Characters>
  <Application>Microsoft Office Word</Application>
  <DocSecurity>0</DocSecurity>
  <Lines>403</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17151</CharactersWithSpaces>
  <SharedDoc>false</SharedDoc>
  <HLinks>
    <vt:vector size="180" baseType="variant">
      <vt:variant>
        <vt:i4>1114142</vt:i4>
      </vt:variant>
      <vt:variant>
        <vt:i4>147</vt:i4>
      </vt:variant>
      <vt:variant>
        <vt:i4>0</vt:i4>
      </vt:variant>
      <vt:variant>
        <vt:i4>5</vt:i4>
      </vt:variant>
      <vt:variant>
        <vt:lpwstr>http://vic.gov.au/dpc</vt:lpwstr>
      </vt:variant>
      <vt:variant>
        <vt:lpwstr/>
      </vt:variant>
      <vt:variant>
        <vt:i4>1245262</vt:i4>
      </vt:variant>
      <vt:variant>
        <vt:i4>144</vt:i4>
      </vt:variant>
      <vt:variant>
        <vt:i4>0</vt:i4>
      </vt:variant>
      <vt:variant>
        <vt:i4>5</vt:i4>
      </vt:variant>
      <vt:variant>
        <vt:lpwstr>https://www.vic.gov.au/advertising-government-communications</vt:lpwstr>
      </vt:variant>
      <vt:variant>
        <vt:lpwstr/>
      </vt:variant>
      <vt:variant>
        <vt:i4>262234</vt:i4>
      </vt:variant>
      <vt:variant>
        <vt:i4>141</vt:i4>
      </vt:variant>
      <vt:variant>
        <vt:i4>0</vt:i4>
      </vt:variant>
      <vt:variant>
        <vt:i4>5</vt:i4>
      </vt:variant>
      <vt:variant>
        <vt:lpwstr>https://www.vic.gov.au/ensuring-we-reach-all-Victorians-with-our-communications</vt:lpwstr>
      </vt:variant>
      <vt:variant>
        <vt:lpwstr>communicating-with-multicultural-victorians</vt:lpwstr>
      </vt:variant>
      <vt:variant>
        <vt:i4>7602299</vt:i4>
      </vt:variant>
      <vt:variant>
        <vt:i4>138</vt:i4>
      </vt:variant>
      <vt:variant>
        <vt:i4>0</vt:i4>
      </vt:variant>
      <vt:variant>
        <vt:i4>5</vt:i4>
      </vt:variant>
      <vt:variant>
        <vt:lpwstr>https://www.vic.gov.au/ensuring-we-reach-all-Victorians-with-our-communications</vt:lpwstr>
      </vt:variant>
      <vt:variant>
        <vt:lpwstr>reaching-regional-victorians</vt:lpwstr>
      </vt:variant>
      <vt:variant>
        <vt:i4>2883645</vt:i4>
      </vt:variant>
      <vt:variant>
        <vt:i4>135</vt:i4>
      </vt:variant>
      <vt:variant>
        <vt:i4>0</vt:i4>
      </vt:variant>
      <vt:variant>
        <vt:i4>5</vt:i4>
      </vt:variant>
      <vt:variant>
        <vt:lpwstr>https://www.vic.gov.au/advertising-plans-and-spend</vt:lpwstr>
      </vt:variant>
      <vt:variant>
        <vt:lpwstr/>
      </vt:variant>
      <vt:variant>
        <vt:i4>3407995</vt:i4>
      </vt:variant>
      <vt:variant>
        <vt:i4>132</vt:i4>
      </vt:variant>
      <vt:variant>
        <vt:i4>0</vt:i4>
      </vt:variant>
      <vt:variant>
        <vt:i4>5</vt:i4>
      </vt:variant>
      <vt:variant>
        <vt:lpwstr>https://www.vic.gov.au/victorian-government-communication-requirements</vt:lpwstr>
      </vt:variant>
      <vt:variant>
        <vt:lpwstr>campaign-advertising</vt:lpwstr>
      </vt:variant>
      <vt:variant>
        <vt:i4>3670067</vt:i4>
      </vt:variant>
      <vt:variant>
        <vt:i4>129</vt:i4>
      </vt:variant>
      <vt:variant>
        <vt:i4>0</vt:i4>
      </vt:variant>
      <vt:variant>
        <vt:i4>5</vt:i4>
      </vt:variant>
      <vt:variant>
        <vt:lpwstr>https://buyingfor.vic.gov.au/master-agency-media-services-mams-contract</vt:lpwstr>
      </vt:variant>
      <vt:variant>
        <vt:lpwstr/>
      </vt:variant>
      <vt:variant>
        <vt:i4>1900598</vt:i4>
      </vt:variant>
      <vt:variant>
        <vt:i4>122</vt:i4>
      </vt:variant>
      <vt:variant>
        <vt:i4>0</vt:i4>
      </vt:variant>
      <vt:variant>
        <vt:i4>5</vt:i4>
      </vt:variant>
      <vt:variant>
        <vt:lpwstr/>
      </vt:variant>
      <vt:variant>
        <vt:lpwstr>_Toc186973689</vt:lpwstr>
      </vt:variant>
      <vt:variant>
        <vt:i4>1900598</vt:i4>
      </vt:variant>
      <vt:variant>
        <vt:i4>116</vt:i4>
      </vt:variant>
      <vt:variant>
        <vt:i4>0</vt:i4>
      </vt:variant>
      <vt:variant>
        <vt:i4>5</vt:i4>
      </vt:variant>
      <vt:variant>
        <vt:lpwstr/>
      </vt:variant>
      <vt:variant>
        <vt:lpwstr>_Toc186973688</vt:lpwstr>
      </vt:variant>
      <vt:variant>
        <vt:i4>1900598</vt:i4>
      </vt:variant>
      <vt:variant>
        <vt:i4>110</vt:i4>
      </vt:variant>
      <vt:variant>
        <vt:i4>0</vt:i4>
      </vt:variant>
      <vt:variant>
        <vt:i4>5</vt:i4>
      </vt:variant>
      <vt:variant>
        <vt:lpwstr/>
      </vt:variant>
      <vt:variant>
        <vt:lpwstr>_Toc186973687</vt:lpwstr>
      </vt:variant>
      <vt:variant>
        <vt:i4>1900598</vt:i4>
      </vt:variant>
      <vt:variant>
        <vt:i4>104</vt:i4>
      </vt:variant>
      <vt:variant>
        <vt:i4>0</vt:i4>
      </vt:variant>
      <vt:variant>
        <vt:i4>5</vt:i4>
      </vt:variant>
      <vt:variant>
        <vt:lpwstr/>
      </vt:variant>
      <vt:variant>
        <vt:lpwstr>_Toc186973686</vt:lpwstr>
      </vt:variant>
      <vt:variant>
        <vt:i4>1900598</vt:i4>
      </vt:variant>
      <vt:variant>
        <vt:i4>98</vt:i4>
      </vt:variant>
      <vt:variant>
        <vt:i4>0</vt:i4>
      </vt:variant>
      <vt:variant>
        <vt:i4>5</vt:i4>
      </vt:variant>
      <vt:variant>
        <vt:lpwstr/>
      </vt:variant>
      <vt:variant>
        <vt:lpwstr>_Toc186973685</vt:lpwstr>
      </vt:variant>
      <vt:variant>
        <vt:i4>1900598</vt:i4>
      </vt:variant>
      <vt:variant>
        <vt:i4>92</vt:i4>
      </vt:variant>
      <vt:variant>
        <vt:i4>0</vt:i4>
      </vt:variant>
      <vt:variant>
        <vt:i4>5</vt:i4>
      </vt:variant>
      <vt:variant>
        <vt:lpwstr/>
      </vt:variant>
      <vt:variant>
        <vt:lpwstr>_Toc186973684</vt:lpwstr>
      </vt:variant>
      <vt:variant>
        <vt:i4>1900598</vt:i4>
      </vt:variant>
      <vt:variant>
        <vt:i4>86</vt:i4>
      </vt:variant>
      <vt:variant>
        <vt:i4>0</vt:i4>
      </vt:variant>
      <vt:variant>
        <vt:i4>5</vt:i4>
      </vt:variant>
      <vt:variant>
        <vt:lpwstr/>
      </vt:variant>
      <vt:variant>
        <vt:lpwstr>_Toc186973683</vt:lpwstr>
      </vt:variant>
      <vt:variant>
        <vt:i4>1900598</vt:i4>
      </vt:variant>
      <vt:variant>
        <vt:i4>80</vt:i4>
      </vt:variant>
      <vt:variant>
        <vt:i4>0</vt:i4>
      </vt:variant>
      <vt:variant>
        <vt:i4>5</vt:i4>
      </vt:variant>
      <vt:variant>
        <vt:lpwstr/>
      </vt:variant>
      <vt:variant>
        <vt:lpwstr>_Toc186973682</vt:lpwstr>
      </vt:variant>
      <vt:variant>
        <vt:i4>1900598</vt:i4>
      </vt:variant>
      <vt:variant>
        <vt:i4>74</vt:i4>
      </vt:variant>
      <vt:variant>
        <vt:i4>0</vt:i4>
      </vt:variant>
      <vt:variant>
        <vt:i4>5</vt:i4>
      </vt:variant>
      <vt:variant>
        <vt:lpwstr/>
      </vt:variant>
      <vt:variant>
        <vt:lpwstr>_Toc186973681</vt:lpwstr>
      </vt:variant>
      <vt:variant>
        <vt:i4>1900598</vt:i4>
      </vt:variant>
      <vt:variant>
        <vt:i4>68</vt:i4>
      </vt:variant>
      <vt:variant>
        <vt:i4>0</vt:i4>
      </vt:variant>
      <vt:variant>
        <vt:i4>5</vt:i4>
      </vt:variant>
      <vt:variant>
        <vt:lpwstr/>
      </vt:variant>
      <vt:variant>
        <vt:lpwstr>_Toc186973680</vt:lpwstr>
      </vt:variant>
      <vt:variant>
        <vt:i4>1179702</vt:i4>
      </vt:variant>
      <vt:variant>
        <vt:i4>62</vt:i4>
      </vt:variant>
      <vt:variant>
        <vt:i4>0</vt:i4>
      </vt:variant>
      <vt:variant>
        <vt:i4>5</vt:i4>
      </vt:variant>
      <vt:variant>
        <vt:lpwstr/>
      </vt:variant>
      <vt:variant>
        <vt:lpwstr>_Toc186973679</vt:lpwstr>
      </vt:variant>
      <vt:variant>
        <vt:i4>1179702</vt:i4>
      </vt:variant>
      <vt:variant>
        <vt:i4>56</vt:i4>
      </vt:variant>
      <vt:variant>
        <vt:i4>0</vt:i4>
      </vt:variant>
      <vt:variant>
        <vt:i4>5</vt:i4>
      </vt:variant>
      <vt:variant>
        <vt:lpwstr/>
      </vt:variant>
      <vt:variant>
        <vt:lpwstr>_Toc186973678</vt:lpwstr>
      </vt:variant>
      <vt:variant>
        <vt:i4>1179702</vt:i4>
      </vt:variant>
      <vt:variant>
        <vt:i4>50</vt:i4>
      </vt:variant>
      <vt:variant>
        <vt:i4>0</vt:i4>
      </vt:variant>
      <vt:variant>
        <vt:i4>5</vt:i4>
      </vt:variant>
      <vt:variant>
        <vt:lpwstr/>
      </vt:variant>
      <vt:variant>
        <vt:lpwstr>_Toc186973677</vt:lpwstr>
      </vt:variant>
      <vt:variant>
        <vt:i4>1179702</vt:i4>
      </vt:variant>
      <vt:variant>
        <vt:i4>44</vt:i4>
      </vt:variant>
      <vt:variant>
        <vt:i4>0</vt:i4>
      </vt:variant>
      <vt:variant>
        <vt:i4>5</vt:i4>
      </vt:variant>
      <vt:variant>
        <vt:lpwstr/>
      </vt:variant>
      <vt:variant>
        <vt:lpwstr>_Toc186973676</vt:lpwstr>
      </vt:variant>
      <vt:variant>
        <vt:i4>1179702</vt:i4>
      </vt:variant>
      <vt:variant>
        <vt:i4>38</vt:i4>
      </vt:variant>
      <vt:variant>
        <vt:i4>0</vt:i4>
      </vt:variant>
      <vt:variant>
        <vt:i4>5</vt:i4>
      </vt:variant>
      <vt:variant>
        <vt:lpwstr/>
      </vt:variant>
      <vt:variant>
        <vt:lpwstr>_Toc186973675</vt:lpwstr>
      </vt:variant>
      <vt:variant>
        <vt:i4>1179702</vt:i4>
      </vt:variant>
      <vt:variant>
        <vt:i4>32</vt:i4>
      </vt:variant>
      <vt:variant>
        <vt:i4>0</vt:i4>
      </vt:variant>
      <vt:variant>
        <vt:i4>5</vt:i4>
      </vt:variant>
      <vt:variant>
        <vt:lpwstr/>
      </vt:variant>
      <vt:variant>
        <vt:lpwstr>_Toc186973674</vt:lpwstr>
      </vt:variant>
      <vt:variant>
        <vt:i4>1179702</vt:i4>
      </vt:variant>
      <vt:variant>
        <vt:i4>26</vt:i4>
      </vt:variant>
      <vt:variant>
        <vt:i4>0</vt:i4>
      </vt:variant>
      <vt:variant>
        <vt:i4>5</vt:i4>
      </vt:variant>
      <vt:variant>
        <vt:lpwstr/>
      </vt:variant>
      <vt:variant>
        <vt:lpwstr>_Toc186973673</vt:lpwstr>
      </vt:variant>
      <vt:variant>
        <vt:i4>1179702</vt:i4>
      </vt:variant>
      <vt:variant>
        <vt:i4>20</vt:i4>
      </vt:variant>
      <vt:variant>
        <vt:i4>0</vt:i4>
      </vt:variant>
      <vt:variant>
        <vt:i4>5</vt:i4>
      </vt:variant>
      <vt:variant>
        <vt:lpwstr/>
      </vt:variant>
      <vt:variant>
        <vt:lpwstr>_Toc186973672</vt:lpwstr>
      </vt:variant>
      <vt:variant>
        <vt:i4>1179702</vt:i4>
      </vt:variant>
      <vt:variant>
        <vt:i4>14</vt:i4>
      </vt:variant>
      <vt:variant>
        <vt:i4>0</vt:i4>
      </vt:variant>
      <vt:variant>
        <vt:i4>5</vt:i4>
      </vt:variant>
      <vt:variant>
        <vt:lpwstr/>
      </vt:variant>
      <vt:variant>
        <vt:lpwstr>_Toc186973671</vt:lpwstr>
      </vt:variant>
      <vt:variant>
        <vt:i4>655375</vt:i4>
      </vt:variant>
      <vt:variant>
        <vt:i4>9</vt:i4>
      </vt:variant>
      <vt:variant>
        <vt:i4>0</vt:i4>
      </vt:variant>
      <vt:variant>
        <vt:i4>5</vt:i4>
      </vt:variant>
      <vt:variant>
        <vt:lpwstr>https://www.vic.gov.au/department-premier-and-cabinet</vt:lpwstr>
      </vt:variant>
      <vt:variant>
        <vt:lpwstr/>
      </vt:variant>
      <vt:variant>
        <vt:i4>1572906</vt:i4>
      </vt:variant>
      <vt:variant>
        <vt:i4>6</vt:i4>
      </vt:variant>
      <vt:variant>
        <vt:i4>0</vt:i4>
      </vt:variant>
      <vt:variant>
        <vt:i4>5</vt:i4>
      </vt:variant>
      <vt:variant>
        <vt:lpwstr>mailto:contact@dpc.vic.gov.au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1114142</vt:i4>
      </vt:variant>
      <vt:variant>
        <vt:i4>0</vt:i4>
      </vt:variant>
      <vt:variant>
        <vt:i4>0</vt:i4>
      </vt:variant>
      <vt:variant>
        <vt:i4>5</vt:i4>
      </vt:variant>
      <vt:variant>
        <vt:lpwstr>http://vic.gov.au/dpc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McGrath (DPC)</dc:creator>
  <cp:keywords/>
  <dc:description/>
  <cp:lastModifiedBy>Eduardo Sorrentino (DPC)</cp:lastModifiedBy>
  <cp:revision>422</cp:revision>
  <cp:lastPrinted>2024-08-21T04:50:00Z</cp:lastPrinted>
  <dcterms:created xsi:type="dcterms:W3CDTF">2025-01-05T02:26:00Z</dcterms:created>
  <dcterms:modified xsi:type="dcterms:W3CDTF">2026-03-04T23:09:00Z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0x010100606ECF599AD03046BC29AB894CC73396</vt:lpwstr>
  </property>
  <property fmtid="{D5CDD505-2E9C-101B-9397-08002B2CF9AE}" pid="13" name="MediaServiceImageTags">
    <vt:lpwstr/>
  </property>
</Properties>
</file>